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B7979A" w14:textId="77777777" w:rsidR="00C84AD5" w:rsidRPr="00261473" w:rsidRDefault="00C84AD5" w:rsidP="00C84AD5">
      <w:pPr>
        <w:spacing w:before="120"/>
        <w:ind w:hanging="142"/>
        <w:jc w:val="center"/>
        <w:rPr>
          <w:rFonts w:eastAsia="宋体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6F8F8972" wp14:editId="7098C27D">
            <wp:extent cx="5274310" cy="4629785"/>
            <wp:effectExtent l="0" t="0" r="2540" b="0"/>
            <wp:docPr id="11184727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62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3FBB00" w14:textId="77777777" w:rsidR="00C84AD5" w:rsidRPr="00261473" w:rsidRDefault="00C84AD5" w:rsidP="00C84AD5">
      <w:pPr>
        <w:ind w:hanging="142"/>
        <w:rPr>
          <w:sz w:val="24"/>
          <w:szCs w:val="24"/>
          <w:lang w:eastAsia="zh-CN"/>
        </w:rPr>
      </w:pPr>
      <w:bookmarkStart w:id="0" w:name="_Hlk161399793"/>
      <w:bookmarkStart w:id="1" w:name="_Hlk161399818"/>
      <w:r w:rsidRPr="00261473">
        <w:rPr>
          <w:b/>
          <w:bCs/>
          <w:sz w:val="24"/>
          <w:szCs w:val="24"/>
        </w:rPr>
        <w:t>Fig S1. Evaluation of the wound healing process with WT_eLW.</w:t>
      </w:r>
      <w:r w:rsidRPr="00261473">
        <w:rPr>
          <w:sz w:val="24"/>
          <w:szCs w:val="24"/>
        </w:rPr>
        <w:t xml:space="preserve"> </w:t>
      </w:r>
      <w:r w:rsidRPr="00261473">
        <w:rPr>
          <w:b/>
          <w:bCs/>
          <w:sz w:val="24"/>
          <w:szCs w:val="24"/>
        </w:rPr>
        <w:t xml:space="preserve">A) </w:t>
      </w:r>
      <w:r w:rsidRPr="00261473">
        <w:rPr>
          <w:sz w:val="24"/>
          <w:szCs w:val="24"/>
        </w:rPr>
        <w:t xml:space="preserve">The three types of WT_eLW and the wound models. </w:t>
      </w:r>
      <w:r w:rsidRPr="00261473">
        <w:rPr>
          <w:b/>
          <w:bCs/>
          <w:sz w:val="24"/>
          <w:szCs w:val="24"/>
        </w:rPr>
        <w:t xml:space="preserve">B) </w:t>
      </w:r>
      <w:r w:rsidRPr="00261473">
        <w:rPr>
          <w:sz w:val="24"/>
          <w:szCs w:val="24"/>
        </w:rPr>
        <w:t>Number of regenerated hair follicles in PWD28. Statistical analysis was performed using one-way ANOVA with Dunnett’s multiple comparisons test. n=3 for each group.</w:t>
      </w:r>
      <w:r w:rsidRPr="00261473">
        <w:rPr>
          <w:b/>
          <w:bCs/>
          <w:sz w:val="24"/>
          <w:szCs w:val="24"/>
        </w:rPr>
        <w:t xml:space="preserve"> C)</w:t>
      </w:r>
      <w:r w:rsidRPr="00261473">
        <w:rPr>
          <w:sz w:val="24"/>
          <w:szCs w:val="24"/>
        </w:rPr>
        <w:t xml:space="preserve"> The PCA analysis of bulk-RNA sequence samples. </w:t>
      </w:r>
      <w:r w:rsidRPr="00261473">
        <w:rPr>
          <w:b/>
          <w:bCs/>
          <w:sz w:val="24"/>
          <w:szCs w:val="24"/>
        </w:rPr>
        <w:t xml:space="preserve">D) </w:t>
      </w:r>
      <w:r w:rsidRPr="00261473">
        <w:rPr>
          <w:sz w:val="24"/>
          <w:szCs w:val="24"/>
        </w:rPr>
        <w:t>The volcano plot showing the genes expressed in WT_eLW and WT_LW. The threshold for screening differential genes was p-value&lt;0.05 and |log2FC|&gt;1.</w:t>
      </w:r>
      <w:r w:rsidRPr="00261473">
        <w:rPr>
          <w:b/>
          <w:bCs/>
          <w:sz w:val="24"/>
          <w:szCs w:val="24"/>
        </w:rPr>
        <w:t xml:space="preserve"> E)</w:t>
      </w:r>
      <w:r w:rsidRPr="00261473">
        <w:rPr>
          <w:sz w:val="24"/>
          <w:szCs w:val="24"/>
        </w:rPr>
        <w:t xml:space="preserve"> Correlation analysis heatmaps of WT_eLW and WT_LW. </w:t>
      </w:r>
      <w:r w:rsidRPr="00261473">
        <w:rPr>
          <w:b/>
          <w:bCs/>
          <w:sz w:val="24"/>
          <w:szCs w:val="24"/>
        </w:rPr>
        <w:t xml:space="preserve">F) </w:t>
      </w:r>
      <w:r w:rsidRPr="00261473">
        <w:rPr>
          <w:sz w:val="24"/>
          <w:szCs w:val="24"/>
        </w:rPr>
        <w:t xml:space="preserve">GO terms enriched in WT_LW. </w:t>
      </w:r>
      <w:r w:rsidRPr="00261473">
        <w:rPr>
          <w:b/>
          <w:bCs/>
          <w:sz w:val="24"/>
          <w:szCs w:val="24"/>
        </w:rPr>
        <w:t>G)</w:t>
      </w:r>
      <w:r w:rsidRPr="00261473">
        <w:rPr>
          <w:sz w:val="24"/>
          <w:szCs w:val="24"/>
        </w:rPr>
        <w:t xml:space="preserve"> The GSEA enrichment analysis of toll-like receptor signaling pathway and toll-like receptor 9 signaling pathway.</w:t>
      </w:r>
      <w:r w:rsidRPr="00261473">
        <w:rPr>
          <w:rFonts w:hint="eastAsia"/>
          <w:sz w:val="24"/>
          <w:szCs w:val="24"/>
          <w:lang w:eastAsia="zh-CN"/>
        </w:rPr>
        <w:t xml:space="preserve"> </w:t>
      </w:r>
      <w:r w:rsidRPr="00261473">
        <w:rPr>
          <w:sz w:val="24"/>
          <w:szCs w:val="24"/>
          <w:lang w:eastAsia="zh-CN"/>
        </w:rPr>
        <w:t xml:space="preserve">All error bars ±SD. </w:t>
      </w:r>
    </w:p>
    <w:bookmarkEnd w:id="0"/>
    <w:p w14:paraId="76F5B07C" w14:textId="77777777" w:rsidR="00C84AD5" w:rsidRPr="00261473" w:rsidRDefault="00C84AD5" w:rsidP="00C84AD5">
      <w:pPr>
        <w:ind w:hanging="142"/>
        <w:rPr>
          <w:sz w:val="24"/>
          <w:szCs w:val="24"/>
          <w:lang w:eastAsia="zh-CN"/>
        </w:rPr>
      </w:pPr>
    </w:p>
    <w:bookmarkEnd w:id="1"/>
    <w:p w14:paraId="4A807BCF" w14:textId="77777777" w:rsidR="00C84AD5" w:rsidRPr="00261473" w:rsidRDefault="00C84AD5" w:rsidP="00C84AD5">
      <w:pPr>
        <w:ind w:hanging="142"/>
        <w:rPr>
          <w:sz w:val="24"/>
          <w:szCs w:val="24"/>
        </w:rPr>
      </w:pPr>
    </w:p>
    <w:p w14:paraId="3E1A8A4B" w14:textId="77777777" w:rsidR="00C84AD5" w:rsidRPr="00261473" w:rsidRDefault="00C84AD5" w:rsidP="00C84AD5">
      <w:pPr>
        <w:ind w:hanging="142"/>
        <w:jc w:val="center"/>
        <w:rPr>
          <w:sz w:val="24"/>
          <w:szCs w:val="24"/>
        </w:rPr>
      </w:pPr>
      <w:r w:rsidRPr="00261473">
        <w:rPr>
          <w:noProof/>
          <w:sz w:val="24"/>
          <w:szCs w:val="24"/>
        </w:rPr>
        <w:lastRenderedPageBreak/>
        <w:drawing>
          <wp:inline distT="0" distB="0" distL="0" distR="0" wp14:anchorId="2F6A1ACA" wp14:editId="14928815">
            <wp:extent cx="4363720" cy="4079875"/>
            <wp:effectExtent l="0" t="0" r="0" b="0"/>
            <wp:docPr id="147248809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3720" cy="407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382DC6" w14:textId="77777777" w:rsidR="00C84AD5" w:rsidRPr="00261473" w:rsidRDefault="00C84AD5" w:rsidP="00C84AD5">
      <w:pPr>
        <w:ind w:hanging="142"/>
        <w:rPr>
          <w:sz w:val="24"/>
          <w:szCs w:val="24"/>
        </w:rPr>
      </w:pPr>
      <w:bookmarkStart w:id="2" w:name="_Hlk161399839"/>
    </w:p>
    <w:p w14:paraId="5540C631" w14:textId="77777777" w:rsidR="00C84AD5" w:rsidRPr="00261473" w:rsidRDefault="00C84AD5" w:rsidP="00C84AD5">
      <w:pPr>
        <w:ind w:hanging="142"/>
        <w:rPr>
          <w:sz w:val="24"/>
          <w:szCs w:val="24"/>
        </w:rPr>
      </w:pPr>
      <w:r w:rsidRPr="00261473">
        <w:rPr>
          <w:rFonts w:hint="eastAsia"/>
          <w:b/>
          <w:bCs/>
          <w:sz w:val="24"/>
          <w:szCs w:val="24"/>
          <w:lang w:eastAsia="zh-CN"/>
        </w:rPr>
        <w:t xml:space="preserve">Fig S2. A) </w:t>
      </w:r>
      <w:r w:rsidRPr="00261473">
        <w:rPr>
          <w:rFonts w:hint="eastAsia"/>
          <w:sz w:val="24"/>
          <w:szCs w:val="24"/>
          <w:lang w:eastAsia="zh-CN"/>
        </w:rPr>
        <w:t xml:space="preserve">The recombiant plasmids expressing cytb of mus musculus </w:t>
      </w:r>
      <w:r w:rsidRPr="00261473">
        <w:rPr>
          <w:sz w:val="24"/>
          <w:szCs w:val="24"/>
          <w:lang w:eastAsia="zh-CN"/>
        </w:rPr>
        <w:t>and</w:t>
      </w:r>
      <w:r w:rsidRPr="00261473">
        <w:rPr>
          <w:rFonts w:hint="eastAsia"/>
          <w:sz w:val="24"/>
          <w:szCs w:val="24"/>
          <w:lang w:eastAsia="zh-CN"/>
        </w:rPr>
        <w:t xml:space="preserve"> homo sapiens, </w:t>
      </w:r>
      <w:r w:rsidRPr="00261473">
        <w:rPr>
          <w:sz w:val="24"/>
          <w:szCs w:val="24"/>
          <w:lang w:eastAsia="zh-CN"/>
        </w:rPr>
        <w:t>respectively</w:t>
      </w:r>
      <w:r w:rsidRPr="00261473">
        <w:rPr>
          <w:rFonts w:hint="eastAsia"/>
          <w:sz w:val="24"/>
          <w:szCs w:val="24"/>
          <w:lang w:eastAsia="zh-CN"/>
        </w:rPr>
        <w:t>.</w:t>
      </w:r>
      <w:r w:rsidRPr="00261473">
        <w:rPr>
          <w:rFonts w:hint="eastAsia"/>
          <w:b/>
          <w:bCs/>
          <w:sz w:val="24"/>
          <w:szCs w:val="24"/>
          <w:lang w:eastAsia="zh-CN"/>
        </w:rPr>
        <w:t xml:space="preserve"> B</w:t>
      </w:r>
      <w:r w:rsidRPr="00261473">
        <w:rPr>
          <w:b/>
          <w:bCs/>
          <w:sz w:val="24"/>
          <w:szCs w:val="24"/>
        </w:rPr>
        <w:t xml:space="preserve">) </w:t>
      </w:r>
      <w:r w:rsidRPr="00261473">
        <w:rPr>
          <w:sz w:val="24"/>
          <w:szCs w:val="24"/>
        </w:rPr>
        <w:t>Standard curves and formulas between CT number and copy numbers calculated by plasmids standards.</w:t>
      </w:r>
    </w:p>
    <w:bookmarkEnd w:id="2"/>
    <w:p w14:paraId="310027A9" w14:textId="77777777" w:rsidR="00C84AD5" w:rsidRPr="00261473" w:rsidRDefault="00C84AD5" w:rsidP="00C84AD5">
      <w:pPr>
        <w:ind w:hanging="142"/>
        <w:rPr>
          <w:sz w:val="24"/>
          <w:szCs w:val="24"/>
        </w:rPr>
      </w:pPr>
      <w:r w:rsidRPr="00324642">
        <w:lastRenderedPageBreak/>
        <w:t xml:space="preserve"> </w:t>
      </w:r>
      <w:r>
        <w:rPr>
          <w:noProof/>
        </w:rPr>
        <w:drawing>
          <wp:inline distT="0" distB="0" distL="0" distR="0" wp14:anchorId="547B5928" wp14:editId="1B1830F8">
            <wp:extent cx="5274310" cy="5893435"/>
            <wp:effectExtent l="0" t="0" r="2540" b="0"/>
            <wp:docPr id="16865536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89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E3A69" w14:textId="77777777" w:rsidR="00C84AD5" w:rsidRDefault="00C84AD5" w:rsidP="00C84AD5">
      <w:pPr>
        <w:ind w:hanging="142"/>
        <w:rPr>
          <w:sz w:val="24"/>
          <w:szCs w:val="24"/>
          <w:lang w:eastAsia="zh-CN"/>
        </w:rPr>
      </w:pPr>
      <w:bookmarkStart w:id="3" w:name="_Hlk161399845"/>
      <w:r w:rsidRPr="00261473">
        <w:rPr>
          <w:b/>
          <w:bCs/>
          <w:sz w:val="24"/>
          <w:szCs w:val="24"/>
        </w:rPr>
        <w:t>Fig S</w:t>
      </w:r>
      <w:r w:rsidRPr="00261473">
        <w:rPr>
          <w:rFonts w:hint="eastAsia"/>
          <w:b/>
          <w:bCs/>
          <w:sz w:val="24"/>
          <w:szCs w:val="24"/>
          <w:lang w:eastAsia="zh-CN"/>
        </w:rPr>
        <w:t>3</w:t>
      </w:r>
      <w:r w:rsidRPr="00261473">
        <w:rPr>
          <w:b/>
          <w:bCs/>
          <w:sz w:val="24"/>
          <w:szCs w:val="24"/>
        </w:rPr>
        <w:t xml:space="preserve">. The subcluster and analysis of neutrophils and macrophages. A) </w:t>
      </w:r>
      <w:r w:rsidRPr="00261473">
        <w:rPr>
          <w:sz w:val="24"/>
          <w:szCs w:val="24"/>
        </w:rPr>
        <w:t xml:space="preserve">Workflow for evaluating the function of TLR9 and mtDNA in large-scale wound healing. The second day after scab detachment (SD2) was chosen as our observation time for hair follicle neogenesis. </w:t>
      </w:r>
      <w:r w:rsidRPr="00261473">
        <w:rPr>
          <w:b/>
          <w:bCs/>
          <w:sz w:val="24"/>
          <w:szCs w:val="24"/>
        </w:rPr>
        <w:t xml:space="preserve">B) </w:t>
      </w:r>
      <w:r w:rsidRPr="00261473">
        <w:rPr>
          <w:sz w:val="24"/>
          <w:szCs w:val="24"/>
        </w:rPr>
        <w:t xml:space="preserve">The </w:t>
      </w:r>
      <w:r w:rsidRPr="00261473">
        <w:rPr>
          <w:rFonts w:hint="eastAsia"/>
          <w:sz w:val="24"/>
          <w:szCs w:val="24"/>
        </w:rPr>
        <w:t>sub</w:t>
      </w:r>
      <w:r w:rsidRPr="00261473">
        <w:rPr>
          <w:sz w:val="24"/>
          <w:szCs w:val="24"/>
        </w:rPr>
        <w:t xml:space="preserve">clustering of neutrophils and relative cell ratios and marker genes. </w:t>
      </w:r>
      <w:r w:rsidRPr="00261473">
        <w:rPr>
          <w:b/>
          <w:bCs/>
          <w:sz w:val="24"/>
          <w:szCs w:val="24"/>
        </w:rPr>
        <w:t xml:space="preserve">C) </w:t>
      </w:r>
      <w:r w:rsidRPr="00261473">
        <w:rPr>
          <w:sz w:val="24"/>
          <w:szCs w:val="24"/>
        </w:rPr>
        <w:t xml:space="preserve">The subclustering of macrophages and dendritic cells. </w:t>
      </w:r>
      <w:r w:rsidRPr="00261473">
        <w:rPr>
          <w:b/>
          <w:bCs/>
          <w:sz w:val="24"/>
          <w:szCs w:val="24"/>
        </w:rPr>
        <w:t xml:space="preserve">D) </w:t>
      </w:r>
      <w:r w:rsidRPr="00261473">
        <w:rPr>
          <w:sz w:val="24"/>
          <w:szCs w:val="24"/>
        </w:rPr>
        <w:t xml:space="preserve">The annotations and marker genes of macrophages and dendritic cells. </w:t>
      </w:r>
      <w:r w:rsidRPr="00261473">
        <w:rPr>
          <w:b/>
          <w:bCs/>
          <w:sz w:val="24"/>
          <w:szCs w:val="24"/>
        </w:rPr>
        <w:t>E)</w:t>
      </w:r>
      <w:r w:rsidRPr="00261473">
        <w:rPr>
          <w:sz w:val="24"/>
          <w:szCs w:val="24"/>
        </w:rPr>
        <w:t xml:space="preserve"> The KEGG enrichment terms for every subclusters. </w:t>
      </w:r>
      <w:r w:rsidRPr="00261473">
        <w:rPr>
          <w:b/>
          <w:bCs/>
          <w:sz w:val="24"/>
          <w:szCs w:val="24"/>
        </w:rPr>
        <w:t xml:space="preserve">F) </w:t>
      </w:r>
      <w:r w:rsidRPr="00261473">
        <w:rPr>
          <w:sz w:val="24"/>
          <w:szCs w:val="24"/>
        </w:rPr>
        <w:t>The expression of phagocytosis</w:t>
      </w:r>
      <w:r w:rsidRPr="00261473">
        <w:rPr>
          <w:rFonts w:hint="eastAsia"/>
          <w:sz w:val="24"/>
          <w:szCs w:val="24"/>
          <w:lang w:eastAsia="zh-CN"/>
        </w:rPr>
        <w:t xml:space="preserve"> related genes in </w:t>
      </w:r>
      <w:r w:rsidRPr="00261473">
        <w:rPr>
          <w:sz w:val="24"/>
          <w:szCs w:val="24"/>
        </w:rPr>
        <w:t>macrophages and dendritic cells</w:t>
      </w:r>
      <w:r w:rsidRPr="00261473">
        <w:rPr>
          <w:rFonts w:hint="eastAsia"/>
          <w:sz w:val="24"/>
          <w:szCs w:val="24"/>
          <w:lang w:eastAsia="zh-CN"/>
        </w:rPr>
        <w:t xml:space="preserve">. </w:t>
      </w:r>
      <w:r w:rsidRPr="00261473">
        <w:rPr>
          <w:sz w:val="24"/>
          <w:szCs w:val="24"/>
          <w:lang w:eastAsia="zh-CN"/>
        </w:rPr>
        <w:t>And</w:t>
      </w:r>
      <w:r w:rsidRPr="00261473">
        <w:rPr>
          <w:rFonts w:hint="eastAsia"/>
          <w:sz w:val="24"/>
          <w:szCs w:val="24"/>
          <w:lang w:eastAsia="zh-CN"/>
        </w:rPr>
        <w:t xml:space="preserve"> the genes in wnt pathway of all cells and fibroblasts. </w:t>
      </w:r>
      <w:r w:rsidRPr="00261473">
        <w:rPr>
          <w:b/>
          <w:bCs/>
          <w:sz w:val="24"/>
          <w:szCs w:val="24"/>
        </w:rPr>
        <w:t xml:space="preserve">G) </w:t>
      </w:r>
      <w:r w:rsidRPr="00261473">
        <w:rPr>
          <w:sz w:val="24"/>
          <w:szCs w:val="24"/>
        </w:rPr>
        <w:t xml:space="preserve">The expression of </w:t>
      </w:r>
      <w:bookmarkStart w:id="4" w:name="_Hlk161355335"/>
      <w:r w:rsidRPr="00261473">
        <w:rPr>
          <w:rFonts w:hint="eastAsia"/>
          <w:sz w:val="24"/>
          <w:szCs w:val="24"/>
          <w:lang w:eastAsia="zh-CN"/>
        </w:rPr>
        <w:t>inhibitors of wnt pathway</w:t>
      </w:r>
      <w:r w:rsidRPr="00261473">
        <w:rPr>
          <w:sz w:val="24"/>
          <w:szCs w:val="24"/>
        </w:rPr>
        <w:t xml:space="preserve"> </w:t>
      </w:r>
      <w:bookmarkEnd w:id="4"/>
      <w:r w:rsidRPr="00261473">
        <w:rPr>
          <w:rFonts w:hint="eastAsia"/>
          <w:sz w:val="24"/>
          <w:szCs w:val="24"/>
          <w:lang w:eastAsia="zh-CN"/>
        </w:rPr>
        <w:t>in all cells.</w:t>
      </w:r>
    </w:p>
    <w:p w14:paraId="4D13BAF1" w14:textId="77777777" w:rsidR="00C84AD5" w:rsidRDefault="00C84AD5" w:rsidP="00C84AD5">
      <w:pPr>
        <w:ind w:hanging="142"/>
        <w:jc w:val="center"/>
        <w:rPr>
          <w:sz w:val="24"/>
          <w:szCs w:val="24"/>
          <w:lang w:eastAsia="zh-CN"/>
        </w:rPr>
      </w:pPr>
      <w:r>
        <w:rPr>
          <w:noProof/>
        </w:rPr>
        <w:lastRenderedPageBreak/>
        <w:drawing>
          <wp:inline distT="0" distB="0" distL="0" distR="0" wp14:anchorId="0A1B60FB" wp14:editId="57642A37">
            <wp:extent cx="5274310" cy="3317240"/>
            <wp:effectExtent l="0" t="0" r="2540" b="0"/>
            <wp:docPr id="97172224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1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77F81" w14:textId="77777777" w:rsidR="00C84AD5" w:rsidRDefault="00C84AD5" w:rsidP="00C84AD5">
      <w:pPr>
        <w:ind w:hanging="142"/>
        <w:rPr>
          <w:sz w:val="24"/>
          <w:szCs w:val="24"/>
          <w:lang w:eastAsia="zh-CN"/>
        </w:rPr>
      </w:pPr>
      <w:r w:rsidRPr="00261473">
        <w:rPr>
          <w:b/>
          <w:bCs/>
          <w:sz w:val="24"/>
          <w:szCs w:val="24"/>
        </w:rPr>
        <w:t>Fig S</w:t>
      </w:r>
      <w:r>
        <w:rPr>
          <w:rFonts w:hint="eastAsia"/>
          <w:b/>
          <w:bCs/>
          <w:sz w:val="24"/>
          <w:szCs w:val="24"/>
          <w:lang w:eastAsia="zh-CN"/>
        </w:rPr>
        <w:t>4</w:t>
      </w:r>
      <w:r w:rsidRPr="00261473">
        <w:rPr>
          <w:b/>
          <w:bCs/>
          <w:sz w:val="24"/>
          <w:szCs w:val="24"/>
        </w:rPr>
        <w:t xml:space="preserve">. The subcluster and analysis of neutrophils and macrophages. A) </w:t>
      </w:r>
      <w:r w:rsidRPr="00261473">
        <w:rPr>
          <w:sz w:val="24"/>
          <w:szCs w:val="24"/>
        </w:rPr>
        <w:t xml:space="preserve">The </w:t>
      </w:r>
      <w:r w:rsidRPr="00261473">
        <w:rPr>
          <w:rFonts w:hint="eastAsia"/>
          <w:sz w:val="24"/>
          <w:szCs w:val="24"/>
        </w:rPr>
        <w:t>sub</w:t>
      </w:r>
      <w:r w:rsidRPr="00261473">
        <w:rPr>
          <w:sz w:val="24"/>
          <w:szCs w:val="24"/>
        </w:rPr>
        <w:t>clustering of neutrophils and relative cell ratios</w:t>
      </w:r>
      <w:r>
        <w:rPr>
          <w:rFonts w:hint="eastAsia"/>
          <w:sz w:val="24"/>
          <w:szCs w:val="24"/>
          <w:lang w:eastAsia="zh-CN"/>
        </w:rPr>
        <w:t>. B) M</w:t>
      </w:r>
      <w:r w:rsidRPr="00261473">
        <w:rPr>
          <w:sz w:val="24"/>
          <w:szCs w:val="24"/>
        </w:rPr>
        <w:t>arker genes</w:t>
      </w:r>
      <w:r>
        <w:rPr>
          <w:rFonts w:hint="eastAsia"/>
          <w:sz w:val="24"/>
          <w:szCs w:val="24"/>
          <w:lang w:eastAsia="zh-CN"/>
        </w:rPr>
        <w:t xml:space="preserve"> used for annotations of </w:t>
      </w:r>
      <w:r w:rsidRPr="00837C2E">
        <w:rPr>
          <w:sz w:val="24"/>
          <w:szCs w:val="24"/>
          <w:lang w:eastAsia="zh-CN"/>
        </w:rPr>
        <w:t>neutrophils</w:t>
      </w:r>
      <w:r>
        <w:rPr>
          <w:rFonts w:hint="eastAsia"/>
          <w:sz w:val="24"/>
          <w:szCs w:val="24"/>
          <w:lang w:eastAsia="zh-CN"/>
        </w:rPr>
        <w:t>.</w:t>
      </w:r>
      <w:r w:rsidRPr="00261473">
        <w:rPr>
          <w:sz w:val="24"/>
          <w:szCs w:val="24"/>
        </w:rPr>
        <w:t xml:space="preserve"> </w:t>
      </w:r>
      <w:r w:rsidRPr="00261473">
        <w:rPr>
          <w:b/>
          <w:bCs/>
          <w:sz w:val="24"/>
          <w:szCs w:val="24"/>
        </w:rPr>
        <w:t xml:space="preserve">C) </w:t>
      </w:r>
      <w:r w:rsidRPr="00261473">
        <w:rPr>
          <w:sz w:val="24"/>
          <w:szCs w:val="24"/>
        </w:rPr>
        <w:t>The subclustering</w:t>
      </w:r>
      <w:r>
        <w:rPr>
          <w:rFonts w:hint="eastAsia"/>
          <w:sz w:val="24"/>
          <w:szCs w:val="24"/>
          <w:lang w:eastAsia="zh-CN"/>
        </w:rPr>
        <w:t xml:space="preserve">, </w:t>
      </w:r>
      <w:r w:rsidRPr="00261473">
        <w:rPr>
          <w:sz w:val="24"/>
          <w:szCs w:val="24"/>
        </w:rPr>
        <w:t>annotations and marker gene</w:t>
      </w:r>
      <w:r>
        <w:rPr>
          <w:rFonts w:hint="eastAsia"/>
          <w:sz w:val="24"/>
          <w:szCs w:val="24"/>
          <w:lang w:eastAsia="zh-CN"/>
        </w:rPr>
        <w:t>s</w:t>
      </w:r>
      <w:r w:rsidRPr="00261473">
        <w:rPr>
          <w:sz w:val="24"/>
          <w:szCs w:val="24"/>
        </w:rPr>
        <w:t xml:space="preserve"> of macrophages and dendritic cells. </w:t>
      </w:r>
      <w:r>
        <w:rPr>
          <w:rFonts w:hint="eastAsia"/>
          <w:b/>
          <w:bCs/>
          <w:sz w:val="24"/>
          <w:szCs w:val="24"/>
          <w:lang w:eastAsia="zh-CN"/>
        </w:rPr>
        <w:t>D</w:t>
      </w:r>
      <w:r w:rsidRPr="00261473">
        <w:rPr>
          <w:b/>
          <w:bCs/>
          <w:sz w:val="24"/>
          <w:szCs w:val="24"/>
        </w:rPr>
        <w:t>)</w:t>
      </w:r>
      <w:r w:rsidRPr="00261473">
        <w:rPr>
          <w:sz w:val="24"/>
          <w:szCs w:val="24"/>
        </w:rPr>
        <w:t xml:space="preserve"> The KEGG enrichment terms for every subclusters.</w:t>
      </w:r>
    </w:p>
    <w:p w14:paraId="19E32413" w14:textId="77777777" w:rsidR="00C84AD5" w:rsidRPr="007F7865" w:rsidRDefault="00C84AD5" w:rsidP="00C84AD5">
      <w:pPr>
        <w:ind w:hanging="142"/>
        <w:rPr>
          <w:sz w:val="24"/>
          <w:szCs w:val="24"/>
          <w:lang w:eastAsia="zh-CN"/>
        </w:rPr>
      </w:pPr>
    </w:p>
    <w:bookmarkEnd w:id="3"/>
    <w:p w14:paraId="39EBA6D3" w14:textId="77777777" w:rsidR="00C84AD5" w:rsidRPr="00261473" w:rsidRDefault="00C84AD5" w:rsidP="00C84AD5">
      <w:pPr>
        <w:ind w:hanging="142"/>
        <w:jc w:val="center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8B46030" wp14:editId="7ADAF3F7">
            <wp:extent cx="5274310" cy="5747385"/>
            <wp:effectExtent l="0" t="0" r="2540" b="5715"/>
            <wp:docPr id="143650348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74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BAFCA" w14:textId="77777777" w:rsidR="00C84AD5" w:rsidRPr="008D4DEA" w:rsidRDefault="00C84AD5" w:rsidP="00C84AD5">
      <w:pPr>
        <w:ind w:hanging="142"/>
        <w:rPr>
          <w:b/>
          <w:bCs/>
          <w:sz w:val="24"/>
          <w:szCs w:val="24"/>
          <w:lang w:eastAsia="zh-CN"/>
        </w:rPr>
      </w:pPr>
      <w:bookmarkStart w:id="5" w:name="_Hlk161399871"/>
      <w:r w:rsidRPr="00261473">
        <w:rPr>
          <w:b/>
          <w:bCs/>
          <w:sz w:val="24"/>
          <w:szCs w:val="24"/>
        </w:rPr>
        <w:t>Fig S</w:t>
      </w:r>
      <w:r>
        <w:rPr>
          <w:rFonts w:hint="eastAsia"/>
          <w:b/>
          <w:bCs/>
          <w:sz w:val="24"/>
          <w:szCs w:val="24"/>
          <w:lang w:eastAsia="zh-CN"/>
        </w:rPr>
        <w:t>5</w:t>
      </w:r>
      <w:r w:rsidRPr="00261473">
        <w:rPr>
          <w:b/>
          <w:bCs/>
          <w:sz w:val="24"/>
          <w:szCs w:val="24"/>
        </w:rPr>
        <w:t>. T</w:t>
      </w:r>
      <w:r w:rsidRPr="00261473">
        <w:rPr>
          <w:b/>
          <w:bCs/>
          <w:sz w:val="24"/>
          <w:szCs w:val="24"/>
          <w:lang w:eastAsia="zh-CN"/>
        </w:rPr>
        <w:t>he</w:t>
      </w:r>
      <w:r w:rsidRPr="00261473">
        <w:rPr>
          <w:b/>
          <w:bCs/>
          <w:sz w:val="24"/>
          <w:szCs w:val="24"/>
        </w:rPr>
        <w:t xml:space="preserve"> function of </w:t>
      </w:r>
      <w:r w:rsidRPr="00261473">
        <w:rPr>
          <w:b/>
          <w:bCs/>
          <w:sz w:val="24"/>
          <w:szCs w:val="24"/>
          <w:lang w:eastAsia="zh-CN"/>
        </w:rPr>
        <w:t>γδT in promoting WIHN is not dependent on IL-17A.</w:t>
      </w:r>
      <w:r>
        <w:rPr>
          <w:rFonts w:hint="eastAsia"/>
          <w:b/>
          <w:bCs/>
          <w:sz w:val="24"/>
          <w:szCs w:val="24"/>
          <w:lang w:eastAsia="zh-CN"/>
        </w:rPr>
        <w:t xml:space="preserve">  </w:t>
      </w:r>
      <w:r w:rsidRPr="00F90FA1">
        <w:rPr>
          <w:b/>
          <w:bCs/>
          <w:sz w:val="24"/>
          <w:szCs w:val="24"/>
          <w:lang w:eastAsia="zh-CN"/>
        </w:rPr>
        <w:t xml:space="preserve">A) </w:t>
      </w:r>
      <w:r w:rsidRPr="00F90FA1">
        <w:rPr>
          <w:rFonts w:hint="eastAsia"/>
          <w:sz w:val="24"/>
          <w:szCs w:val="24"/>
          <w:lang w:eastAsia="zh-CN"/>
        </w:rPr>
        <w:t xml:space="preserve">The chord graph showing the interaction inference between Ker (keratinocytes) and Tc (T cells). </w:t>
      </w:r>
      <w:r w:rsidRPr="00F90FA1">
        <w:rPr>
          <w:b/>
          <w:bCs/>
          <w:sz w:val="24"/>
          <w:szCs w:val="24"/>
          <w:lang w:eastAsia="zh-CN"/>
        </w:rPr>
        <w:t xml:space="preserve">B) </w:t>
      </w:r>
      <w:r w:rsidRPr="00261473">
        <w:rPr>
          <w:sz w:val="24"/>
          <w:szCs w:val="24"/>
          <w:lang w:eastAsia="zh-CN"/>
        </w:rPr>
        <w:t>The expression of Fgf9 and IL-17a in scRNA data. The feature plots showing the expression of IL-17a in T cells were mainly in γδT cells and the expression levels were different in TLR9agonist_LW and WT_LW.</w:t>
      </w:r>
      <w:r>
        <w:rPr>
          <w:rFonts w:hint="eastAsia"/>
          <w:sz w:val="24"/>
          <w:szCs w:val="24"/>
          <w:lang w:eastAsia="zh-CN"/>
        </w:rPr>
        <w:t xml:space="preserve"> </w:t>
      </w:r>
      <w:r w:rsidRPr="00F90FA1">
        <w:rPr>
          <w:rFonts w:hint="eastAsia"/>
          <w:b/>
          <w:bCs/>
          <w:sz w:val="24"/>
          <w:szCs w:val="24"/>
          <w:lang w:eastAsia="zh-CN"/>
        </w:rPr>
        <w:t>C)</w:t>
      </w:r>
      <w:r>
        <w:rPr>
          <w:rFonts w:hint="eastAsia"/>
          <w:b/>
          <w:bCs/>
          <w:sz w:val="24"/>
          <w:szCs w:val="24"/>
          <w:lang w:eastAsia="zh-CN"/>
        </w:rPr>
        <w:t xml:space="preserve"> </w:t>
      </w:r>
      <w:r w:rsidRPr="008D4DEA">
        <w:rPr>
          <w:sz w:val="24"/>
          <w:szCs w:val="24"/>
          <w:lang w:eastAsia="zh-CN"/>
        </w:rPr>
        <w:t>The differential interaction pathways in TLR9agonist_LW and WT_LW.</w:t>
      </w:r>
      <w:r>
        <w:rPr>
          <w:rFonts w:hint="eastAsia"/>
          <w:b/>
          <w:bCs/>
          <w:sz w:val="24"/>
          <w:szCs w:val="24"/>
          <w:lang w:eastAsia="zh-CN"/>
        </w:rPr>
        <w:t xml:space="preserve"> D</w:t>
      </w:r>
      <w:r w:rsidRPr="00F90FA1">
        <w:rPr>
          <w:b/>
          <w:bCs/>
          <w:sz w:val="24"/>
          <w:szCs w:val="24"/>
          <w:lang w:eastAsia="zh-CN"/>
        </w:rPr>
        <w:t>)</w:t>
      </w:r>
      <w:r w:rsidRPr="00261473">
        <w:rPr>
          <w:sz w:val="24"/>
          <w:szCs w:val="24"/>
          <w:lang w:eastAsia="zh-CN"/>
        </w:rPr>
        <w:t xml:space="preserve"> The IL-17 interaction networks between T cells and keratinocytes in TLR9agonist_LW and WT_LW. </w:t>
      </w:r>
      <w:r w:rsidRPr="00F90FA1">
        <w:rPr>
          <w:rFonts w:hint="eastAsia"/>
          <w:b/>
          <w:bCs/>
          <w:sz w:val="24"/>
          <w:szCs w:val="24"/>
          <w:lang w:eastAsia="zh-CN"/>
        </w:rPr>
        <w:t>E</w:t>
      </w:r>
      <w:r w:rsidRPr="00F90FA1">
        <w:rPr>
          <w:b/>
          <w:bCs/>
          <w:sz w:val="24"/>
          <w:szCs w:val="24"/>
          <w:lang w:eastAsia="zh-CN"/>
        </w:rPr>
        <w:t>)</w:t>
      </w:r>
      <w:r w:rsidRPr="00261473">
        <w:rPr>
          <w:sz w:val="24"/>
          <w:szCs w:val="24"/>
          <w:lang w:eastAsia="zh-CN"/>
        </w:rPr>
        <w:t xml:space="preserve"> The expression of IL-17A in WT_LW, WT_eLW and TLR9agonist_LW at SD2 was detected by western blotting. GAPDH was used as loading control. </w:t>
      </w:r>
      <w:r>
        <w:rPr>
          <w:rFonts w:hint="eastAsia"/>
          <w:b/>
          <w:bCs/>
          <w:sz w:val="24"/>
          <w:szCs w:val="24"/>
          <w:lang w:eastAsia="zh-CN"/>
        </w:rPr>
        <w:t>F</w:t>
      </w:r>
      <w:r w:rsidRPr="00261473">
        <w:rPr>
          <w:b/>
          <w:bCs/>
          <w:sz w:val="24"/>
          <w:szCs w:val="24"/>
        </w:rPr>
        <w:t xml:space="preserve">) </w:t>
      </w:r>
      <w:r w:rsidRPr="00261473">
        <w:rPr>
          <w:sz w:val="24"/>
          <w:szCs w:val="24"/>
        </w:rPr>
        <w:t>The photos of wounds in TLR9agonist_LW injected with Ctrl-IgG (30000-0-AP, Proteintech), or anti-IL-17A (10μg per time per mouse. PAB30184, Bioswamp). Pictures were taken from same mice in the time span.</w:t>
      </w:r>
      <w:r w:rsidRPr="00261473">
        <w:rPr>
          <w:sz w:val="24"/>
          <w:szCs w:val="24"/>
          <w:lang w:eastAsia="zh-CN"/>
        </w:rPr>
        <w:t xml:space="preserve"> </w:t>
      </w:r>
      <w:r>
        <w:rPr>
          <w:rFonts w:hint="eastAsia"/>
          <w:b/>
          <w:bCs/>
          <w:sz w:val="24"/>
          <w:szCs w:val="24"/>
          <w:lang w:eastAsia="zh-CN"/>
        </w:rPr>
        <w:t>G-H</w:t>
      </w:r>
      <w:r w:rsidRPr="00261473">
        <w:rPr>
          <w:b/>
          <w:bCs/>
          <w:sz w:val="24"/>
          <w:szCs w:val="24"/>
        </w:rPr>
        <w:t xml:space="preserve">) </w:t>
      </w:r>
      <w:r w:rsidRPr="00261473">
        <w:rPr>
          <w:sz w:val="24"/>
          <w:szCs w:val="24"/>
        </w:rPr>
        <w:t xml:space="preserve">The changes of healing speeds and regeneration outcomes after injection of anti-IL-17A or Control-IgG into the wound bed at PWD 0,3,6. </w:t>
      </w:r>
      <w:r w:rsidRPr="00261473">
        <w:rPr>
          <w:sz w:val="24"/>
          <w:szCs w:val="24"/>
          <w:lang w:eastAsia="zh-CN"/>
        </w:rPr>
        <w:t>n</w:t>
      </w:r>
      <w:r w:rsidRPr="00261473">
        <w:rPr>
          <w:sz w:val="24"/>
          <w:szCs w:val="24"/>
        </w:rPr>
        <w:t xml:space="preserve">=3-4 for each group. </w:t>
      </w:r>
      <w:r>
        <w:rPr>
          <w:rFonts w:hint="eastAsia"/>
          <w:b/>
          <w:bCs/>
          <w:sz w:val="24"/>
          <w:szCs w:val="24"/>
          <w:lang w:eastAsia="zh-CN"/>
        </w:rPr>
        <w:t>I</w:t>
      </w:r>
      <w:r w:rsidRPr="00261473">
        <w:rPr>
          <w:b/>
          <w:bCs/>
          <w:sz w:val="24"/>
          <w:szCs w:val="24"/>
          <w:lang w:eastAsia="zh-CN"/>
        </w:rPr>
        <w:t xml:space="preserve">) </w:t>
      </w:r>
      <w:r w:rsidRPr="00261473">
        <w:rPr>
          <w:sz w:val="24"/>
          <w:szCs w:val="24"/>
          <w:lang w:eastAsia="zh-CN"/>
        </w:rPr>
        <w:t xml:space="preserve">The chord plots showing the </w:t>
      </w:r>
      <w:r w:rsidRPr="00261473">
        <w:rPr>
          <w:sz w:val="24"/>
          <w:szCs w:val="24"/>
          <w:lang w:eastAsia="zh-CN"/>
        </w:rPr>
        <w:lastRenderedPageBreak/>
        <w:t xml:space="preserve">EGF signaling pathway network between T cells and keratinocytes in TLR9agonist_LW and WT_LW. The interaction of EGF pathway between T cells and keratinocytes was mostly between γδT cells to uHF_d, IFE_d, OB and HG. </w:t>
      </w:r>
      <w:r>
        <w:rPr>
          <w:rFonts w:hint="eastAsia"/>
          <w:b/>
          <w:bCs/>
          <w:sz w:val="24"/>
          <w:szCs w:val="24"/>
          <w:lang w:eastAsia="zh-CN"/>
        </w:rPr>
        <w:t>J</w:t>
      </w:r>
      <w:r w:rsidRPr="00261473">
        <w:rPr>
          <w:b/>
          <w:bCs/>
          <w:sz w:val="24"/>
          <w:szCs w:val="24"/>
          <w:lang w:eastAsia="zh-CN"/>
        </w:rPr>
        <w:t xml:space="preserve">) </w:t>
      </w:r>
      <w:r w:rsidRPr="00261473">
        <w:rPr>
          <w:sz w:val="24"/>
          <w:szCs w:val="24"/>
          <w:lang w:eastAsia="zh-CN"/>
        </w:rPr>
        <w:t>The heatmaps showing the EGF signaling pathway network between T cells and keratinocytes in TLR9agonist_LW and WT_LW.</w:t>
      </w:r>
    </w:p>
    <w:p w14:paraId="5E43A8A1" w14:textId="77777777" w:rsidR="00C84AD5" w:rsidRPr="00261473" w:rsidRDefault="00C84AD5" w:rsidP="00C84AD5">
      <w:pPr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br w:type="page"/>
      </w:r>
    </w:p>
    <w:bookmarkEnd w:id="5"/>
    <w:p w14:paraId="64A916EE" w14:textId="49E14A93" w:rsidR="00C84AD5" w:rsidRPr="00261473" w:rsidRDefault="00B074EE" w:rsidP="00C84AD5">
      <w:pPr>
        <w:ind w:hanging="142"/>
        <w:jc w:val="center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BF88B6F" wp14:editId="4BA0818B">
            <wp:extent cx="5274310" cy="3282315"/>
            <wp:effectExtent l="0" t="0" r="2540" b="0"/>
            <wp:docPr id="19287111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8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19E9F" w14:textId="77777777" w:rsidR="00C84AD5" w:rsidRPr="00261473" w:rsidRDefault="00C84AD5" w:rsidP="00C84AD5">
      <w:pPr>
        <w:ind w:hanging="142"/>
        <w:rPr>
          <w:b/>
          <w:bCs/>
          <w:sz w:val="24"/>
          <w:szCs w:val="24"/>
        </w:rPr>
      </w:pPr>
      <w:bookmarkStart w:id="6" w:name="_Hlk161399879"/>
      <w:r w:rsidRPr="00261473">
        <w:rPr>
          <w:b/>
          <w:bCs/>
          <w:sz w:val="24"/>
          <w:szCs w:val="24"/>
        </w:rPr>
        <w:t>Fig S</w:t>
      </w:r>
      <w:r>
        <w:rPr>
          <w:rFonts w:hint="eastAsia"/>
          <w:b/>
          <w:bCs/>
          <w:sz w:val="24"/>
          <w:szCs w:val="24"/>
          <w:lang w:eastAsia="zh-CN"/>
        </w:rPr>
        <w:t>6</w:t>
      </w:r>
      <w:r w:rsidRPr="00261473">
        <w:rPr>
          <w:b/>
          <w:bCs/>
          <w:sz w:val="24"/>
          <w:szCs w:val="24"/>
        </w:rPr>
        <w:t xml:space="preserve">. The effect of recombinant AREG to Hacat after 48h. A) </w:t>
      </w:r>
      <w:r w:rsidRPr="00261473">
        <w:rPr>
          <w:sz w:val="24"/>
          <w:szCs w:val="24"/>
        </w:rPr>
        <w:t xml:space="preserve">The differential appearance of cells growth after being cultured with mouse recombinant AREG protein (100ng/mL, 500ng/mL, 1000ng/mL) (P15514, novoprotein) </w:t>
      </w:r>
      <w:r w:rsidRPr="00261473">
        <w:rPr>
          <w:rFonts w:hint="eastAsia"/>
          <w:sz w:val="24"/>
          <w:szCs w:val="24"/>
          <w:lang w:eastAsia="zh-CN"/>
        </w:rPr>
        <w:t>in</w:t>
      </w:r>
      <w:r w:rsidRPr="00261473">
        <w:rPr>
          <w:sz w:val="24"/>
          <w:szCs w:val="24"/>
        </w:rPr>
        <w:t xml:space="preserve"> the culture medium for 48h. </w:t>
      </w:r>
      <w:r w:rsidRPr="00261473">
        <w:rPr>
          <w:b/>
          <w:bCs/>
          <w:sz w:val="24"/>
          <w:szCs w:val="24"/>
          <w:lang w:eastAsia="zh-CN"/>
        </w:rPr>
        <w:t xml:space="preserve">B) </w:t>
      </w:r>
      <w:r w:rsidRPr="00261473">
        <w:rPr>
          <w:sz w:val="24"/>
          <w:szCs w:val="24"/>
          <w:lang w:eastAsia="zh-CN"/>
        </w:rPr>
        <w:t>The FPKM (fragments per kilobase of transcript per million fragments</w:t>
      </w:r>
      <w:r w:rsidRPr="00261473">
        <w:rPr>
          <w:rFonts w:hint="eastAsia"/>
          <w:sz w:val="24"/>
          <w:szCs w:val="24"/>
          <w:lang w:eastAsia="zh-CN"/>
        </w:rPr>
        <w:t xml:space="preserve">) </w:t>
      </w:r>
      <w:r w:rsidRPr="00261473">
        <w:rPr>
          <w:sz w:val="24"/>
          <w:szCs w:val="24"/>
          <w:lang w:eastAsia="zh-CN"/>
        </w:rPr>
        <w:t xml:space="preserve">of Areg in wounds with different WIHN </w:t>
      </w:r>
      <w:r w:rsidRPr="00261473">
        <w:rPr>
          <w:rFonts w:hint="eastAsia"/>
          <w:sz w:val="24"/>
          <w:szCs w:val="24"/>
          <w:lang w:eastAsia="zh-CN"/>
        </w:rPr>
        <w:t>out</w:t>
      </w:r>
      <w:r w:rsidRPr="00261473">
        <w:rPr>
          <w:sz w:val="24"/>
          <w:szCs w:val="24"/>
          <w:lang w:eastAsia="zh-CN"/>
        </w:rPr>
        <w:t>comes from GSE159939. The wound center at PWD14 in Mus musculus (high-WIHN) and the whole wound at PWD14 in Acomys spiny mice (high-WIHN) have higher expression level of Areg than the wound margin at PWD14 in Mus musculus (low-WIHN).</w:t>
      </w:r>
    </w:p>
    <w:bookmarkEnd w:id="6"/>
    <w:p w14:paraId="7B8F24C2" w14:textId="77777777" w:rsidR="00C84AD5" w:rsidRDefault="00C84AD5" w:rsidP="00C84AD5">
      <w:pPr>
        <w:ind w:hanging="142"/>
        <w:rPr>
          <w:sz w:val="24"/>
          <w:szCs w:val="24"/>
          <w:lang w:eastAsia="zh-CN"/>
        </w:rPr>
      </w:pPr>
    </w:p>
    <w:p w14:paraId="3D820F01" w14:textId="77777777" w:rsidR="00C84AD5" w:rsidRDefault="00C84AD5" w:rsidP="00C84AD5">
      <w:pPr>
        <w:rPr>
          <w:rFonts w:eastAsia="等线"/>
          <w:b/>
          <w:bCs/>
          <w:sz w:val="24"/>
          <w:szCs w:val="24"/>
        </w:rPr>
      </w:pPr>
      <w:r>
        <w:rPr>
          <w:rFonts w:eastAsia="等线"/>
          <w:b/>
          <w:bCs/>
          <w:sz w:val="24"/>
          <w:szCs w:val="24"/>
        </w:rPr>
        <w:br w:type="page"/>
      </w:r>
    </w:p>
    <w:p w14:paraId="41865BD3" w14:textId="77777777" w:rsidR="00C84AD5" w:rsidRPr="00914008" w:rsidRDefault="00C84AD5" w:rsidP="00C84AD5">
      <w:pPr>
        <w:rPr>
          <w:rFonts w:eastAsia="等线"/>
          <w:b/>
          <w:bCs/>
          <w:sz w:val="24"/>
          <w:szCs w:val="24"/>
        </w:rPr>
      </w:pPr>
      <w:r w:rsidRPr="00914008">
        <w:rPr>
          <w:rFonts w:eastAsia="等线"/>
          <w:b/>
          <w:bCs/>
          <w:sz w:val="24"/>
          <w:szCs w:val="24"/>
        </w:rPr>
        <w:lastRenderedPageBreak/>
        <w:t>T</w:t>
      </w:r>
      <w:r w:rsidRPr="00914008">
        <w:rPr>
          <w:rFonts w:eastAsia="等线" w:hint="eastAsia"/>
          <w:b/>
          <w:bCs/>
          <w:sz w:val="24"/>
          <w:szCs w:val="24"/>
          <w:lang w:eastAsia="zh-CN"/>
        </w:rPr>
        <w:t>ab</w:t>
      </w:r>
      <w:r w:rsidRPr="00914008">
        <w:rPr>
          <w:rFonts w:eastAsia="等线"/>
          <w:b/>
          <w:bCs/>
          <w:sz w:val="24"/>
          <w:szCs w:val="24"/>
          <w:lang w:eastAsia="zh-CN"/>
        </w:rPr>
        <w:t>le</w:t>
      </w:r>
      <w:r w:rsidRPr="00914008">
        <w:rPr>
          <w:rFonts w:eastAsia="等线"/>
          <w:b/>
          <w:bCs/>
          <w:sz w:val="24"/>
          <w:szCs w:val="24"/>
        </w:rPr>
        <w:t xml:space="preserve"> S1: Primers used for RT-qPCR:</w:t>
      </w:r>
    </w:p>
    <w:tbl>
      <w:tblPr>
        <w:tblStyle w:val="11"/>
        <w:tblW w:w="9366" w:type="dxa"/>
        <w:jc w:val="center"/>
        <w:tblLook w:val="04A0" w:firstRow="1" w:lastRow="0" w:firstColumn="1" w:lastColumn="0" w:noHBand="0" w:noVBand="1"/>
      </w:tblPr>
      <w:tblGrid>
        <w:gridCol w:w="1453"/>
        <w:gridCol w:w="1465"/>
        <w:gridCol w:w="3122"/>
        <w:gridCol w:w="3326"/>
      </w:tblGrid>
      <w:tr w:rsidR="00C84AD5" w:rsidRPr="00914008" w14:paraId="08254157" w14:textId="77777777" w:rsidTr="005D03DA">
        <w:trPr>
          <w:jc w:val="center"/>
        </w:trPr>
        <w:tc>
          <w:tcPr>
            <w:tcW w:w="1453" w:type="dxa"/>
          </w:tcPr>
          <w:p w14:paraId="5A7D8BE9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Gene symbol</w:t>
            </w:r>
          </w:p>
        </w:tc>
        <w:tc>
          <w:tcPr>
            <w:tcW w:w="1465" w:type="dxa"/>
          </w:tcPr>
          <w:p w14:paraId="1D6D56D1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Species</w:t>
            </w:r>
          </w:p>
        </w:tc>
        <w:tc>
          <w:tcPr>
            <w:tcW w:w="3122" w:type="dxa"/>
          </w:tcPr>
          <w:p w14:paraId="06A85C5B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Forward (5’-3’)</w:t>
            </w:r>
          </w:p>
        </w:tc>
        <w:tc>
          <w:tcPr>
            <w:tcW w:w="3326" w:type="dxa"/>
          </w:tcPr>
          <w:p w14:paraId="03EBCD07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Reverse (3’-5’)</w:t>
            </w:r>
          </w:p>
        </w:tc>
      </w:tr>
      <w:tr w:rsidR="00C84AD5" w:rsidRPr="00914008" w14:paraId="286E6D40" w14:textId="77777777" w:rsidTr="005D03DA">
        <w:trPr>
          <w:jc w:val="center"/>
        </w:trPr>
        <w:tc>
          <w:tcPr>
            <w:tcW w:w="1453" w:type="dxa"/>
          </w:tcPr>
          <w:p w14:paraId="18485823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Cytb</w:t>
            </w:r>
          </w:p>
        </w:tc>
        <w:tc>
          <w:tcPr>
            <w:tcW w:w="1465" w:type="dxa"/>
          </w:tcPr>
          <w:p w14:paraId="2A69ECAA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Mouse</w:t>
            </w:r>
          </w:p>
        </w:tc>
        <w:tc>
          <w:tcPr>
            <w:tcW w:w="3122" w:type="dxa"/>
          </w:tcPr>
          <w:p w14:paraId="3CA90735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TGAGGGGGCTTCTCAGTAGA</w:t>
            </w:r>
          </w:p>
        </w:tc>
        <w:tc>
          <w:tcPr>
            <w:tcW w:w="3326" w:type="dxa"/>
          </w:tcPr>
          <w:p w14:paraId="3B8640BD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CTGTTTCGTGGAGGAAGAGG</w:t>
            </w:r>
          </w:p>
        </w:tc>
      </w:tr>
      <w:tr w:rsidR="00C84AD5" w:rsidRPr="00914008" w14:paraId="764304A4" w14:textId="77777777" w:rsidTr="005D03DA">
        <w:trPr>
          <w:jc w:val="center"/>
        </w:trPr>
        <w:tc>
          <w:tcPr>
            <w:tcW w:w="1453" w:type="dxa"/>
          </w:tcPr>
          <w:p w14:paraId="2F61FAE1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Cytb</w:t>
            </w:r>
          </w:p>
        </w:tc>
        <w:tc>
          <w:tcPr>
            <w:tcW w:w="1465" w:type="dxa"/>
          </w:tcPr>
          <w:p w14:paraId="5CE26047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Human</w:t>
            </w:r>
          </w:p>
        </w:tc>
        <w:tc>
          <w:tcPr>
            <w:tcW w:w="3122" w:type="dxa"/>
          </w:tcPr>
          <w:p w14:paraId="73947C20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ATGACCCCAATACGCAAAAT</w:t>
            </w:r>
          </w:p>
        </w:tc>
        <w:tc>
          <w:tcPr>
            <w:tcW w:w="3326" w:type="dxa"/>
          </w:tcPr>
          <w:p w14:paraId="226ACCE4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CGAAGTTTCATCATGCGGAG</w:t>
            </w:r>
          </w:p>
        </w:tc>
      </w:tr>
      <w:tr w:rsidR="00C84AD5" w:rsidRPr="00914008" w14:paraId="7F53084D" w14:textId="77777777" w:rsidTr="005D03DA">
        <w:trPr>
          <w:jc w:val="center"/>
        </w:trPr>
        <w:tc>
          <w:tcPr>
            <w:tcW w:w="1453" w:type="dxa"/>
          </w:tcPr>
          <w:p w14:paraId="0416022A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Tlr9</w:t>
            </w:r>
          </w:p>
        </w:tc>
        <w:tc>
          <w:tcPr>
            <w:tcW w:w="1465" w:type="dxa"/>
          </w:tcPr>
          <w:p w14:paraId="5B5DBF07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Mouse</w:t>
            </w:r>
          </w:p>
        </w:tc>
        <w:tc>
          <w:tcPr>
            <w:tcW w:w="3122" w:type="dxa"/>
          </w:tcPr>
          <w:p w14:paraId="36764B1B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TGTGAGCTGAAGCCTCATGG</w:t>
            </w:r>
          </w:p>
        </w:tc>
        <w:tc>
          <w:tcPr>
            <w:tcW w:w="3326" w:type="dxa"/>
          </w:tcPr>
          <w:p w14:paraId="732C234C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GGACAGGTGGACGAAGTCAG</w:t>
            </w:r>
          </w:p>
        </w:tc>
      </w:tr>
      <w:tr w:rsidR="00C84AD5" w:rsidRPr="00914008" w14:paraId="76FE49E0" w14:textId="77777777" w:rsidTr="005D03DA">
        <w:trPr>
          <w:jc w:val="center"/>
        </w:trPr>
        <w:tc>
          <w:tcPr>
            <w:tcW w:w="1453" w:type="dxa"/>
          </w:tcPr>
          <w:p w14:paraId="2F726F2E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Tlr9</w:t>
            </w:r>
          </w:p>
        </w:tc>
        <w:tc>
          <w:tcPr>
            <w:tcW w:w="1465" w:type="dxa"/>
          </w:tcPr>
          <w:p w14:paraId="541FFF44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Human</w:t>
            </w:r>
          </w:p>
        </w:tc>
        <w:tc>
          <w:tcPr>
            <w:tcW w:w="3122" w:type="dxa"/>
            <w:vAlign w:val="bottom"/>
          </w:tcPr>
          <w:p w14:paraId="6A90BF73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CTGCGTTTTGTCGAAGACCA</w:t>
            </w:r>
          </w:p>
        </w:tc>
        <w:tc>
          <w:tcPr>
            <w:tcW w:w="3326" w:type="dxa"/>
            <w:vAlign w:val="center"/>
          </w:tcPr>
          <w:p w14:paraId="4E0D8042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CCCACCTGTCACTCAAGTACA</w:t>
            </w:r>
          </w:p>
        </w:tc>
      </w:tr>
      <w:tr w:rsidR="00C84AD5" w:rsidRPr="00914008" w14:paraId="5CCB0FA2" w14:textId="77777777" w:rsidTr="005D03DA">
        <w:trPr>
          <w:jc w:val="center"/>
        </w:trPr>
        <w:tc>
          <w:tcPr>
            <w:tcW w:w="1453" w:type="dxa"/>
          </w:tcPr>
          <w:p w14:paraId="146517C7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Areg</w:t>
            </w:r>
          </w:p>
        </w:tc>
        <w:tc>
          <w:tcPr>
            <w:tcW w:w="1465" w:type="dxa"/>
          </w:tcPr>
          <w:p w14:paraId="054DFB72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Human</w:t>
            </w:r>
          </w:p>
        </w:tc>
        <w:tc>
          <w:tcPr>
            <w:tcW w:w="3122" w:type="dxa"/>
          </w:tcPr>
          <w:p w14:paraId="1BB40933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TGAGATGTCTTCAGGGAGTG</w:t>
            </w:r>
          </w:p>
        </w:tc>
        <w:tc>
          <w:tcPr>
            <w:tcW w:w="3326" w:type="dxa"/>
          </w:tcPr>
          <w:p w14:paraId="64D1B9A0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AGCCAGGTATTTGTGGTTCG</w:t>
            </w:r>
          </w:p>
        </w:tc>
      </w:tr>
      <w:tr w:rsidR="00C84AD5" w:rsidRPr="00914008" w14:paraId="36E79C00" w14:textId="77777777" w:rsidTr="005D03DA">
        <w:trPr>
          <w:jc w:val="center"/>
        </w:trPr>
        <w:tc>
          <w:tcPr>
            <w:tcW w:w="1453" w:type="dxa"/>
          </w:tcPr>
          <w:p w14:paraId="752391E4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Wnt10b</w:t>
            </w:r>
          </w:p>
        </w:tc>
        <w:tc>
          <w:tcPr>
            <w:tcW w:w="1465" w:type="dxa"/>
          </w:tcPr>
          <w:p w14:paraId="70A0C213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Human</w:t>
            </w:r>
          </w:p>
        </w:tc>
        <w:tc>
          <w:tcPr>
            <w:tcW w:w="3122" w:type="dxa"/>
          </w:tcPr>
          <w:p w14:paraId="6242429E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CATCCAGGCACGAATGCGA</w:t>
            </w:r>
          </w:p>
        </w:tc>
        <w:tc>
          <w:tcPr>
            <w:tcW w:w="3326" w:type="dxa"/>
          </w:tcPr>
          <w:p w14:paraId="2302A102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CGGTTGTGGGTATCAATGAAGA</w:t>
            </w:r>
          </w:p>
        </w:tc>
      </w:tr>
      <w:tr w:rsidR="00C84AD5" w:rsidRPr="00914008" w14:paraId="3B2278B1" w14:textId="77777777" w:rsidTr="005D03DA">
        <w:trPr>
          <w:jc w:val="center"/>
        </w:trPr>
        <w:tc>
          <w:tcPr>
            <w:tcW w:w="1453" w:type="dxa"/>
          </w:tcPr>
          <w:p w14:paraId="6E587068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Ctnnb1</w:t>
            </w:r>
          </w:p>
        </w:tc>
        <w:tc>
          <w:tcPr>
            <w:tcW w:w="1465" w:type="dxa"/>
          </w:tcPr>
          <w:p w14:paraId="51DD3FC4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Human</w:t>
            </w:r>
          </w:p>
        </w:tc>
        <w:tc>
          <w:tcPr>
            <w:tcW w:w="3122" w:type="dxa"/>
          </w:tcPr>
          <w:p w14:paraId="2FE410F4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CATGCACCTTTGCGTGAGCA</w:t>
            </w:r>
          </w:p>
        </w:tc>
        <w:tc>
          <w:tcPr>
            <w:tcW w:w="3326" w:type="dxa"/>
          </w:tcPr>
          <w:p w14:paraId="5B6B36CF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CCCCCTCCACAAATTGCTGC</w:t>
            </w:r>
          </w:p>
        </w:tc>
      </w:tr>
      <w:tr w:rsidR="00C84AD5" w:rsidRPr="00914008" w14:paraId="0FBDE6B1" w14:textId="77777777" w:rsidTr="005D03DA">
        <w:trPr>
          <w:jc w:val="center"/>
        </w:trPr>
        <w:tc>
          <w:tcPr>
            <w:tcW w:w="1453" w:type="dxa"/>
          </w:tcPr>
          <w:p w14:paraId="347D01CE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Twist1</w:t>
            </w:r>
          </w:p>
        </w:tc>
        <w:tc>
          <w:tcPr>
            <w:tcW w:w="1465" w:type="dxa"/>
          </w:tcPr>
          <w:p w14:paraId="3ABB1E11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Human</w:t>
            </w:r>
          </w:p>
        </w:tc>
        <w:tc>
          <w:tcPr>
            <w:tcW w:w="3122" w:type="dxa"/>
            <w:vAlign w:val="center"/>
          </w:tcPr>
          <w:p w14:paraId="377D5109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GTCCGCAGTCTTACGAG</w:t>
            </w:r>
          </w:p>
        </w:tc>
        <w:tc>
          <w:tcPr>
            <w:tcW w:w="3326" w:type="dxa"/>
            <w:vAlign w:val="center"/>
          </w:tcPr>
          <w:p w14:paraId="5D9A9E75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CACGCCCTGTTTCTTTG</w:t>
            </w:r>
          </w:p>
        </w:tc>
      </w:tr>
      <w:tr w:rsidR="00C84AD5" w:rsidRPr="00914008" w14:paraId="60395FE1" w14:textId="77777777" w:rsidTr="005D03DA">
        <w:trPr>
          <w:jc w:val="center"/>
        </w:trPr>
        <w:tc>
          <w:tcPr>
            <w:tcW w:w="1453" w:type="dxa"/>
          </w:tcPr>
          <w:p w14:paraId="0347D545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Twist2</w:t>
            </w:r>
          </w:p>
        </w:tc>
        <w:tc>
          <w:tcPr>
            <w:tcW w:w="1465" w:type="dxa"/>
          </w:tcPr>
          <w:p w14:paraId="75CD57AF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Human</w:t>
            </w:r>
          </w:p>
        </w:tc>
        <w:tc>
          <w:tcPr>
            <w:tcW w:w="3122" w:type="dxa"/>
            <w:vAlign w:val="center"/>
          </w:tcPr>
          <w:p w14:paraId="61A9C771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AGAAGTCGAGCGAAGATG</w:t>
            </w:r>
          </w:p>
        </w:tc>
        <w:tc>
          <w:tcPr>
            <w:tcW w:w="3326" w:type="dxa"/>
            <w:vAlign w:val="center"/>
          </w:tcPr>
          <w:p w14:paraId="495515FD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CCTGGTAGAGGAAGTCTATG</w:t>
            </w:r>
          </w:p>
        </w:tc>
      </w:tr>
      <w:tr w:rsidR="00C84AD5" w:rsidRPr="00914008" w14:paraId="71043DD5" w14:textId="77777777" w:rsidTr="005D03DA">
        <w:trPr>
          <w:jc w:val="center"/>
        </w:trPr>
        <w:tc>
          <w:tcPr>
            <w:tcW w:w="1453" w:type="dxa"/>
          </w:tcPr>
          <w:p w14:paraId="142013D5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>
              <w:rPr>
                <w:rFonts w:eastAsia="等线" w:hint="eastAsia"/>
                <w:kern w:val="2"/>
                <w:sz w:val="21"/>
                <w:szCs w:val="22"/>
                <w:lang w:eastAsia="zh-CN"/>
              </w:rPr>
              <w:t>Bmp6</w:t>
            </w:r>
          </w:p>
        </w:tc>
        <w:tc>
          <w:tcPr>
            <w:tcW w:w="1465" w:type="dxa"/>
          </w:tcPr>
          <w:p w14:paraId="2DA584BB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5A2E19">
              <w:rPr>
                <w:rFonts w:eastAsia="等线"/>
                <w:kern w:val="2"/>
                <w:sz w:val="21"/>
                <w:szCs w:val="22"/>
                <w:lang w:eastAsia="zh-CN"/>
              </w:rPr>
              <w:t>Human</w:t>
            </w:r>
          </w:p>
        </w:tc>
        <w:tc>
          <w:tcPr>
            <w:tcW w:w="3122" w:type="dxa"/>
            <w:vAlign w:val="center"/>
          </w:tcPr>
          <w:p w14:paraId="41E1D62C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A20E1A">
              <w:rPr>
                <w:rFonts w:eastAsia="等线"/>
                <w:kern w:val="2"/>
                <w:sz w:val="21"/>
                <w:szCs w:val="22"/>
                <w:lang w:eastAsia="zh-CN"/>
              </w:rPr>
              <w:t>CAGCCTGCAGGAAGCATGAG</w:t>
            </w:r>
          </w:p>
        </w:tc>
        <w:tc>
          <w:tcPr>
            <w:tcW w:w="3326" w:type="dxa"/>
            <w:vAlign w:val="center"/>
          </w:tcPr>
          <w:p w14:paraId="0FE22077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A20E1A">
              <w:rPr>
                <w:rFonts w:eastAsia="等线"/>
                <w:kern w:val="2"/>
                <w:sz w:val="21"/>
                <w:szCs w:val="22"/>
                <w:lang w:eastAsia="zh-CN"/>
              </w:rPr>
              <w:t>CAAAGTAAAGAACCGAGATG</w:t>
            </w:r>
          </w:p>
        </w:tc>
      </w:tr>
      <w:tr w:rsidR="00C84AD5" w:rsidRPr="00914008" w14:paraId="6CC64443" w14:textId="77777777" w:rsidTr="005D03DA">
        <w:trPr>
          <w:jc w:val="center"/>
        </w:trPr>
        <w:tc>
          <w:tcPr>
            <w:tcW w:w="1453" w:type="dxa"/>
          </w:tcPr>
          <w:p w14:paraId="4AC514F5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β-actin</w:t>
            </w:r>
          </w:p>
        </w:tc>
        <w:tc>
          <w:tcPr>
            <w:tcW w:w="1465" w:type="dxa"/>
          </w:tcPr>
          <w:p w14:paraId="05C1C928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Mouse/Human</w:t>
            </w:r>
          </w:p>
        </w:tc>
        <w:tc>
          <w:tcPr>
            <w:tcW w:w="3122" w:type="dxa"/>
            <w:vAlign w:val="center"/>
          </w:tcPr>
          <w:p w14:paraId="764EC850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CCAACCGTGAAAAGATGACC</w:t>
            </w:r>
          </w:p>
        </w:tc>
        <w:tc>
          <w:tcPr>
            <w:tcW w:w="3326" w:type="dxa"/>
            <w:vAlign w:val="center"/>
          </w:tcPr>
          <w:p w14:paraId="47679B86" w14:textId="77777777" w:rsidR="00C84AD5" w:rsidRPr="00914008" w:rsidRDefault="00C84AD5" w:rsidP="005D03DA">
            <w:pPr>
              <w:rPr>
                <w:rFonts w:eastAsia="等线"/>
                <w:kern w:val="2"/>
                <w:sz w:val="21"/>
                <w:szCs w:val="22"/>
                <w:lang w:eastAsia="zh-CN"/>
              </w:rPr>
            </w:pPr>
            <w:r w:rsidRPr="00914008">
              <w:rPr>
                <w:rFonts w:eastAsia="等线"/>
                <w:kern w:val="2"/>
                <w:sz w:val="21"/>
                <w:szCs w:val="22"/>
                <w:lang w:eastAsia="zh-CN"/>
              </w:rPr>
              <w:t>ACCAGAGGCATACGGGACA</w:t>
            </w:r>
          </w:p>
        </w:tc>
      </w:tr>
    </w:tbl>
    <w:p w14:paraId="0D359D5A" w14:textId="77777777" w:rsidR="00C84AD5" w:rsidRPr="00914008" w:rsidRDefault="00C84AD5" w:rsidP="00C84AD5">
      <w:pPr>
        <w:widowControl w:val="0"/>
        <w:jc w:val="both"/>
        <w:rPr>
          <w:rFonts w:asciiTheme="minorHAnsi" w:hAnsiTheme="minorHAnsi" w:cstheme="minorBidi"/>
          <w:kern w:val="2"/>
          <w:sz w:val="21"/>
          <w:szCs w:val="22"/>
          <w:lang w:eastAsia="zh-CN"/>
        </w:rPr>
      </w:pPr>
    </w:p>
    <w:p w14:paraId="5CE24575" w14:textId="77777777" w:rsidR="00C84AD5" w:rsidRPr="00261473" w:rsidRDefault="00C84AD5" w:rsidP="00C84AD5">
      <w:pPr>
        <w:ind w:hanging="142"/>
        <w:rPr>
          <w:sz w:val="24"/>
          <w:szCs w:val="24"/>
          <w:lang w:eastAsia="zh-CN"/>
        </w:rPr>
      </w:pPr>
    </w:p>
    <w:p w14:paraId="6CEF326D" w14:textId="77777777" w:rsidR="00925109" w:rsidRPr="00C84AD5" w:rsidRDefault="00925109"/>
    <w:sectPr w:rsidR="00925109" w:rsidRPr="00C84AD5" w:rsidSect="003D67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985"/>
    <w:rsid w:val="003D67C9"/>
    <w:rsid w:val="0052625B"/>
    <w:rsid w:val="006E3985"/>
    <w:rsid w:val="00925109"/>
    <w:rsid w:val="00AA1024"/>
    <w:rsid w:val="00B074EE"/>
    <w:rsid w:val="00C84AD5"/>
    <w:rsid w:val="00F16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4DD6D1-D137-4B68-892A-FCB44E391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4AD5"/>
    <w:rPr>
      <w:rFonts w:ascii="Times New Roman" w:hAnsi="Times New Roman" w:cs="Times New Roman"/>
      <w:kern w:val="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网格型11"/>
    <w:basedOn w:val="a1"/>
    <w:next w:val="a3"/>
    <w:uiPriority w:val="39"/>
    <w:rsid w:val="00C84A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84A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700</Words>
  <Characters>3990</Characters>
  <Application>Microsoft Office Word</Application>
  <DocSecurity>0</DocSecurity>
  <Lines>33</Lines>
  <Paragraphs>9</Paragraphs>
  <ScaleCrop>false</ScaleCrop>
  <Company/>
  <LinksUpToDate>false</LinksUpToDate>
  <CharactersWithSpaces>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李心慧</dc:creator>
  <cp:keywords/>
  <dc:description/>
  <cp:lastModifiedBy>李心慧</cp:lastModifiedBy>
  <cp:revision>4</cp:revision>
  <dcterms:created xsi:type="dcterms:W3CDTF">2024-05-02T15:21:00Z</dcterms:created>
  <dcterms:modified xsi:type="dcterms:W3CDTF">2024-07-09T15:38:00Z</dcterms:modified>
</cp:coreProperties>
</file>