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  <w:t>Supplementary Tables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 and Supplementary Figures</w:t>
      </w:r>
    </w:p>
    <w:p>
      <w:pPr>
        <w:widowControl/>
        <w:jc w:val="left"/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</w:pPr>
    </w:p>
    <w:p>
      <w:pPr>
        <w:bidi w:val="0"/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T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able 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List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of Zn+-dependent JAMM deubiquitinases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 </w:t>
      </w:r>
    </w:p>
    <w:tbl>
      <w:tblPr>
        <w:tblStyle w:val="5"/>
        <w:tblpPr w:leftFromText="180" w:rightFromText="180" w:vertAnchor="text" w:horzAnchor="page" w:tblpX="1994" w:tblpY="68"/>
        <w:tblOverlap w:val="never"/>
        <w:tblW w:w="72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1448"/>
        <w:gridCol w:w="1448"/>
        <w:gridCol w:w="1448"/>
        <w:gridCol w:w="14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5" w:hRule="atLeast"/>
        </w:trPr>
        <w:tc>
          <w:tcPr>
            <w:tcW w:w="144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MYSM1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MPND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COPS6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PRPF8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EIF3H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COPS5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STAMBPL1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BRCC3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STAMBP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PSMD7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PSMD14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tbl>
      <w:tblPr>
        <w:tblStyle w:val="5"/>
        <w:tblW w:w="85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3"/>
        <w:gridCol w:w="746"/>
        <w:gridCol w:w="1607"/>
        <w:gridCol w:w="1552"/>
        <w:gridCol w:w="15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4" w:type="dxa"/>
            <w:gridSpan w:val="5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 w:bidi="ar"/>
                <w14:ligatures w14:val="none"/>
              </w:rPr>
              <w:t>S2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Relationship between STAMBP expression and clinicopathological features.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4" w:type="dxa"/>
            <w:gridSpan w:val="5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Parameters</w:t>
            </w:r>
          </w:p>
        </w:tc>
        <w:tc>
          <w:tcPr>
            <w:tcW w:w="746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n</w:t>
            </w:r>
          </w:p>
        </w:tc>
        <w:tc>
          <w:tcPr>
            <w:tcW w:w="315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STAMBP expression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 xml:space="preserve">     </w:t>
            </w:r>
          </w:p>
        </w:tc>
        <w:tc>
          <w:tcPr>
            <w:tcW w:w="1576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ab/>
            </w: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P value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74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Low (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N</w:t>
            </w: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45</w:t>
            </w: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)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High (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N</w:t>
            </w: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83</w:t>
            </w: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)</w:t>
            </w:r>
          </w:p>
        </w:tc>
        <w:tc>
          <w:tcPr>
            <w:tcW w:w="157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Age (years)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=0.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3581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≤65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50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20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30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＞65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25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53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Sex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P=0.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3319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Female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58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35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Male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70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22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48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Tumour size (cm)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P=0.0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＜5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85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62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≥5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43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22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21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Tumour stage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=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035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T1-T2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49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22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28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T3-T4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79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13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55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Distant metastasis</w:t>
            </w: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ab/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 xml:space="preserve">             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P=0.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9253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No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90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tabs>
                <w:tab w:val="left" w:pos="168"/>
              </w:tabs>
              <w:spacing w:line="400" w:lineRule="atLeast"/>
              <w:ind w:firstLine="600" w:firstLineChars="250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60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Yes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ind w:firstLine="600" w:firstLineChars="250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13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ind w:firstLine="600" w:firstLineChars="250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25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>Histologic grade</w:t>
            </w:r>
            <w:r>
              <w:rPr>
                <w:rFonts w:ascii="Times New Roman" w:hAnsi="Times New Roman" w:eastAsia="宋体" w:cs="Times New Roman"/>
                <w:b/>
                <w:color w:val="000000"/>
                <w:sz w:val="24"/>
                <w:szCs w:val="24"/>
                <w:lang w:bidi="ar"/>
                <w14:ligatures w14:val="none"/>
              </w:rPr>
              <w:tab/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P=0.2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547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High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Low to medium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 xml:space="preserve">   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83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Differentiation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=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127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Well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55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Moderate/poor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73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157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spacing w:line="4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 w:val="24"/>
          <w:szCs w:val="24"/>
          <w14:ligatures w14:val="none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</w:pPr>
    </w:p>
    <w:tbl>
      <w:tblPr>
        <w:tblStyle w:val="5"/>
        <w:tblpPr w:leftFromText="180" w:rightFromText="180" w:vertAnchor="page" w:horzAnchor="page" w:tblpX="1880" w:tblpY="2361"/>
        <w:tblOverlap w:val="never"/>
        <w:tblW w:w="94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1149"/>
        <w:gridCol w:w="1306"/>
        <w:gridCol w:w="1044"/>
        <w:gridCol w:w="1379"/>
        <w:gridCol w:w="1211"/>
        <w:gridCol w:w="9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456" w:type="dxa"/>
            <w:gridSpan w:val="7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S3</w:t>
            </w:r>
            <w:r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. Univariate and multivariate analyses of overall survival in </w:t>
            </w: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PC</w:t>
            </w:r>
            <w:r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patients 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4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Parameters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Univariate analysis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Multivariate analysis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4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(≥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65 vs ＜65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4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1.532</w:t>
            </w:r>
          </w:p>
        </w:tc>
        <w:tc>
          <w:tcPr>
            <w:tcW w:w="130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652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735</w:t>
            </w:r>
          </w:p>
        </w:tc>
        <w:tc>
          <w:tcPr>
            <w:tcW w:w="104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.755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1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(Female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Male)</w:t>
            </w:r>
          </w:p>
        </w:tc>
        <w:tc>
          <w:tcPr>
            <w:tcW w:w="114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751</w:t>
            </w:r>
          </w:p>
        </w:tc>
        <w:tc>
          <w:tcPr>
            <w:tcW w:w="130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792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2.034</w:t>
            </w:r>
          </w:p>
        </w:tc>
        <w:tc>
          <w:tcPr>
            <w:tcW w:w="104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539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1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Distant metastasis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No vs Yes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4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1.369</w:t>
            </w:r>
          </w:p>
        </w:tc>
        <w:tc>
          <w:tcPr>
            <w:tcW w:w="130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0.539-2.865</w:t>
            </w:r>
          </w:p>
        </w:tc>
        <w:tc>
          <w:tcPr>
            <w:tcW w:w="104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0.391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1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TNM stage</w:t>
            </w:r>
            <w:r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T1-T2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T3-T4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4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1.831</w:t>
            </w:r>
          </w:p>
        </w:tc>
        <w:tc>
          <w:tcPr>
            <w:tcW w:w="130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1.385-3.122</w:t>
            </w:r>
          </w:p>
        </w:tc>
        <w:tc>
          <w:tcPr>
            <w:tcW w:w="104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0.081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21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9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Tumor size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＜5 vs 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4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1.799</w:t>
            </w:r>
          </w:p>
        </w:tc>
        <w:tc>
          <w:tcPr>
            <w:tcW w:w="130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551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3.866</w:t>
            </w:r>
          </w:p>
        </w:tc>
        <w:tc>
          <w:tcPr>
            <w:tcW w:w="104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3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378</w:t>
            </w:r>
          </w:p>
        </w:tc>
        <w:tc>
          <w:tcPr>
            <w:tcW w:w="121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9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Histologic grade</w:t>
            </w: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(High vs Low to medium)</w:t>
            </w:r>
          </w:p>
        </w:tc>
        <w:tc>
          <w:tcPr>
            <w:tcW w:w="114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2.834</w:t>
            </w:r>
          </w:p>
        </w:tc>
        <w:tc>
          <w:tcPr>
            <w:tcW w:w="130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636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4.339</w:t>
            </w:r>
          </w:p>
        </w:tc>
        <w:tc>
          <w:tcPr>
            <w:tcW w:w="104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3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651</w:t>
            </w:r>
          </w:p>
        </w:tc>
        <w:tc>
          <w:tcPr>
            <w:tcW w:w="121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389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3.531</w:t>
            </w:r>
          </w:p>
        </w:tc>
        <w:tc>
          <w:tcPr>
            <w:tcW w:w="9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Differentiation</w:t>
            </w:r>
          </w:p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Well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Moderate/Poor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4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839</w:t>
            </w:r>
          </w:p>
        </w:tc>
        <w:tc>
          <w:tcPr>
            <w:tcW w:w="130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365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3.312</w:t>
            </w:r>
          </w:p>
        </w:tc>
        <w:tc>
          <w:tcPr>
            <w:tcW w:w="104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3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121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895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2.241</w:t>
            </w:r>
          </w:p>
        </w:tc>
        <w:tc>
          <w:tcPr>
            <w:tcW w:w="9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STAMBP</w:t>
            </w: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expression </w:t>
            </w:r>
          </w:p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(High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vs 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Low)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5.037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3.045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5.039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851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3.695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005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4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 w:themeColor="text1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 w:themeColor="text1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 w:themeColor="text1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 w:themeColor="text1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 w:themeColor="text1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 w:themeColor="text1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jc w:val="left"/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eastAsia="zh-CN" w:bidi="ar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 w:val="0"/>
          <w:color w:val="000000"/>
          <w:sz w:val="24"/>
          <w:szCs w:val="24"/>
          <w14:ligatures w14:val="none"/>
        </w:rPr>
      </w:pP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val="en-US" w:eastAsia="zh-CN"/>
          <w14:ligatures w14:val="none"/>
        </w:rPr>
        <w:t>Table S4</w:t>
      </w:r>
      <w:r>
        <w:rPr>
          <w:rFonts w:ascii="Times New Roman" w:hAnsi="Times New Roman" w:eastAsia="宋体" w:cs="Times New Roman"/>
          <w:b/>
          <w:bCs w:val="0"/>
          <w:sz w:val="24"/>
          <w:szCs w:val="24"/>
          <w14:ligatures w14:val="none"/>
        </w:rPr>
        <w:t>.</w:t>
      </w:r>
      <w:r>
        <w:rPr>
          <w:rFonts w:ascii="Times New Roman" w:hAnsi="Times New Roman" w:eastAsia="宋体" w:cs="Times New Roman"/>
          <w:b/>
          <w:bCs w:val="0"/>
          <w:szCs w:val="24"/>
          <w14:ligatures w14:val="none"/>
        </w:rPr>
        <w:t xml:space="preserve"> 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14:ligatures w14:val="none"/>
        </w:rPr>
        <w:t>2D image of FDA small molecules and interaction forces obtained through STAMBP protein screening</w:t>
      </w:r>
    </w:p>
    <w:tbl>
      <w:tblPr>
        <w:tblStyle w:val="6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126"/>
        <w:gridCol w:w="1418"/>
        <w:gridCol w:w="1134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  <w:t>No.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Compound name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  <w:t>CAS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  <w:t>Docking</w:t>
            </w:r>
          </w:p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  <w:t>score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  <w:t>Structure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Avatrombopag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570406-98-3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-8.616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1430020"/>
                  <wp:effectExtent l="0" t="0" r="1905" b="8255"/>
                  <wp:docPr id="24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Entrectinib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1108743-60-7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-7.957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1525270"/>
                  <wp:effectExtent l="0" t="0" r="1905" b="8255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52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Ranolazine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95635-55-5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-7.770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1471930"/>
                  <wp:effectExtent l="0" t="0" r="1905" b="4445"/>
                  <wp:docPr id="26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47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DCC-2618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1442472-39-0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-7.389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2302510"/>
                  <wp:effectExtent l="0" t="0" r="1905" b="2540"/>
                  <wp:docPr id="21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230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Olmutinib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1353550-13-6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-7.272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1765300"/>
                  <wp:effectExtent l="0" t="0" r="1905" b="6350"/>
                  <wp:docPr id="23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76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Levonebivolol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118457-14-0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-7.178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1899285"/>
                  <wp:effectExtent l="0" t="0" r="1905" b="5715"/>
                  <wp:docPr id="25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89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Dasatinib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854001-07-3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-7.168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1911985"/>
                  <wp:effectExtent l="0" t="0" r="1905" b="2540"/>
                  <wp:docPr id="3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91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FF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Ivosidenib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1448346-63-1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-7.157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2707005"/>
                  <wp:effectExtent l="0" t="0" r="1905" b="7620"/>
                  <wp:docPr id="3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270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Desfesoterodine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207679-81-0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-7.150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2564765"/>
                  <wp:effectExtent l="0" t="0" r="1905" b="6985"/>
                  <wp:docPr id="3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256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Dasatinib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302962-49-8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-7.149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1668145"/>
                  <wp:effectExtent l="0" t="0" r="1905" b="8255"/>
                  <wp:docPr id="34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66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Zanubrutinib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1691249-45-2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-7.048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1907540"/>
                  <wp:effectExtent l="0" t="0" r="1905" b="6985"/>
                  <wp:docPr id="40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90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Vilazodone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163521-08-2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-7.006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1691005"/>
                  <wp:effectExtent l="0" t="0" r="1905" b="4445"/>
                  <wp:docPr id="27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69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CB-5083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1542705-92-9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-6.961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2177415"/>
                  <wp:effectExtent l="0" t="0" r="1905" b="3810"/>
                  <wp:docPr id="28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217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Frovatriptan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158930-09-7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-6.949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1775460"/>
                  <wp:effectExtent l="0" t="0" r="1905" b="5715"/>
                  <wp:docPr id="35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Nilotinib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641571-10-0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-6.821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1734185"/>
                  <wp:effectExtent l="0" t="0" r="1905" b="8890"/>
                  <wp:docPr id="36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73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Brigatinib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1197953-54-0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-6.810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1997075"/>
                  <wp:effectExtent l="0" t="0" r="1905" b="3175"/>
                  <wp:docPr id="30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99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Canagliflozin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842133-18-0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-6.770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1924050"/>
                  <wp:effectExtent l="0" t="0" r="1905" b="0"/>
                  <wp:docPr id="29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Nicarbazin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330-95-0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-6.766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1751965"/>
                  <wp:effectExtent l="0" t="0" r="1905" b="635"/>
                  <wp:docPr id="31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75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Baricitinib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1187594-09-7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  <w14:ligatures w14:val="none"/>
              </w:rPr>
              <w:t>-6.756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2039620"/>
                  <wp:effectExtent l="0" t="0" r="1905" b="8255"/>
                  <wp:docPr id="32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203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Plerixafor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1"/>
                <w14:ligatures w14:val="none"/>
              </w:rPr>
              <w:t>110078-46-1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14:ligatures w14:val="none"/>
              </w:rPr>
              <w:t>-6.754</w:t>
            </w:r>
          </w:p>
        </w:tc>
        <w:tc>
          <w:tcPr>
            <w:tcW w:w="510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Cs w:val="24"/>
                <w14:ligatures w14:val="none"/>
              </w:rPr>
              <w:drawing>
                <wp:inline distT="0" distB="0" distL="114300" distR="114300">
                  <wp:extent cx="3103245" cy="2008505"/>
                  <wp:effectExtent l="0" t="0" r="1905" b="1270"/>
                  <wp:docPr id="33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Times New Roman" w:hAnsi="Times New Roman" w:eastAsia="宋体" w:cs="Times New Roman"/>
          <w:szCs w:val="24"/>
          <w14:ligatures w14:val="none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s</w:t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bookmarkStart w:id="5" w:name="_GoBack"/>
      <w:bookmarkEnd w:id="5"/>
    </w:p>
    <w:p>
      <w:pPr>
        <w:spacing w:line="360" w:lineRule="auto"/>
        <w:rPr>
          <w:rFonts w:hint="eastAsia" w:ascii="Times New Roman" w:hAnsi="Times New Roman" w:cs="Times New Roman" w:eastAsiaTheme="minorEastAsia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color w:val="auto"/>
          <w:sz w:val="24"/>
          <w:szCs w:val="24"/>
          <w:lang w:eastAsia="zh-CN"/>
        </w:rPr>
        <w:drawing>
          <wp:inline distT="0" distB="0" distL="114300" distR="114300">
            <wp:extent cx="5227320" cy="4225290"/>
            <wp:effectExtent l="0" t="0" r="0" b="0"/>
            <wp:docPr id="1" name="图片 1" descr="85051_3_supp_2219257_shth4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5051_3_supp_2219257_shth4x"/>
                    <pic:cNvPicPr>
                      <a:picLocks noChangeAspect="1"/>
                    </pic:cNvPicPr>
                  </pic:nvPicPr>
                  <pic:blipFill>
                    <a:blip r:embed="rId24"/>
                    <a:srcRect t="5483" r="807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422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1. STAMBP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 xml:space="preserve"> may serve as a valuable new prognostic factor for human PC</w:t>
      </w:r>
      <w:r>
        <w:rPr>
          <w:rFonts w:hint="eastAsia"/>
          <w:color w:val="auto"/>
        </w:rPr>
        <w:t>.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A, Analysis of </w:t>
      </w:r>
      <w:r>
        <w:rPr>
          <w:rFonts w:ascii="Times New Roman" w:hAnsi="Times New Roman" w:cs="Times New Roman"/>
          <w:color w:val="auto"/>
          <w:sz w:val="24"/>
          <w:szCs w:val="24"/>
        </w:rPr>
        <w:t>the 11 differentially expressed Zn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auto"/>
          <w:sz w:val="24"/>
          <w:szCs w:val="24"/>
        </w:rPr>
        <w:t>-dependent JAMM deubiquitinases in PC tissues and the normal tissue from the TCGA-PAAD dataset.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</w:t>
      </w:r>
      <w:bookmarkStart w:id="0" w:name="_Hlk162010072"/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*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>P</w:t>
      </w:r>
      <w:r>
        <w:rPr>
          <w:rFonts w:ascii="Times New Roman" w:hAnsi="Times New Roman" w:cs="Times New Roman"/>
          <w:color w:val="auto"/>
          <w:sz w:val="24"/>
          <w:szCs w:val="24"/>
        </w:rPr>
        <w:t>&lt;0.0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0</w:t>
      </w:r>
      <w:r>
        <w:rPr>
          <w:rFonts w:ascii="Times New Roman" w:hAnsi="Times New Roman" w:cs="Times New Roman"/>
          <w:color w:val="auto"/>
          <w:sz w:val="24"/>
          <w:szCs w:val="24"/>
        </w:rPr>
        <w:t>1.</w:t>
      </w:r>
      <w:bookmarkEnd w:id="0"/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B,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Expression of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STAMBP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progressively increases with the increase of PC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grade</w:t>
      </w:r>
      <w:r>
        <w:rPr>
          <w:rFonts w:ascii="Times New Roman" w:hAnsi="Times New Roman" w:cs="Times New Roman"/>
          <w:color w:val="auto"/>
          <w:sz w:val="24"/>
          <w:szCs w:val="24"/>
        </w:rPr>
        <w:t>s.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>P</w:t>
      </w:r>
      <w:r>
        <w:rPr>
          <w:rFonts w:ascii="Times New Roman" w:hAnsi="Times New Roman" w:cs="Times New Roman"/>
          <w:color w:val="auto"/>
          <w:sz w:val="24"/>
          <w:szCs w:val="24"/>
        </w:rPr>
        <w:t>&lt;0.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0</w:t>
      </w:r>
      <w:r>
        <w:rPr>
          <w:rFonts w:ascii="Times New Roman" w:hAnsi="Times New Roman" w:cs="Times New Roman"/>
          <w:color w:val="auto"/>
          <w:sz w:val="24"/>
          <w:szCs w:val="24"/>
        </w:rPr>
        <w:t>1.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C, </w:t>
      </w:r>
      <w:r>
        <w:rPr>
          <w:rFonts w:ascii="Times New Roman" w:hAnsi="Times New Roman" w:cs="Times New Roman"/>
          <w:color w:val="auto"/>
          <w:sz w:val="24"/>
          <w:szCs w:val="24"/>
        </w:rPr>
        <w:t>The CNV variation frequency of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Zn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auto"/>
          <w:sz w:val="24"/>
          <w:szCs w:val="24"/>
        </w:rPr>
        <w:t>-dependent JAMM deubiquitinases in TCGA-PAAD cohort. The height of the column represented the alteration frequency. The deletion frequency, blue dot; The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amplification frequency, red dot.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D, </w:t>
      </w:r>
      <w:r>
        <w:rPr>
          <w:rFonts w:ascii="Times New Roman" w:hAnsi="Times New Roman" w:cs="Times New Roman"/>
          <w:color w:val="auto"/>
          <w:sz w:val="24"/>
          <w:szCs w:val="24"/>
        </w:rPr>
        <w:t>The location of CNV alteration of Zn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-dependent JAMM deubiquitinases on 23 chromosomes using TCGA-PAAD cohort. </w:t>
      </w:r>
    </w:p>
    <w:p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jc w:val="center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drawing>
          <wp:inline distT="0" distB="0" distL="114300" distR="114300">
            <wp:extent cx="4676140" cy="4511675"/>
            <wp:effectExtent l="0" t="0" r="635" b="3175"/>
            <wp:docPr id="2" name="图片 2" descr="85051_3_supp_2219258_sqtq4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5051_3_supp_2219258_sqtq4x"/>
                    <pic:cNvPicPr>
                      <a:picLocks noChangeAspect="1"/>
                    </pic:cNvPicPr>
                  </pic:nvPicPr>
                  <pic:blipFill>
                    <a:blip r:embed="rId25"/>
                    <a:srcRect t="5263" r="1168"/>
                    <a:stretch>
                      <a:fillRect/>
                    </a:stretch>
                  </pic:blipFill>
                  <pic:spPr>
                    <a:xfrm>
                      <a:off x="0" y="0"/>
                      <a:ext cx="4676140" cy="451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 xml:space="preserve"> Knockdown STAMBP does not affect other proteins in the Zn+-dependent JAMM deubiquitinases family</w:t>
      </w:r>
    </w:p>
    <w:p>
      <w:pPr>
        <w:spacing w:line="360" w:lineRule="auto"/>
        <w:rPr>
          <w:rFonts w:ascii="Times New Roman" w:hAnsi="Times New Roman" w:eastAsia="宋体" w:cs="Times New Roman"/>
          <w:color w:val="auto"/>
          <w:sz w:val="24"/>
          <w:szCs w:val="24"/>
          <w14:ligatures w14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</w:rPr>
        <w:t>A, T</w:t>
      </w:r>
      <w:r>
        <w:rPr>
          <w:rFonts w:ascii="Times New Roman" w:hAnsi="Times New Roman" w:eastAsia="宋体" w:cs="Times New Roman"/>
          <w:color w:val="auto"/>
          <w:sz w:val="24"/>
          <w:szCs w:val="24"/>
          <w14:ligatures w14:val="none"/>
        </w:rPr>
        <w:t xml:space="preserve">he mRNA levels of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14:ligatures w14:val="none"/>
        </w:rPr>
        <w:t>the Zn+-dependent JAMM deubiquitinases family</w:t>
      </w:r>
      <w:r>
        <w:rPr>
          <w:rFonts w:ascii="Times New Roman" w:hAnsi="Times New Roman" w:eastAsia="宋体" w:cs="Times New Roman"/>
          <w:color w:val="auto"/>
          <w:sz w:val="24"/>
          <w:szCs w:val="24"/>
          <w14:ligatures w14:val="none"/>
        </w:rPr>
        <w:t xml:space="preserve"> in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the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PANC-1</w:t>
      </w:r>
      <w:r>
        <w:rPr>
          <w:rFonts w:ascii="Times New Roman" w:hAnsi="Times New Roman" w:cs="Times New Roman"/>
          <w:color w:val="auto"/>
          <w:sz w:val="24"/>
          <w:szCs w:val="24"/>
        </w:rPr>
        <w:t>/sh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STAMBP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cells </w:t>
      </w:r>
      <w:r>
        <w:rPr>
          <w:rFonts w:ascii="Times New Roman" w:hAnsi="Times New Roman" w:eastAsia="宋体" w:cs="Times New Roman"/>
          <w:color w:val="auto"/>
          <w:sz w:val="24"/>
          <w:szCs w:val="24"/>
          <w14:ligatures w14:val="none"/>
        </w:rPr>
        <w:t>were detected by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14:ligatures w14:val="none"/>
        </w:rPr>
        <w:t xml:space="preserve">qRT-PCR. </w:t>
      </w:r>
      <w:r>
        <w:rPr>
          <w:rFonts w:ascii="Times New Roman" w:hAnsi="Times New Roman" w:eastAsia="宋体" w:cs="Times New Roman"/>
          <w:color w:val="auto"/>
          <w:sz w:val="24"/>
          <w:szCs w:val="24"/>
          <w:vertAlign w:val="superscript"/>
          <w14:ligatures w14:val="none"/>
        </w:rPr>
        <w:t>*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vertAlign w:val="superscript"/>
          <w14:ligatures w14:val="none"/>
        </w:rPr>
        <w:t>**</w:t>
      </w:r>
      <w:r>
        <w:rPr>
          <w:rFonts w:ascii="Times New Roman" w:hAnsi="Times New Roman" w:eastAsia="宋体" w:cs="Times New Roman"/>
          <w:i/>
          <w:color w:val="auto"/>
          <w:sz w:val="24"/>
          <w:szCs w:val="24"/>
          <w14:ligatures w14:val="none"/>
        </w:rPr>
        <w:t>P</w:t>
      </w:r>
      <w:r>
        <w:rPr>
          <w:rFonts w:ascii="Times New Roman" w:hAnsi="Times New Roman" w:eastAsia="宋体" w:cs="Times New Roman"/>
          <w:color w:val="auto"/>
          <w:sz w:val="24"/>
          <w:szCs w:val="24"/>
          <w14:ligatures w14:val="none"/>
        </w:rPr>
        <w:t>&lt;0.0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14:ligatures w14:val="none"/>
        </w:rPr>
        <w:t>01</w:t>
      </w:r>
      <w:r>
        <w:rPr>
          <w:rFonts w:ascii="Times New Roman" w:hAnsi="Times New Roman" w:eastAsia="宋体" w:cs="Times New Roman"/>
          <w:color w:val="auto"/>
          <w:sz w:val="24"/>
          <w:szCs w:val="24"/>
          <w14:ligatures w14:val="none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14:ligatures w14:val="none"/>
        </w:rPr>
        <w:t xml:space="preserve"> B, The protein levels of the Zn+-dependent JAMM deubiquitinases family in the PANC-1/shSTAMBP cells were detected by western blot.</w:t>
      </w:r>
    </w:p>
    <w:p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b/>
          <w:bCs/>
          <w:color w:val="auto"/>
          <w:sz w:val="24"/>
          <w:szCs w:val="24"/>
          <w:lang w:eastAsia="zh-CN"/>
        </w:rPr>
        <w:drawing>
          <wp:inline distT="0" distB="0" distL="114300" distR="114300">
            <wp:extent cx="5266055" cy="4752975"/>
            <wp:effectExtent l="0" t="0" r="1270" b="0"/>
            <wp:docPr id="3" name="图片 3" descr="85051_3_supp_2219259_srtr4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5051_3_supp_2219259_srtr4x"/>
                    <pic:cNvPicPr>
                      <a:picLocks noChangeAspect="1"/>
                    </pic:cNvPicPr>
                  </pic:nvPicPr>
                  <pic:blipFill>
                    <a:blip r:embed="rId26"/>
                    <a:srcRect t="41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3. Upregulation of STAMBP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de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creased the chemotherapy sensitivity of PC to GEM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A, </w:t>
      </w:r>
      <w:r>
        <w:rPr>
          <w:rFonts w:ascii="Times New Roman" w:hAnsi="Times New Roman" w:cs="Times New Roman"/>
          <w:color w:val="auto"/>
          <w:sz w:val="24"/>
          <w:szCs w:val="24"/>
        </w:rPr>
        <w:t>western blot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showing the protein expression of STAMBP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in gemcitabine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-resistant (GR)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PC </w:t>
      </w:r>
      <w:r>
        <w:rPr>
          <w:rFonts w:ascii="Times New Roman" w:hAnsi="Times New Roman" w:cs="Times New Roman"/>
          <w:color w:val="auto"/>
          <w:sz w:val="24"/>
          <w:szCs w:val="24"/>
        </w:rPr>
        <w:t>cell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following transfected with vector or Flag-STAMBP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14:ligatures w14:val="none"/>
        </w:rPr>
        <w:t>Tubulin</w:t>
      </w:r>
      <w:r>
        <w:rPr>
          <w:rFonts w:ascii="Times New Roman" w:hAnsi="Times New Roman" w:eastAsia="宋体" w:cs="Times New Roman"/>
          <w:color w:val="auto"/>
          <w:sz w:val="24"/>
          <w:szCs w:val="24"/>
          <w14:ligatures w14:val="none"/>
        </w:rPr>
        <w:t xml:space="preserve"> was a loading control.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B, qRT-PCR assay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showing the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mRNA level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of STAMBP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in gemcitabine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-resistant (GR)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PC </w:t>
      </w:r>
      <w:r>
        <w:rPr>
          <w:rFonts w:ascii="Times New Roman" w:hAnsi="Times New Roman" w:cs="Times New Roman"/>
          <w:color w:val="auto"/>
          <w:sz w:val="24"/>
          <w:szCs w:val="24"/>
        </w:rPr>
        <w:t>cell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following transfected with vector or Flag-STAMBP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>P</w:t>
      </w:r>
      <w:r>
        <w:rPr>
          <w:rFonts w:ascii="Times New Roman" w:hAnsi="Times New Roman" w:cs="Times New Roman"/>
          <w:color w:val="auto"/>
          <w:sz w:val="24"/>
          <w:szCs w:val="24"/>
        </w:rPr>
        <w:t>&lt;0.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0</w:t>
      </w:r>
      <w:r>
        <w:rPr>
          <w:rFonts w:ascii="Times New Roman" w:hAnsi="Times New Roman" w:cs="Times New Roman"/>
          <w:color w:val="auto"/>
          <w:sz w:val="24"/>
          <w:szCs w:val="24"/>
        </w:rPr>
        <w:t>1.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C and D,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IC50 value of gemcitabine in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BxPC-3/GR (C)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and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SW1990/GR (D) </w:t>
      </w:r>
      <w:r>
        <w:rPr>
          <w:rFonts w:ascii="Times New Roman" w:hAnsi="Times New Roman" w:cs="Times New Roman"/>
          <w:color w:val="auto"/>
          <w:sz w:val="24"/>
          <w:szCs w:val="24"/>
        </w:rPr>
        <w:t>cells transfected with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vector or Flag-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STAMBP by the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CCK-</w:t>
      </w:r>
      <w:r>
        <w:rPr>
          <w:rFonts w:ascii="Times New Roman" w:hAnsi="Times New Roman" w:cs="Times New Roman"/>
          <w:color w:val="auto"/>
          <w:sz w:val="24"/>
          <w:szCs w:val="24"/>
        </w:rPr>
        <w:t>8 assay.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E and F, </w:t>
      </w:r>
      <w:r>
        <w:rPr>
          <w:rFonts w:ascii="Times New Roman" w:hAnsi="Times New Roman" w:eastAsia="宋体" w:cs="Times New Roman"/>
          <w:color w:val="auto"/>
          <w:sz w:val="24"/>
          <w:szCs w:val="24"/>
          <w:lang w:val="en-GB"/>
          <w14:ligatures w14:val="none"/>
        </w:rPr>
        <w:t>the quantification of cell apoptosis assay in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PANC-1/GR (E)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and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Capan-2/GR (F) </w:t>
      </w:r>
      <w:r>
        <w:rPr>
          <w:rFonts w:ascii="Times New Roman" w:hAnsi="Times New Roman" w:cs="Times New Roman"/>
          <w:color w:val="auto"/>
          <w:sz w:val="24"/>
          <w:szCs w:val="24"/>
        </w:rPr>
        <w:t>cells transfected with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or </w:t>
      </w:r>
      <w:r>
        <w:rPr>
          <w:rFonts w:ascii="Times New Roman" w:hAnsi="Times New Roman" w:cs="Times New Roman"/>
          <w:color w:val="auto"/>
          <w:sz w:val="24"/>
          <w:szCs w:val="24"/>
        </w:rPr>
        <w:t>without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sh</w:t>
      </w:r>
      <w:r>
        <w:rPr>
          <w:rFonts w:ascii="Times New Roman" w:hAnsi="Times New Roman" w:cs="Times New Roman"/>
          <w:color w:val="auto"/>
          <w:sz w:val="24"/>
          <w:szCs w:val="24"/>
        </w:rPr>
        <w:t>STAMBP</w:t>
      </w:r>
      <w:r>
        <w:rPr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by flowcytometry, under gemcitabine treatment (2 µM, 48 h).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 G, Kaplan–Meier survival curves for the shNC+GEM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14:ligatures w14:val="none"/>
        </w:rPr>
        <w:t xml:space="preserve"> and shSTAMBP+GEM group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.</w:t>
      </w:r>
    </w:p>
    <w:p>
      <w:pPr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12715" cy="5107305"/>
            <wp:effectExtent l="0" t="0" r="0" b="0"/>
            <wp:docPr id="4" name="图片 4" descr="85051_3_supp_2219260_s4t44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5051_3_supp_2219260_s4t44x"/>
                    <pic:cNvPicPr>
                      <a:picLocks noChangeAspect="1"/>
                    </pic:cNvPicPr>
                  </pic:nvPicPr>
                  <pic:blipFill>
                    <a:blip r:embed="rId27"/>
                    <a:srcRect t="4341" r="977"/>
                    <a:stretch>
                      <a:fillRect/>
                    </a:stretch>
                  </pic:blipFill>
                  <pic:spPr>
                    <a:xfrm>
                      <a:off x="0" y="0"/>
                      <a:ext cx="5212715" cy="510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Figure 4. STAMBP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enhanced aerobic glycolysis in PC cells. </w:t>
      </w:r>
      <w:r>
        <w:rPr>
          <w:rFonts w:hint="eastAsia" w:ascii="Times New Roman" w:hAnsi="Times New Roman" w:cs="Times New Roman"/>
          <w:sz w:val="24"/>
          <w:szCs w:val="24"/>
        </w:rPr>
        <w:t xml:space="preserve">A, G6P levels, </w:t>
      </w:r>
      <w:r>
        <w:rPr>
          <w:rFonts w:ascii="Times New Roman" w:hAnsi="Times New Roman" w:cs="Times New Roman"/>
          <w:sz w:val="24"/>
          <w:szCs w:val="24"/>
        </w:rPr>
        <w:t xml:space="preserve">glucose uptake, the production of lactate and ATP </w:t>
      </w:r>
      <w:r>
        <w:rPr>
          <w:rFonts w:hint="eastAsia" w:ascii="Times New Roman" w:hAnsi="Times New Roman" w:cs="Times New Roman"/>
          <w:sz w:val="24"/>
          <w:szCs w:val="24"/>
        </w:rPr>
        <w:t xml:space="preserve">production </w:t>
      </w:r>
      <w:r>
        <w:rPr>
          <w:rFonts w:ascii="Times New Roman" w:hAnsi="Times New Roman" w:cs="Times New Roman"/>
          <w:sz w:val="24"/>
          <w:szCs w:val="24"/>
        </w:rPr>
        <w:t>were measured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bookmarkStart w:id="1" w:name="_Hlk162029464"/>
      <w:r>
        <w:rPr>
          <w:rFonts w:hint="eastAsia" w:ascii="Times New Roman" w:hAnsi="Times New Roman" w:cs="Times New Roman"/>
          <w:sz w:val="24"/>
          <w:szCs w:val="24"/>
        </w:rPr>
        <w:t>Capan-2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hint="eastAsia"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 xml:space="preserve">STAMBP </w:t>
      </w:r>
      <w:r>
        <w:rPr>
          <w:rFonts w:hint="eastAsia" w:ascii="Times New Roman" w:hAnsi="Times New Roman" w:cs="Times New Roman"/>
          <w:sz w:val="24"/>
          <w:szCs w:val="24"/>
        </w:rPr>
        <w:t xml:space="preserve">or SW1990/Flag-STAMBP </w:t>
      </w:r>
      <w:r>
        <w:rPr>
          <w:rFonts w:ascii="Times New Roman" w:hAnsi="Times New Roman" w:cs="Times New Roman"/>
          <w:sz w:val="24"/>
          <w:szCs w:val="24"/>
        </w:rPr>
        <w:t>cells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</w:t>
      </w:r>
      <w:r>
        <w:rPr>
          <w:rFonts w:hint="eastAsia"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bookmarkStart w:id="2" w:name="_Hlk162032065"/>
      <w:r>
        <w:rPr>
          <w:rFonts w:hint="eastAsia" w:ascii="Times New Roman" w:hAnsi="Times New Roman" w:cs="Times New Roman"/>
          <w:sz w:val="24"/>
          <w:szCs w:val="24"/>
        </w:rPr>
        <w:t>B and C</w:t>
      </w:r>
      <w:r>
        <w:rPr>
          <w:rFonts w:ascii="Times New Roman" w:hAnsi="Times New Roman" w:cs="Times New Roman"/>
          <w:sz w:val="24"/>
          <w:szCs w:val="24"/>
        </w:rPr>
        <w:t xml:space="preserve">, ECAR data showing the glycolytic rate and capacity in </w:t>
      </w:r>
      <w:r>
        <w:rPr>
          <w:rFonts w:hint="eastAsia" w:ascii="Times New Roman" w:hAnsi="Times New Roman" w:cs="Times New Roman"/>
          <w:sz w:val="24"/>
          <w:szCs w:val="24"/>
        </w:rPr>
        <w:t>Capan-2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hint="eastAsia"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>STAMBP</w:t>
      </w:r>
      <w:r>
        <w:rPr>
          <w:rFonts w:hint="eastAsia" w:ascii="Times New Roman" w:hAnsi="Times New Roman" w:cs="Times New Roman"/>
          <w:sz w:val="24"/>
          <w:szCs w:val="24"/>
        </w:rPr>
        <w:t xml:space="preserve"> cells.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</w:t>
      </w:r>
      <w:r>
        <w:rPr>
          <w:rFonts w:hint="eastAsia"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bookmarkEnd w:id="2"/>
      <w:r>
        <w:rPr>
          <w:rFonts w:hint="eastAsia" w:ascii="Times New Roman" w:hAnsi="Times New Roman" w:cs="Times New Roman"/>
          <w:sz w:val="24"/>
          <w:szCs w:val="24"/>
        </w:rPr>
        <w:t>D and 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OCR results showing the basal respiration and maximum respiration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hint="eastAsia" w:ascii="Times New Roman" w:hAnsi="Times New Roman" w:cs="Times New Roman"/>
          <w:sz w:val="24"/>
          <w:szCs w:val="24"/>
        </w:rPr>
        <w:t>Capan-2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hint="eastAsia"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>STAMBP</w:t>
      </w:r>
      <w:r>
        <w:rPr>
          <w:rFonts w:hint="eastAsia" w:ascii="Times New Roman" w:hAnsi="Times New Roman" w:cs="Times New Roman"/>
          <w:sz w:val="24"/>
          <w:szCs w:val="24"/>
        </w:rPr>
        <w:t xml:space="preserve"> cells.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</w:t>
      </w:r>
      <w:r>
        <w:rPr>
          <w:rFonts w:hint="eastAsia"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F and G</w:t>
      </w:r>
      <w:r>
        <w:rPr>
          <w:rFonts w:ascii="Times New Roman" w:hAnsi="Times New Roman" w:cs="Times New Roman"/>
          <w:sz w:val="24"/>
          <w:szCs w:val="24"/>
        </w:rPr>
        <w:t xml:space="preserve">, ECAR data showing the glycolytic rate and capacity in </w:t>
      </w:r>
      <w:r>
        <w:rPr>
          <w:rFonts w:hint="eastAsia" w:ascii="Times New Roman" w:hAnsi="Times New Roman" w:cs="Times New Roman"/>
          <w:sz w:val="24"/>
          <w:szCs w:val="24"/>
        </w:rPr>
        <w:t>SW1990/Flag-STAMBP</w:t>
      </w:r>
      <w:r>
        <w:rPr>
          <w:rFonts w:ascii="Times New Roman" w:hAnsi="Times New Roman" w:cs="Times New Roman"/>
          <w:sz w:val="24"/>
          <w:szCs w:val="24"/>
        </w:rPr>
        <w:t xml:space="preserve"> cells.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*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</w:t>
      </w:r>
      <w:r>
        <w:rPr>
          <w:rFonts w:hint="eastAsia"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H and 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OCR results showing the basal respiration and maximum respiration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hint="eastAsia" w:ascii="Times New Roman" w:hAnsi="Times New Roman" w:cs="Times New Roman"/>
          <w:sz w:val="24"/>
          <w:szCs w:val="24"/>
        </w:rPr>
        <w:t>SW1990/Flag-STAMBP</w:t>
      </w:r>
      <w:r>
        <w:rPr>
          <w:rFonts w:ascii="Times New Roman" w:hAnsi="Times New Roman" w:cs="Times New Roman"/>
          <w:sz w:val="24"/>
          <w:szCs w:val="24"/>
        </w:rPr>
        <w:t xml:space="preserve"> cells.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</w:t>
      </w:r>
      <w:r>
        <w:rPr>
          <w:rFonts w:hint="eastAsia"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  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drawing>
          <wp:inline distT="0" distB="0" distL="114300" distR="114300">
            <wp:extent cx="5270500" cy="3190875"/>
            <wp:effectExtent l="0" t="0" r="0" b="0"/>
            <wp:docPr id="5" name="图片 5" descr="85051_3_supp_2219261_sktk4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5051_3_supp_2219261_sktk4x"/>
                    <pic:cNvPicPr>
                      <a:picLocks noChangeAspect="1"/>
                    </pic:cNvPicPr>
                  </pic:nvPicPr>
                  <pic:blipFill>
                    <a:blip r:embed="rId28"/>
                    <a:srcRect t="51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E2F1 is a transcription factor of PDK1 in PC cells. </w:t>
      </w:r>
      <w:r>
        <w:rPr>
          <w:rFonts w:hint="eastAsia"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 xml:space="preserve">Co-IP assay showing that endogenous STAMBP and </w:t>
      </w:r>
      <w:r>
        <w:rPr>
          <w:rFonts w:hint="eastAsia" w:ascii="Times New Roman" w:hAnsi="Times New Roman" w:cs="Times New Roman"/>
          <w:sz w:val="24"/>
          <w:szCs w:val="24"/>
        </w:rPr>
        <w:t>PDK1</w:t>
      </w:r>
      <w:r>
        <w:rPr>
          <w:rFonts w:ascii="Times New Roman" w:hAnsi="Times New Roman" w:cs="Times New Roman"/>
          <w:sz w:val="24"/>
          <w:szCs w:val="24"/>
        </w:rPr>
        <w:t xml:space="preserve"> were not directly bound</w:t>
      </w:r>
      <w:r>
        <w:rPr>
          <w:rFonts w:hint="eastAsia" w:ascii="Times New Roman" w:hAnsi="Times New Roman" w:cs="Times New Roman"/>
          <w:sz w:val="24"/>
          <w:szCs w:val="24"/>
        </w:rPr>
        <w:t xml:space="preserve"> in BxPC-3 cell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B and C, the protein (B) and mRNA level (C) of E2F1 and PDK1 were detected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hint="eastAsia" w:ascii="Times New Roman" w:hAnsi="Times New Roman" w:cs="Times New Roman"/>
          <w:sz w:val="24"/>
          <w:szCs w:val="24"/>
        </w:rPr>
        <w:t>Capan-2</w:t>
      </w:r>
      <w:r>
        <w:rPr>
          <w:rFonts w:ascii="Times New Roman" w:hAnsi="Times New Roman" w:cs="Times New Roman"/>
          <w:sz w:val="24"/>
          <w:szCs w:val="24"/>
        </w:rPr>
        <w:t>/sh</w:t>
      </w:r>
      <w:r>
        <w:rPr>
          <w:rFonts w:hint="eastAsia" w:ascii="Times New Roman" w:hAnsi="Times New Roman" w:cs="Times New Roman"/>
          <w:sz w:val="24"/>
          <w:szCs w:val="24"/>
        </w:rPr>
        <w:t>E2F1</w:t>
      </w:r>
      <w:r>
        <w:rPr>
          <w:rFonts w:ascii="Times New Roman" w:hAnsi="Times New Roman" w:cs="Times New Roman"/>
          <w:sz w:val="24"/>
          <w:szCs w:val="24"/>
        </w:rPr>
        <w:t xml:space="preserve"> cells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bookmarkStart w:id="3" w:name="_Hlk162027478"/>
      <w:r>
        <w:rPr>
          <w:rFonts w:hint="eastAsia" w:ascii="Times New Roman" w:hAnsi="Times New Roman" w:eastAsia="宋体" w:cs="Times New Roman"/>
          <w:color w:val="000000"/>
          <w:sz w:val="24"/>
          <w:szCs w:val="24"/>
          <w14:ligatures w14:val="none"/>
        </w:rPr>
        <w:t>Tubulin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 was a loading control.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</w:t>
      </w:r>
      <w:r>
        <w:rPr>
          <w:rFonts w:hint="eastAsia"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3"/>
      <w:r>
        <w:rPr>
          <w:rFonts w:hint="eastAsia" w:ascii="Times New Roman" w:hAnsi="Times New Roman" w:cs="Times New Roman"/>
          <w:sz w:val="24"/>
          <w:szCs w:val="24"/>
        </w:rPr>
        <w:t xml:space="preserve"> D and E, the protein (D) and mRNA level (E) of E2F1 and PDK1 were detected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hint="eastAsia" w:ascii="Times New Roman" w:hAnsi="Times New Roman" w:cs="Times New Roman"/>
          <w:sz w:val="24"/>
          <w:szCs w:val="24"/>
        </w:rPr>
        <w:t>SW1990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hint="eastAsia" w:ascii="Times New Roman" w:hAnsi="Times New Roman" w:cs="Times New Roman"/>
          <w:sz w:val="24"/>
          <w:szCs w:val="24"/>
        </w:rPr>
        <w:t>His-E2F1</w:t>
      </w:r>
      <w:r>
        <w:rPr>
          <w:rFonts w:ascii="Times New Roman" w:hAnsi="Times New Roman" w:cs="Times New Roman"/>
          <w:sz w:val="24"/>
          <w:szCs w:val="24"/>
        </w:rPr>
        <w:t xml:space="preserve"> cells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sz w:val="24"/>
          <w:szCs w:val="24"/>
          <w14:ligatures w14:val="none"/>
        </w:rPr>
        <w:t>Tubulin</w:t>
      </w:r>
      <w:r>
        <w:rPr>
          <w:rFonts w:ascii="Times New Roman" w:hAnsi="Times New Roman" w:eastAsia="宋体" w:cs="Times New Roman"/>
          <w:sz w:val="24"/>
          <w:szCs w:val="24"/>
          <w14:ligatures w14:val="none"/>
        </w:rPr>
        <w:t xml:space="preserve"> was a loading control.</w:t>
      </w:r>
      <w:r>
        <w:rPr>
          <w:rFonts w:hint="eastAsia" w:ascii="Times New Roman" w:hAnsi="Times New Roman" w:eastAsia="宋体" w:cs="Times New Roman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</w:t>
      </w:r>
      <w:r>
        <w:rPr>
          <w:rFonts w:hint="eastAsia"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</w:rPr>
        <w:t xml:space="preserve">F and G, </w:t>
      </w:r>
      <w:r>
        <w:rPr>
          <w:rFonts w:ascii="Times New Roman" w:hAnsi="Times New Roman" w:cs="Times New Roman"/>
          <w:sz w:val="24"/>
          <w:szCs w:val="24"/>
        </w:rPr>
        <w:t xml:space="preserve">Full-length </w:t>
      </w:r>
      <w:r>
        <w:rPr>
          <w:rFonts w:hint="eastAsia" w:ascii="Times New Roman" w:hAnsi="Times New Roman" w:cs="Times New Roman"/>
          <w:sz w:val="24"/>
          <w:szCs w:val="24"/>
        </w:rPr>
        <w:t>PDK1 promoter</w:t>
      </w:r>
      <w:r>
        <w:rPr>
          <w:rFonts w:ascii="Times New Roman" w:hAnsi="Times New Roman" w:cs="Times New Roman"/>
          <w:sz w:val="24"/>
          <w:szCs w:val="24"/>
        </w:rPr>
        <w:t xml:space="preserve"> luciferase construct was transfected into </w:t>
      </w:r>
      <w:r>
        <w:rPr>
          <w:rFonts w:hint="eastAsia"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Capan-2</w:t>
      </w:r>
      <w:r>
        <w:rPr>
          <w:rFonts w:ascii="Times New Roman" w:hAnsi="Times New Roman" w:cs="Times New Roman"/>
          <w:sz w:val="24"/>
          <w:szCs w:val="24"/>
        </w:rPr>
        <w:t>/shE2F1 cells (</w:t>
      </w:r>
      <w:r>
        <w:rPr>
          <w:rFonts w:hint="eastAsia"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hint="eastAsia" w:ascii="Times New Roman" w:hAnsi="Times New Roman" w:cs="Times New Roman"/>
          <w:sz w:val="24"/>
          <w:szCs w:val="24"/>
        </w:rPr>
        <w:t>SW1990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hint="eastAsia" w:ascii="Times New Roman" w:hAnsi="Times New Roman" w:cs="Times New Roman"/>
          <w:sz w:val="24"/>
          <w:szCs w:val="24"/>
        </w:rPr>
        <w:t>His-E2F1 (G)</w:t>
      </w:r>
      <w:r>
        <w:rPr>
          <w:rFonts w:ascii="Times New Roman" w:hAnsi="Times New Roman" w:cs="Times New Roman"/>
          <w:sz w:val="24"/>
          <w:szCs w:val="24"/>
        </w:rPr>
        <w:t xml:space="preserve"> cells. Transcriptional activation was analyzed with the dual luciferase reporter assay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</w:t>
      </w:r>
      <w:r>
        <w:rPr>
          <w:rFonts w:hint="eastAsia" w:ascii="Times New Roman" w:hAnsi="Times New Roman" w:cs="Times New Roman"/>
          <w:sz w:val="24"/>
          <w:szCs w:val="24"/>
        </w:rPr>
        <w:t xml:space="preserve">01 vs control group. 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drawing>
          <wp:inline distT="0" distB="0" distL="114300" distR="114300">
            <wp:extent cx="4927600" cy="2482215"/>
            <wp:effectExtent l="0" t="0" r="6350" b="3810"/>
            <wp:docPr id="6" name="图片 6" descr="85051_3_supp_2219262_s3t34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5051_3_supp_2219262_s3t34x"/>
                    <pic:cNvPicPr>
                      <a:picLocks noChangeAspect="1"/>
                    </pic:cNvPicPr>
                  </pic:nvPicPr>
                  <pic:blipFill>
                    <a:blip r:embed="rId29"/>
                    <a:srcRect t="11735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E2F1 mRNA levels did not influence the variation in STAMBP expression in PC cells. </w:t>
      </w:r>
      <w:r>
        <w:rPr>
          <w:rFonts w:ascii="Times New Roman" w:hAnsi="Times New Roman" w:eastAsia="宋体" w:cs="Times New Roman"/>
          <w:bCs/>
          <w:color w:val="000000"/>
          <w:sz w:val="24"/>
          <w:szCs w:val="32"/>
          <w14:ligatures w14:val="none"/>
        </w:rPr>
        <w:t xml:space="preserve">A, 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the mRNA levels of </w:t>
      </w:r>
      <w:bookmarkStart w:id="4" w:name="_Hlk162032663"/>
      <w:r>
        <w:rPr>
          <w:rFonts w:hint="eastAsia"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STAMBP 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and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14:ligatures w14:val="none"/>
        </w:rPr>
        <w:t>E2F1</w:t>
      </w:r>
      <w:bookmarkEnd w:id="4"/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 in </w:t>
      </w:r>
      <w:r>
        <w:rPr>
          <w:rFonts w:hint="eastAsia"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Capan-2</w:t>
      </w:r>
      <w:r>
        <w:rPr>
          <w:rFonts w:ascii="Times New Roman" w:hAnsi="Times New Roman" w:cs="Times New Roman"/>
          <w:sz w:val="24"/>
          <w:szCs w:val="24"/>
        </w:rPr>
        <w:t xml:space="preserve">/shE2F1 cells 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>were detected by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qRT-PCR. </w:t>
      </w:r>
      <w:r>
        <w:rPr>
          <w:rFonts w:ascii="Times New Roman" w:hAnsi="Times New Roman" w:eastAsia="宋体" w:cs="Times New Roman"/>
          <w:color w:val="000000"/>
          <w:sz w:val="24"/>
          <w:szCs w:val="24"/>
          <w:vertAlign w:val="superscript"/>
          <w14:ligatures w14:val="none"/>
        </w:rPr>
        <w:t>*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vertAlign w:val="superscript"/>
          <w14:ligatures w14:val="none"/>
        </w:rPr>
        <w:t>**</w:t>
      </w:r>
      <w:r>
        <w:rPr>
          <w:rFonts w:ascii="Times New Roman" w:hAnsi="Times New Roman" w:eastAsia="宋体" w:cs="Times New Roman"/>
          <w:i/>
          <w:color w:val="000000"/>
          <w:sz w:val="24"/>
          <w:szCs w:val="24"/>
          <w14:ligatures w14:val="none"/>
        </w:rPr>
        <w:t>P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>&lt;0.0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14:ligatures w14:val="none"/>
        </w:rPr>
        <w:t>01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. B, the mRNA levels of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STAMBP 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and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14:ligatures w14:val="none"/>
        </w:rPr>
        <w:t>E2F1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14:ligatures w14:val="none"/>
        </w:rPr>
        <w:t xml:space="preserve">in </w:t>
      </w:r>
      <w:r>
        <w:rPr>
          <w:rFonts w:hint="eastAsia" w:ascii="Times New Roman" w:hAnsi="Times New Roman" w:cs="Times New Roman"/>
          <w:sz w:val="24"/>
          <w:szCs w:val="24"/>
        </w:rPr>
        <w:t>SW1990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hint="eastAsia" w:ascii="Times New Roman" w:hAnsi="Times New Roman" w:cs="Times New Roman"/>
          <w:sz w:val="24"/>
          <w:szCs w:val="24"/>
        </w:rPr>
        <w:t xml:space="preserve">His-E2F1 </w:t>
      </w:r>
      <w:r>
        <w:rPr>
          <w:rFonts w:ascii="Times New Roman" w:hAnsi="Times New Roman" w:eastAsia="宋体" w:cs="Times New Roman"/>
          <w:sz w:val="24"/>
          <w:szCs w:val="24"/>
          <w14:ligatures w14:val="none"/>
        </w:rPr>
        <w:t xml:space="preserve">cells 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>were detected by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qRT-PCR. </w:t>
      </w:r>
      <w:r>
        <w:rPr>
          <w:rFonts w:ascii="Times New Roman" w:hAnsi="Times New Roman" w:eastAsia="宋体" w:cs="Times New Roman"/>
          <w:color w:val="000000"/>
          <w:sz w:val="24"/>
          <w:szCs w:val="24"/>
          <w:vertAlign w:val="superscript"/>
          <w14:ligatures w14:val="none"/>
        </w:rPr>
        <w:t>*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vertAlign w:val="superscript"/>
          <w14:ligatures w14:val="none"/>
        </w:rPr>
        <w:t>**</w:t>
      </w:r>
      <w:r>
        <w:rPr>
          <w:rFonts w:ascii="Times New Roman" w:hAnsi="Times New Roman" w:eastAsia="宋体" w:cs="Times New Roman"/>
          <w:i/>
          <w:color w:val="000000"/>
          <w:sz w:val="24"/>
          <w:szCs w:val="24"/>
          <w14:ligatures w14:val="none"/>
        </w:rPr>
        <w:t>P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>&lt;0.0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14:ligatures w14:val="none"/>
        </w:rPr>
        <w:t>01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>.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69865" cy="4594860"/>
            <wp:effectExtent l="0" t="0" r="0" b="0"/>
            <wp:docPr id="7" name="图片 7" descr="85051_3_supp_2219263_smtm4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5051_3_supp_2219263_smtm4x"/>
                    <pic:cNvPicPr>
                      <a:picLocks noChangeAspect="1"/>
                    </pic:cNvPicPr>
                  </pic:nvPicPr>
                  <pic:blipFill>
                    <a:blip r:embed="rId30"/>
                    <a:srcRect t="452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59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Entrectinib increased GEM sensitivity in PC by inhibiting the activity of STAMBP. </w:t>
      </w:r>
      <w:r>
        <w:rPr>
          <w:rFonts w:hint="eastAsia" w:ascii="Times New Roman" w:hAnsi="Times New Roman" w:cs="Times New Roman"/>
          <w:sz w:val="24"/>
          <w:szCs w:val="24"/>
        </w:rPr>
        <w:t>A and B</w:t>
      </w:r>
      <w:r>
        <w:rPr>
          <w:rFonts w:ascii="Times New Roman" w:hAnsi="Times New Roman" w:cs="Times New Roman"/>
          <w:sz w:val="24"/>
          <w:szCs w:val="24"/>
        </w:rPr>
        <w:t xml:space="preserve">, ECAR data showing the glycolytic rate and capacity in </w:t>
      </w:r>
      <w:r>
        <w:rPr>
          <w:rFonts w:hint="eastAsia" w:ascii="Times New Roman" w:hAnsi="Times New Roman" w:cs="Times New Roman"/>
          <w:sz w:val="24"/>
          <w:szCs w:val="24"/>
        </w:rPr>
        <w:t>Capan-2</w:t>
      </w:r>
      <w:r>
        <w:rPr>
          <w:rFonts w:ascii="Times New Roman" w:hAnsi="Times New Roman" w:cs="Times New Roman"/>
          <w:sz w:val="24"/>
          <w:szCs w:val="24"/>
        </w:rPr>
        <w:t xml:space="preserve"> cells</w:t>
      </w:r>
      <w:r>
        <w:rPr>
          <w:rFonts w:hint="eastAsia" w:ascii="Times New Roman" w:hAnsi="Times New Roman" w:cs="Times New Roman"/>
          <w:sz w:val="24"/>
          <w:szCs w:val="24"/>
        </w:rPr>
        <w:t xml:space="preserve"> following </w:t>
      </w:r>
      <w:r>
        <w:rPr>
          <w:rFonts w:ascii="Times New Roman" w:hAnsi="Times New Roman" w:cs="Times New Roman"/>
          <w:sz w:val="24"/>
          <w:szCs w:val="24"/>
        </w:rPr>
        <w:t xml:space="preserve">treatment with the entrectinib.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</w:t>
      </w:r>
      <w:r>
        <w:rPr>
          <w:rFonts w:hint="eastAsia"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hint="eastAsia" w:ascii="Times New Roman" w:hAnsi="Times New Roman" w:cs="Times New Roman"/>
          <w:sz w:val="24"/>
          <w:szCs w:val="24"/>
        </w:rPr>
        <w:t xml:space="preserve"> C and 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OCR results showing the basal respiration and maximum respiration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hint="eastAsia" w:ascii="Times New Roman" w:hAnsi="Times New Roman" w:cs="Times New Roman"/>
          <w:sz w:val="24"/>
          <w:szCs w:val="24"/>
        </w:rPr>
        <w:t>Capan-2</w:t>
      </w:r>
      <w:r>
        <w:rPr>
          <w:rFonts w:ascii="Times New Roman" w:hAnsi="Times New Roman" w:cs="Times New Roman"/>
          <w:sz w:val="24"/>
          <w:szCs w:val="24"/>
        </w:rPr>
        <w:t xml:space="preserve"> cells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following treatment with the entrectinib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. </w:t>
      </w:r>
      <w:r>
        <w:rPr>
          <w:rFonts w:ascii="Times New Roman" w:hAnsi="Times New Roman" w:eastAsia="宋体" w:cs="Times New Roman"/>
          <w:color w:val="000000"/>
          <w:sz w:val="24"/>
          <w:szCs w:val="24"/>
          <w:vertAlign w:val="superscript"/>
          <w14:ligatures w14:val="none"/>
        </w:rPr>
        <w:t>*</w:t>
      </w:r>
      <w:r>
        <w:rPr>
          <w:rFonts w:ascii="Times New Roman" w:hAnsi="Times New Roman" w:eastAsia="宋体" w:cs="Times New Roman"/>
          <w:i/>
          <w:color w:val="000000"/>
          <w:sz w:val="24"/>
          <w:szCs w:val="24"/>
          <w14:ligatures w14:val="none"/>
        </w:rPr>
        <w:t>P</w:t>
      </w:r>
      <w:r>
        <w:rPr>
          <w:rFonts w:ascii="Times New Roman" w:hAnsi="Times New Roman" w:eastAsia="宋体" w:cs="Times New Roman"/>
          <w:color w:val="000000"/>
          <w:sz w:val="24"/>
          <w:szCs w:val="24"/>
          <w14:ligatures w14:val="none"/>
        </w:rPr>
        <w:t>&lt;0.05.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14:ligatures w14:val="none"/>
        </w:rPr>
        <w:t xml:space="preserve"> E, </w:t>
      </w:r>
      <w:r>
        <w:rPr>
          <w:rFonts w:ascii="Times New Roman" w:hAnsi="Times New Roman" w:cs="Times New Roman"/>
          <w:sz w:val="24"/>
          <w:szCs w:val="24"/>
        </w:rPr>
        <w:t>the protein levels of STAMBP</w:t>
      </w:r>
      <w:r>
        <w:rPr>
          <w:rFonts w:hint="eastAsia" w:ascii="Times New Roman" w:hAnsi="Times New Roman" w:cs="Times New Roman"/>
          <w:sz w:val="24"/>
          <w:szCs w:val="24"/>
        </w:rPr>
        <w:t xml:space="preserve">, PDK1, and E2F1 in </w:t>
      </w:r>
      <w:r>
        <w:rPr>
          <w:rFonts w:ascii="Times New Roman" w:hAnsi="Times New Roman" w:cs="Times New Roman"/>
          <w:sz w:val="24"/>
          <w:szCs w:val="24"/>
        </w:rPr>
        <w:t>Capan-2</w:t>
      </w:r>
      <w:r>
        <w:rPr>
          <w:rFonts w:hint="eastAsia" w:ascii="Times New Roman" w:hAnsi="Times New Roman" w:cs="Times New Roman"/>
          <w:sz w:val="24"/>
          <w:szCs w:val="24"/>
        </w:rPr>
        <w:t>-G/R cells</w:t>
      </w:r>
      <w:r>
        <w:rPr>
          <w:rFonts w:ascii="Times New Roman" w:hAnsi="Times New Roman" w:cs="Times New Roman"/>
          <w:sz w:val="24"/>
          <w:szCs w:val="24"/>
        </w:rPr>
        <w:t xml:space="preserve"> were detected</w:t>
      </w:r>
      <w:r>
        <w:rPr>
          <w:rFonts w:hint="eastAsia" w:ascii="Times New Roman" w:hAnsi="Times New Roman" w:cs="Times New Roman"/>
          <w:sz w:val="24"/>
          <w:szCs w:val="24"/>
        </w:rPr>
        <w:t xml:space="preserve"> after treatment with the</w:t>
      </w:r>
      <w:r>
        <w:rPr>
          <w:rFonts w:ascii="Times New Roman" w:hAnsi="Times New Roman" w:cs="Times New Roman"/>
          <w:sz w:val="24"/>
          <w:szCs w:val="24"/>
        </w:rPr>
        <w:t xml:space="preserve"> entrectinib</w:t>
      </w:r>
      <w:r>
        <w:rPr>
          <w:rFonts w:hint="eastAsia" w:ascii="Times New Roman" w:hAnsi="Times New Roman" w:cs="Times New Roman"/>
          <w:sz w:val="24"/>
          <w:szCs w:val="24"/>
        </w:rPr>
        <w:t xml:space="preserve">. F and G, </w:t>
      </w:r>
      <w:r>
        <w:rPr>
          <w:rFonts w:ascii="Times New Roman" w:hAnsi="Times New Roman" w:cs="Times New Roman"/>
          <w:sz w:val="24"/>
          <w:szCs w:val="24"/>
        </w:rPr>
        <w:t xml:space="preserve">Representative images (left) and quantification (right) of PI-positive cell population in the indicated cells.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</w:t>
      </w:r>
      <w:r>
        <w:rPr>
          <w:rFonts w:hint="eastAsia"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hint="eastAsia" w:ascii="Times New Roman" w:hAnsi="Times New Roman" w:cs="Times New Roman"/>
          <w:sz w:val="24"/>
          <w:szCs w:val="24"/>
        </w:rPr>
        <w:t>H,</w:t>
      </w:r>
      <w:r>
        <w:rPr>
          <w:rFonts w:ascii="Times New Roman" w:hAnsi="Times New Roman" w:cs="Times New Roman"/>
          <w:sz w:val="24"/>
          <w:szCs w:val="24"/>
        </w:rPr>
        <w:t xml:space="preserve"> tumor </w:t>
      </w:r>
      <w:r>
        <w:rPr>
          <w:rFonts w:hint="eastAsia" w:ascii="Times New Roman" w:hAnsi="Times New Roman" w:cs="Times New Roman"/>
          <w:sz w:val="24"/>
          <w:szCs w:val="24"/>
        </w:rPr>
        <w:t xml:space="preserve">wight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hint="eastAsia" w:ascii="Times New Roman" w:hAnsi="Times New Roman" w:cs="Times New Roman"/>
          <w:sz w:val="24"/>
          <w:szCs w:val="24"/>
        </w:rPr>
        <w:t xml:space="preserve">PDXs </w:t>
      </w:r>
      <w:r>
        <w:rPr>
          <w:rFonts w:ascii="Times New Roman" w:hAnsi="Times New Roman" w:cs="Times New Roman"/>
          <w:sz w:val="24"/>
          <w:szCs w:val="24"/>
        </w:rPr>
        <w:t xml:space="preserve">treated with entrectinib, gemcitabine, or both.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&lt;0.01</w:t>
      </w:r>
      <w:r>
        <w:rPr>
          <w:rFonts w:hint="eastAsia" w:ascii="Times New Roman" w:hAnsi="Times New Roman" w:cs="Times New Roman"/>
          <w:sz w:val="24"/>
          <w:szCs w:val="24"/>
        </w:rPr>
        <w:t xml:space="preserve">. I, </w:t>
      </w:r>
      <w:r>
        <w:rPr>
          <w:rFonts w:ascii="Times New Roman" w:hAnsi="Times New Roman" w:cs="Times New Roman"/>
          <w:sz w:val="24"/>
          <w:szCs w:val="24"/>
        </w:rPr>
        <w:t>Representative images of H&amp;E, STAMBP</w:t>
      </w:r>
      <w:r>
        <w:rPr>
          <w:rFonts w:hint="eastAsia" w:ascii="Times New Roman" w:hAnsi="Times New Roman" w:cs="Times New Roman"/>
          <w:sz w:val="24"/>
          <w:szCs w:val="24"/>
        </w:rPr>
        <w:t xml:space="preserve">, E2F1, PDK1, and </w:t>
      </w:r>
      <w:r>
        <w:rPr>
          <w:rFonts w:ascii="Times New Roman" w:hAnsi="Times New Roman" w:cs="Times New Roman"/>
          <w:sz w:val="24"/>
          <w:szCs w:val="24"/>
        </w:rPr>
        <w:t>Ki-67 staining of the tumor tissues in PDXs treated with entrectinib, gemcitabine, or both. Scale bar, 50 μm.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  <w:docVar w:name="KSO_WPS_MARK_KEY" w:val="d213c7a9-be67-4fe0-89d0-740b5f78f10f"/>
  </w:docVars>
  <w:rsids>
    <w:rsidRoot w:val="00B90FA3"/>
    <w:rsid w:val="0004029E"/>
    <w:rsid w:val="00064D9D"/>
    <w:rsid w:val="000C1098"/>
    <w:rsid w:val="001A381F"/>
    <w:rsid w:val="00307350"/>
    <w:rsid w:val="004F76A6"/>
    <w:rsid w:val="005D4D69"/>
    <w:rsid w:val="00663021"/>
    <w:rsid w:val="006C14C1"/>
    <w:rsid w:val="00700FA7"/>
    <w:rsid w:val="00725443"/>
    <w:rsid w:val="00A7778E"/>
    <w:rsid w:val="00B90FA3"/>
    <w:rsid w:val="00BF6E80"/>
    <w:rsid w:val="00D977E2"/>
    <w:rsid w:val="00F20796"/>
    <w:rsid w:val="00F512BB"/>
    <w:rsid w:val="04A36A58"/>
    <w:rsid w:val="0F615322"/>
    <w:rsid w:val="10FE0326"/>
    <w:rsid w:val="171B6AD4"/>
    <w:rsid w:val="1B254EDC"/>
    <w:rsid w:val="2EFA351F"/>
    <w:rsid w:val="3A54221B"/>
    <w:rsid w:val="40DB439D"/>
    <w:rsid w:val="463C3FC6"/>
    <w:rsid w:val="594D3792"/>
    <w:rsid w:val="61E90358"/>
    <w:rsid w:val="66F72566"/>
    <w:rsid w:val="7727431E"/>
    <w:rsid w:val="7A50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1" Type="http://schemas.openxmlformats.org/officeDocument/2006/relationships/fontTable" Target="fontTable.xml"/><Relationship Id="rId30" Type="http://schemas.openxmlformats.org/officeDocument/2006/relationships/image" Target="media/image27.tiff"/><Relationship Id="rId3" Type="http://schemas.openxmlformats.org/officeDocument/2006/relationships/theme" Target="theme/theme1.xml"/><Relationship Id="rId29" Type="http://schemas.openxmlformats.org/officeDocument/2006/relationships/image" Target="media/image26.tiff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666</Words>
  <Characters>3797</Characters>
  <Lines>31</Lines>
  <Paragraphs>8</Paragraphs>
  <TotalTime>1</TotalTime>
  <ScaleCrop>false</ScaleCrop>
  <LinksUpToDate>false</LinksUpToDate>
  <CharactersWithSpaces>4455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2024-03-22T11:56:00Z</dcterms:created>
  <dc:creator>pxg8205@163.com</dc:creator>
  <cp:lastModifiedBy>陈磊峰Cronus</cp:lastModifiedBy>
  <dcterms:modified xsi:type="dcterms:W3CDTF">2024-08-30T09:38:05Z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6523BAD3933144B683C2ED865CDD1D78_13</vt:lpwstr>
  </property>
</Properties>
</file>