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50EDF" w14:textId="02558568" w:rsidR="00E17B5D" w:rsidRDefault="00E17B5D" w:rsidP="0067167B">
      <w:pPr>
        <w:pStyle w:val="a3"/>
        <w:spacing w:line="480" w:lineRule="auto"/>
        <w:jc w:val="both"/>
        <w:rPr>
          <w:rFonts w:ascii="Arial" w:hAnsi="Arial" w:cs="Arial"/>
          <w:b/>
          <w:bCs/>
        </w:rPr>
      </w:pPr>
      <w:bookmarkStart w:id="0" w:name="_Hlk160142790"/>
      <w:r>
        <w:rPr>
          <w:rFonts w:ascii="Arial" w:hAnsi="Arial" w:cs="Arial"/>
          <w:b/>
          <w:bCs/>
        </w:rPr>
        <w:t>Supplementary Methods</w:t>
      </w:r>
    </w:p>
    <w:bookmarkEnd w:id="0"/>
    <w:p w14:paraId="350B1ACA" w14:textId="77777777" w:rsidR="007D7412" w:rsidRDefault="007D7412" w:rsidP="00E17B5D">
      <w:pPr>
        <w:pStyle w:val="a3"/>
        <w:spacing w:line="480" w:lineRule="auto"/>
        <w:jc w:val="both"/>
        <w:rPr>
          <w:rFonts w:ascii="Arial" w:hAnsi="Arial" w:cs="Arial"/>
          <w:b/>
          <w:bCs/>
        </w:rPr>
      </w:pPr>
    </w:p>
    <w:p w14:paraId="5ED8EACE" w14:textId="77777777" w:rsidR="007D7412" w:rsidRDefault="007D7412" w:rsidP="007D7412">
      <w:pPr>
        <w:pStyle w:val="a3"/>
        <w:spacing w:line="480" w:lineRule="auto"/>
        <w:jc w:val="both"/>
        <w:rPr>
          <w:rFonts w:ascii="Arial" w:hAnsi="Arial" w:cs="Arial"/>
          <w:b/>
          <w:bCs/>
        </w:rPr>
      </w:pPr>
      <w:r w:rsidRPr="007D7412">
        <w:rPr>
          <w:rFonts w:ascii="Arial" w:hAnsi="Arial" w:cs="Arial"/>
          <w:b/>
          <w:bCs/>
        </w:rPr>
        <w:t>1.</w:t>
      </w:r>
      <w:r>
        <w:rPr>
          <w:rFonts w:ascii="Arial" w:hAnsi="Arial" w:cs="Arial"/>
          <w:b/>
          <w:bCs/>
        </w:rPr>
        <w:t xml:space="preserve"> Bioinformatic approaches</w:t>
      </w:r>
    </w:p>
    <w:p w14:paraId="53E260C0" w14:textId="77777777" w:rsidR="00FE4BD9" w:rsidRDefault="00FE4BD9" w:rsidP="00FE4BD9">
      <w:pPr>
        <w:pStyle w:val="a3"/>
        <w:spacing w:line="480" w:lineRule="auto"/>
        <w:jc w:val="both"/>
        <w:rPr>
          <w:rFonts w:ascii="Arial" w:hAnsi="Arial" w:cs="Arial"/>
          <w:b/>
          <w:bCs/>
        </w:rPr>
      </w:pPr>
    </w:p>
    <w:p w14:paraId="3B899E6C" w14:textId="0BABAB96" w:rsidR="00FE4BD9" w:rsidRPr="00FE4BD9" w:rsidRDefault="00FE4BD9" w:rsidP="00FE4BD9">
      <w:pPr>
        <w:pStyle w:val="a3"/>
        <w:spacing w:line="480" w:lineRule="auto"/>
        <w:jc w:val="both"/>
        <w:rPr>
          <w:rFonts w:ascii="Arial" w:hAnsi="Arial" w:cs="Arial"/>
          <w:b/>
          <w:bCs/>
        </w:rPr>
      </w:pPr>
      <w:r w:rsidRPr="00FE4BD9">
        <w:rPr>
          <w:rFonts w:ascii="Arial" w:hAnsi="Arial" w:cs="Arial"/>
          <w:b/>
          <w:bCs/>
        </w:rPr>
        <w:t>Replication study for the results from the analyses of TCGA colon cancer</w:t>
      </w:r>
    </w:p>
    <w:p w14:paraId="298F6C87" w14:textId="4364C1C7" w:rsidR="00FE4BD9" w:rsidRPr="00FE4BD9" w:rsidRDefault="00FE4BD9" w:rsidP="00FE4BD9">
      <w:pPr>
        <w:pStyle w:val="a3"/>
        <w:spacing w:line="480" w:lineRule="auto"/>
        <w:jc w:val="both"/>
        <w:rPr>
          <w:rFonts w:ascii="Arial" w:hAnsi="Arial" w:cs="Arial"/>
        </w:rPr>
      </w:pPr>
      <w:r w:rsidRPr="00FE4BD9">
        <w:rPr>
          <w:rFonts w:ascii="Arial" w:hAnsi="Arial" w:cs="Arial"/>
        </w:rPr>
        <w:t>To compare the expression patterns of lncRNA, we collected fifteen cancer datasets from TCGA including digestive organs. We obtained 149 (140 case and 9 control samples) esophageal carcinoma, 375 (345 case and 30 control samples) stomach adenocarcinoma, 388 (346 case and 42 control samples) liver hepatocellular carcinoma, 178 (174 case and 4 control samples) pancreatic adenocarcinoma, 163 (153 case and 10 control samples) rectum adenocarcinoma, 599 (527 case and 72 control samples) kidney renal clear cell carcinoma, 290 (258 case and 32 control samples) kidney renal papillary cell carcinoma, 1188 (1076 case and 112 control samples) breast invasive carcinoma, 300 (297 case and 3 control samples) cervical squamous cell carcinoma and endocervical adenocarcinoma, 564 (541 case and 23 control samples) uterine corpus endometrial carcinoma, 554 (496 case and 58 control samples) lung adenocarcinoma, 540 (491 case and 49 control samples) lung squamous cell carcinoma, 474 (431 case and 43 control samples) head and neck squamous cell carcinoma ,and 424 (405 case and 19 control samples) bladder urothelial carcinoma (Supplementary Table 2).</w:t>
      </w:r>
    </w:p>
    <w:p w14:paraId="7E4341F8" w14:textId="284CC622" w:rsidR="00FE4BD9" w:rsidRPr="00FE4BD9" w:rsidRDefault="00FE4BD9" w:rsidP="00FE4BD9">
      <w:pPr>
        <w:pStyle w:val="a3"/>
        <w:spacing w:line="480" w:lineRule="auto"/>
        <w:ind w:firstLine="720"/>
        <w:jc w:val="both"/>
        <w:rPr>
          <w:rFonts w:ascii="Arial" w:hAnsi="Arial" w:cs="Arial"/>
        </w:rPr>
      </w:pPr>
      <w:r w:rsidRPr="00FE4BD9">
        <w:rPr>
          <w:rFonts w:ascii="Arial" w:hAnsi="Arial" w:cs="Arial"/>
        </w:rPr>
        <w:t>Additionally, we acquired GEO dataset, GSE146009 that has 30 (12 case and 15 control samples) African Americans and 35 (18 case and 17 control samples) Caucasian Americans in colon cancer (Supplementary Table 2). This dataset was stratified with 33 tumor and 32 non-tumor adjacent tissues for different populations, African Americans and Caucasian Americans colon cancer patients. We separated population and analyzed tumor and normal tissues, respectively, and present the expression pattern.</w:t>
      </w:r>
    </w:p>
    <w:p w14:paraId="7546B982" w14:textId="77777777" w:rsidR="00FE4BD9" w:rsidRPr="00FE4BD9" w:rsidRDefault="00FE4BD9" w:rsidP="00FE4BD9">
      <w:pPr>
        <w:pStyle w:val="a3"/>
        <w:spacing w:line="480" w:lineRule="auto"/>
        <w:jc w:val="both"/>
        <w:rPr>
          <w:rFonts w:ascii="Arial" w:hAnsi="Arial" w:cs="Arial"/>
          <w:b/>
          <w:bCs/>
        </w:rPr>
      </w:pPr>
    </w:p>
    <w:p w14:paraId="35479827" w14:textId="77777777" w:rsidR="00FE4BD9" w:rsidRPr="00FE4BD9" w:rsidRDefault="00FE4BD9" w:rsidP="00FE4BD9">
      <w:pPr>
        <w:pStyle w:val="a3"/>
        <w:spacing w:line="480" w:lineRule="auto"/>
        <w:jc w:val="both"/>
        <w:rPr>
          <w:rFonts w:ascii="Arial" w:hAnsi="Arial" w:cs="Arial"/>
          <w:b/>
          <w:bCs/>
        </w:rPr>
      </w:pPr>
      <w:r w:rsidRPr="00FE4BD9">
        <w:rPr>
          <w:rFonts w:ascii="Arial" w:hAnsi="Arial" w:cs="Arial"/>
          <w:b/>
          <w:bCs/>
        </w:rPr>
        <w:t>Association study between SNPs nearby identified two lncRNAs and colorectal cancer</w:t>
      </w:r>
    </w:p>
    <w:p w14:paraId="16A4E79D" w14:textId="1D13D10F" w:rsidR="00FE4BD9" w:rsidRPr="00FE4BD9" w:rsidRDefault="00FE4BD9" w:rsidP="00FE4BD9">
      <w:pPr>
        <w:pStyle w:val="a3"/>
        <w:spacing w:line="480" w:lineRule="auto"/>
        <w:jc w:val="both"/>
        <w:rPr>
          <w:rFonts w:ascii="Arial" w:hAnsi="Arial" w:cs="Arial"/>
        </w:rPr>
      </w:pPr>
      <w:r w:rsidRPr="00FE4BD9">
        <w:rPr>
          <w:rFonts w:ascii="Arial" w:hAnsi="Arial" w:cs="Arial"/>
        </w:rPr>
        <w:lastRenderedPageBreak/>
        <w:t>We obtained publicly available GWAS summary statistics data of colorectal cancer to examine whether SNPs nearby LINC02257 and LINC01836 were associated with colorectal cancer risk. Data was from the GWAS of colorectal cancer in East Asian population which was conducted in 6,692 cases and 27,178 controls, followed by a replication analysis using more than 11,000 case-control samples</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&lt;EndNote&gt;&lt;Cite&gt;&lt;Author&gt;Tanikawa&lt;/Author&gt;&lt;Year&gt;2018&lt;/Year&gt;&lt;RecNum&gt;1044&lt;/RecNum&gt;&lt;DisplayText&gt;&lt;style face="superscript"&gt;1&lt;/style&gt;&lt;/DisplayText&gt;&lt;record&gt;&lt;rec-number&gt;1044&lt;/rec-number&gt;&lt;foreign-keys&gt;&lt;key app="EN" db-id="rxa0tv9009rvele02ep5ewtvedrvrxerss52" timestamp="1709202018"&gt;1044&lt;/key&gt;&lt;/foreign-keys&gt;&lt;ref-type name="Journal Article"&gt;17&lt;/ref-type&gt;&lt;contributors&gt;&lt;authors&gt;&lt;author&gt;Tanikawa, Chizu&lt;/author&gt;&lt;author&gt;Kamatani, Yoichiro&lt;/author&gt;&lt;author&gt;Takahashi, Atsushi&lt;/author&gt;&lt;author&gt;Momozawa, Yukihide&lt;/author&gt;&lt;author&gt;Leveque, Karine&lt;/author&gt;&lt;author&gt;Nagayama, Satoshi&lt;/author&gt;&lt;author&gt;Mimori, Koshi&lt;/author&gt;&lt;author&gt;Mori, Masaki&lt;/author&gt;&lt;author&gt;Ishii, Hideshi&lt;/author&gt;&lt;author&gt;Inazawa, Johji&lt;/author&gt;&lt;/authors&gt;&lt;/contributors&gt;&lt;titles&gt;&lt;title&gt;GWAS identifies two novel colorectal cancer loci at 16q24. 1 and 20q13. 12&lt;/title&gt;&lt;secondary-title&gt;Carcinogenesis&lt;/secondary-title&gt;&lt;/titles&gt;&lt;periodical&gt;&lt;full-title&gt;Carcinogenesis&lt;/full-title&gt;&lt;/periodical&gt;&lt;pages&gt;652-660&lt;/pages&gt;&lt;volume&gt;39&lt;/volume&gt;&lt;number&gt;5&lt;/number&gt;&lt;dates&gt;&lt;year&gt;2018&lt;/year&gt;&lt;/dates&gt;&lt;isbn&gt;0143-3334&lt;/isbn&gt;&lt;urls&gt;&lt;/urls&gt;&lt;/record&gt;&lt;/Cite&gt;&lt;/EndNote&gt;</w:instrText>
      </w:r>
      <w:r>
        <w:rPr>
          <w:rFonts w:ascii="Arial" w:hAnsi="Arial" w:cs="Arial"/>
        </w:rPr>
        <w:fldChar w:fldCharType="separate"/>
      </w:r>
      <w:r w:rsidRPr="00FE4BD9">
        <w:rPr>
          <w:rFonts w:ascii="Arial" w:hAnsi="Arial" w:cs="Arial"/>
          <w:noProof/>
          <w:vertAlign w:val="superscript"/>
        </w:rPr>
        <w:t>1</w:t>
      </w:r>
      <w:r>
        <w:rPr>
          <w:rFonts w:ascii="Arial" w:hAnsi="Arial" w:cs="Arial"/>
        </w:rPr>
        <w:fldChar w:fldCharType="end"/>
      </w:r>
      <w:r w:rsidRPr="00FE4BD9">
        <w:rPr>
          <w:rFonts w:ascii="Arial" w:hAnsi="Arial" w:cs="Arial"/>
        </w:rPr>
        <w:t>. All DNA were extracted from peripheral blood leukocytes and normal tissues of CRC patients and healthy controls. GWAS of colorectal cancer with 4,562 cases and 382,756 controls used SAIGE method to solve case-control imbalance from European population</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&lt;EndNote&gt;&lt;Cite&gt;&lt;Author&gt;Zhou&lt;/Author&gt;&lt;Year&gt;2018&lt;/Year&gt;&lt;RecNum&gt;1045&lt;/RecNum&gt;&lt;DisplayText&gt;&lt;style face="superscript"&gt;2&lt;/style&gt;&lt;/DisplayText&gt;&lt;record&gt;&lt;rec-number&gt;1045&lt;/rec-number&gt;&lt;foreign-keys&gt;&lt;key app="EN" db-id="rxa0tv9009rvele02ep5ewtvedrvrxerss52" timestamp="1709202025"&gt;1045&lt;/key&gt;&lt;/foreign-keys&gt;&lt;ref-type name="Journal Article"&gt;17&lt;/ref-type&gt;&lt;contributors&gt;&lt;authors&gt;&lt;author&gt;Zhou, Wei&lt;/author&gt;&lt;author&gt;Nielsen, Jonas B&lt;/author&gt;&lt;author&gt;Fritsche, Lars G&lt;/author&gt;&lt;author&gt;Dey, Rounak&lt;/author&gt;&lt;author&gt;Gabrielsen, Maiken E&lt;/author&gt;&lt;author&gt;Wolford, Brooke N&lt;/author&gt;&lt;author&gt;LeFaive, Jonathon&lt;/author&gt;&lt;author&gt;VandeHaar, Peter&lt;/author&gt;&lt;author&gt;Gagliano, Sarah A&lt;/author&gt;&lt;author&gt;Gifford, Aliya&lt;/author&gt;&lt;/authors&gt;&lt;/contributors&gt;&lt;titles&gt;&lt;title&gt;Efficiently controlling for case-control imbalance and sample relatedness in large-scale genetic association studies&lt;/title&gt;&lt;secondary-title&gt;Nature genetics&lt;/secondary-title&gt;&lt;/titles&gt;&lt;periodical&gt;&lt;full-title&gt;Nature genetics&lt;/full-title&gt;&lt;/periodical&gt;&lt;pages&gt;1335-1341&lt;/pages&gt;&lt;volume&gt;50&lt;/volume&gt;&lt;number&gt;9&lt;/number&gt;&lt;dates&gt;&lt;year&gt;2018&lt;/year&gt;&lt;/dates&gt;&lt;isbn&gt;1546-1718&lt;/isbn&gt;&lt;urls&gt;&lt;/urls&gt;&lt;/record&gt;&lt;/Cite&gt;&lt;/EndNote&gt;</w:instrText>
      </w:r>
      <w:r>
        <w:rPr>
          <w:rFonts w:ascii="Arial" w:hAnsi="Arial" w:cs="Arial"/>
        </w:rPr>
        <w:fldChar w:fldCharType="separate"/>
      </w:r>
      <w:r w:rsidRPr="00FE4BD9">
        <w:rPr>
          <w:rFonts w:ascii="Arial" w:hAnsi="Arial" w:cs="Arial"/>
          <w:noProof/>
          <w:vertAlign w:val="superscript"/>
        </w:rPr>
        <w:t>2</w:t>
      </w:r>
      <w:r>
        <w:rPr>
          <w:rFonts w:ascii="Arial" w:hAnsi="Arial" w:cs="Arial"/>
        </w:rPr>
        <w:fldChar w:fldCharType="end"/>
      </w:r>
      <w:r w:rsidRPr="00FE4BD9">
        <w:rPr>
          <w:rFonts w:ascii="Arial" w:hAnsi="Arial" w:cs="Arial"/>
        </w:rPr>
        <w:t>.</w:t>
      </w:r>
    </w:p>
    <w:p w14:paraId="4F562489" w14:textId="43AC1794" w:rsidR="00FE4BD9" w:rsidRPr="00FE4BD9" w:rsidRDefault="00FE4BD9" w:rsidP="00FE4BD9">
      <w:pPr>
        <w:pStyle w:val="a3"/>
        <w:spacing w:line="480" w:lineRule="auto"/>
        <w:jc w:val="both"/>
        <w:rPr>
          <w:rFonts w:ascii="Arial" w:hAnsi="Arial" w:cs="Arial"/>
        </w:rPr>
      </w:pPr>
      <w:r w:rsidRPr="00FE4BD9">
        <w:rPr>
          <w:rFonts w:ascii="Arial" w:hAnsi="Arial" w:cs="Arial"/>
        </w:rPr>
        <w:tab/>
        <w:t xml:space="preserve">We selected SNPs nearby the two identified lncRNAs (±1 mega base pairs) to identify SNPs associated with colon cancer. The association results were visualized by </w:t>
      </w:r>
      <w:proofErr w:type="spellStart"/>
      <w:r w:rsidRPr="00FE4BD9">
        <w:rPr>
          <w:rFonts w:ascii="Arial" w:hAnsi="Arial" w:cs="Arial"/>
        </w:rPr>
        <w:t>LocusZoom</w:t>
      </w:r>
      <w:proofErr w:type="spellEnd"/>
      <w:r w:rsidRPr="00FE4BD9">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&lt;EndNote&gt;&lt;Cite&gt;&lt;Author&gt;Pruim&lt;/Author&gt;&lt;Year&gt;2010&lt;/Year&gt;&lt;RecNum&gt;1040&lt;/RecNum&gt;&lt;DisplayText&gt;&lt;style face="superscript"&gt;3&lt;/style&gt;&lt;/DisplayText&gt;&lt;record&gt;&lt;rec-number&gt;1040&lt;/rec-number&gt;&lt;foreign-keys&gt;&lt;key app="EN" db-id="rxa0tv9009rvele02ep5ewtvedrvrxerss52" timestamp="1709201974"&gt;1040&lt;/key&gt;&lt;/foreign-keys&gt;&lt;ref-type name="Journal Article"&gt;17&lt;/ref-type&gt;&lt;contributors&gt;&lt;authors&gt;&lt;author&gt;Pruim, Randall J&lt;/author&gt;&lt;author&gt;Welch, Ryan P&lt;/author&gt;&lt;author&gt;Sanna, Serena&lt;/author&gt;&lt;author&gt;Teslovich, Tanya M&lt;/author&gt;&lt;author&gt;Chines, Peter S&lt;/author&gt;&lt;author&gt;Gliedt, Terry P&lt;/author&gt;&lt;author&gt;Boehnke, Michael&lt;/author&gt;&lt;author&gt;Abecasis, Gonçalo R&lt;/author&gt;&lt;author&gt;Willer, Cristen J&lt;/author&gt;&lt;/authors&gt;&lt;/contributors&gt;&lt;titles&gt;&lt;title&gt;LocusZoom: regional visualization of genome-wide association scan results&lt;/title&gt;&lt;secondary-title&gt;Bioinformatics&lt;/secondary-title&gt;&lt;/titles&gt;&lt;periodical&gt;&lt;full-title&gt;Bioinformatics&lt;/full-title&gt;&lt;/periodical&gt;&lt;pages&gt;2336-2337&lt;/pages&gt;&lt;volume&gt;26&lt;/volume&gt;&lt;number&gt;18&lt;/number&gt;&lt;dates&gt;&lt;year&gt;2010&lt;/year&gt;&lt;/dates&gt;&lt;isbn&gt;1460-2059&lt;/isbn&gt;&lt;urls&gt;&lt;/urls&gt;&lt;/record&gt;&lt;/Cite&gt;&lt;/EndNote&gt;</w:instrText>
      </w:r>
      <w:r>
        <w:rPr>
          <w:rFonts w:ascii="Arial" w:hAnsi="Arial" w:cs="Arial"/>
        </w:rPr>
        <w:fldChar w:fldCharType="separate"/>
      </w:r>
      <w:r w:rsidRPr="00FE4BD9">
        <w:rPr>
          <w:rFonts w:ascii="Arial" w:hAnsi="Arial" w:cs="Arial"/>
          <w:noProof/>
          <w:vertAlign w:val="superscript"/>
        </w:rPr>
        <w:t>3</w:t>
      </w:r>
      <w:r>
        <w:rPr>
          <w:rFonts w:ascii="Arial" w:hAnsi="Arial" w:cs="Arial"/>
        </w:rPr>
        <w:fldChar w:fldCharType="end"/>
      </w:r>
      <w:r w:rsidRPr="00FE4BD9">
        <w:rPr>
          <w:rFonts w:ascii="Arial" w:hAnsi="Arial" w:cs="Arial"/>
        </w:rPr>
        <w:t>. To confirm SNPs as candidate cis-</w:t>
      </w:r>
      <w:proofErr w:type="spellStart"/>
      <w:r w:rsidRPr="00FE4BD9">
        <w:rPr>
          <w:rFonts w:ascii="Arial" w:hAnsi="Arial" w:cs="Arial"/>
        </w:rPr>
        <w:t>eQTL</w:t>
      </w:r>
      <w:proofErr w:type="spellEnd"/>
      <w:r w:rsidRPr="00FE4BD9">
        <w:rPr>
          <w:rFonts w:ascii="Arial" w:hAnsi="Arial" w:cs="Arial"/>
        </w:rPr>
        <w:t xml:space="preserve"> in colon tissue, we examined data from the GTEx database (v8). For each locus, we identified with reported </w:t>
      </w:r>
      <w:proofErr w:type="spellStart"/>
      <w:r w:rsidRPr="00FE4BD9">
        <w:rPr>
          <w:rFonts w:ascii="Arial" w:hAnsi="Arial" w:cs="Arial"/>
        </w:rPr>
        <w:t>eQTLs</w:t>
      </w:r>
      <w:proofErr w:type="spellEnd"/>
      <w:r w:rsidRPr="00FE4BD9">
        <w:rPr>
          <w:rFonts w:ascii="Arial" w:hAnsi="Arial" w:cs="Arial"/>
        </w:rPr>
        <w:t xml:space="preserve"> in all tissues (Supplementary Fig</w:t>
      </w:r>
      <w:r>
        <w:rPr>
          <w:rFonts w:ascii="Arial" w:hAnsi="Arial" w:cs="Arial"/>
        </w:rPr>
        <w:t>. 4</w:t>
      </w:r>
      <w:r w:rsidR="00C57AFC">
        <w:rPr>
          <w:rFonts w:ascii="Arial" w:hAnsi="Arial" w:cs="Arial"/>
        </w:rPr>
        <w:t>-5</w:t>
      </w:r>
      <w:r w:rsidRPr="00FE4BD9">
        <w:rPr>
          <w:rFonts w:ascii="Arial" w:hAnsi="Arial" w:cs="Arial"/>
        </w:rPr>
        <w:t>).</w:t>
      </w:r>
    </w:p>
    <w:p w14:paraId="36C485F2" w14:textId="77777777" w:rsidR="00FE4BD9" w:rsidRPr="00FE4BD9" w:rsidRDefault="00FE4BD9" w:rsidP="00FE4BD9">
      <w:pPr>
        <w:pStyle w:val="a3"/>
        <w:spacing w:line="480" w:lineRule="auto"/>
        <w:jc w:val="both"/>
        <w:rPr>
          <w:rFonts w:ascii="Arial" w:hAnsi="Arial" w:cs="Arial"/>
          <w:b/>
          <w:bCs/>
        </w:rPr>
      </w:pPr>
    </w:p>
    <w:p w14:paraId="2C535727" w14:textId="77777777" w:rsidR="00FE4BD9" w:rsidRPr="00FE4BD9" w:rsidRDefault="00FE4BD9" w:rsidP="00FE4BD9">
      <w:pPr>
        <w:pStyle w:val="a3"/>
        <w:spacing w:line="480" w:lineRule="auto"/>
        <w:jc w:val="both"/>
        <w:rPr>
          <w:rFonts w:ascii="Arial" w:hAnsi="Arial" w:cs="Arial"/>
          <w:b/>
          <w:bCs/>
        </w:rPr>
      </w:pPr>
      <w:proofErr w:type="spellStart"/>
      <w:r w:rsidRPr="00FE4BD9">
        <w:rPr>
          <w:rFonts w:ascii="Arial" w:hAnsi="Arial" w:cs="Arial"/>
          <w:b/>
          <w:bCs/>
        </w:rPr>
        <w:t>eQTL</w:t>
      </w:r>
      <w:proofErr w:type="spellEnd"/>
      <w:r w:rsidRPr="00FE4BD9">
        <w:rPr>
          <w:rFonts w:ascii="Arial" w:hAnsi="Arial" w:cs="Arial"/>
          <w:b/>
          <w:bCs/>
        </w:rPr>
        <w:t xml:space="preserve"> mapping and predicted prognosis using genotype</w:t>
      </w:r>
    </w:p>
    <w:p w14:paraId="14433C87" w14:textId="0319F3A6" w:rsidR="00FE4BD9" w:rsidRPr="00FE4BD9" w:rsidRDefault="00FE4BD9" w:rsidP="00FE4BD9">
      <w:pPr>
        <w:pStyle w:val="a3"/>
        <w:spacing w:line="480" w:lineRule="auto"/>
        <w:jc w:val="both"/>
        <w:rPr>
          <w:rFonts w:ascii="Arial" w:hAnsi="Arial" w:cs="Arial"/>
        </w:rPr>
      </w:pPr>
      <w:r w:rsidRPr="00FE4BD9">
        <w:rPr>
          <w:rFonts w:ascii="Arial" w:hAnsi="Arial" w:cs="Arial"/>
        </w:rPr>
        <w:t>We download the TCGA genotype data to verified association with LINC02257. Genotype data need to request access permission from database of Genotypes and Phenotypes (</w:t>
      </w:r>
      <w:proofErr w:type="spellStart"/>
      <w:r w:rsidRPr="00FE4BD9">
        <w:rPr>
          <w:rFonts w:ascii="Arial" w:hAnsi="Arial" w:cs="Arial"/>
        </w:rPr>
        <w:t>dbGaP</w:t>
      </w:r>
      <w:proofErr w:type="spellEnd"/>
      <w:r w:rsidRPr="00FE4BD9">
        <w:rPr>
          <w:rFonts w:ascii="Arial" w:hAnsi="Arial" w:cs="Arial"/>
        </w:rPr>
        <w:t xml:space="preserve">) (phs000178.v11). We used 460 genotype data and matched 456 transcripts per million (TPM) normalized expression data of colon cancer from TCGA. To removed confounding factor, PEER was performed using sex and age as covariates after excluding genes with read counts &lt; 10. Subsequent analysis was performed with the corrected expression data from PEER. We used a multiple linear regression model in </w:t>
      </w:r>
      <w:proofErr w:type="spellStart"/>
      <w:r w:rsidRPr="00FE4BD9">
        <w:rPr>
          <w:rFonts w:ascii="Arial" w:hAnsi="Arial" w:cs="Arial"/>
        </w:rPr>
        <w:t>FastQTL</w:t>
      </w:r>
      <w:proofErr w:type="spellEnd"/>
      <w:r w:rsidRPr="00FE4BD9">
        <w:rPr>
          <w:rFonts w:ascii="Arial" w:hAnsi="Arial" w:cs="Arial"/>
        </w:rPr>
        <w:t xml:space="preserve"> to detect cis-</w:t>
      </w:r>
      <w:proofErr w:type="spellStart"/>
      <w:r w:rsidRPr="00FE4BD9">
        <w:rPr>
          <w:rFonts w:ascii="Arial" w:hAnsi="Arial" w:cs="Arial"/>
        </w:rPr>
        <w:t>eQTL</w:t>
      </w:r>
      <w:proofErr w:type="spellEnd"/>
      <w:r w:rsidRPr="00FE4BD9">
        <w:rPr>
          <w:rFonts w:ascii="Arial" w:hAnsi="Arial" w:cs="Arial"/>
        </w:rPr>
        <w:t xml:space="preserve"> as a variant within 1 Mb of the genes </w:t>
      </w:r>
      <w:r>
        <w:rPr>
          <w:rFonts w:ascii="Arial" w:hAnsi="Arial" w:cs="Arial"/>
        </w:rPr>
        <w:fldChar w:fldCharType="begin"/>
      </w:r>
      <w:r>
        <w:rPr>
          <w:rFonts w:ascii="Arial" w:hAnsi="Arial" w:cs="Arial"/>
        </w:rPr>
        <w:instrText xml:space="preserve"> ADDIN EN.CITE &lt;EndNote&gt;&lt;Cite&gt;&lt;Author&gt;Ongen&lt;/Author&gt;&lt;Year&gt;2016&lt;/Year&gt;&lt;RecNum&gt;1038&lt;/RecNum&gt;&lt;DisplayText&gt;&lt;style face="superscript"&gt;4&lt;/style&gt;&lt;/DisplayText&gt;&lt;record&gt;&lt;rec-number&gt;1038&lt;/rec-number&gt;&lt;foreign-keys&gt;&lt;key app="EN" db-id="rxa0tv9009rvele02ep5ewtvedrvrxerss52" timestamp="1709201956"&gt;1038&lt;/key&gt;&lt;/foreign-keys&gt;&lt;ref-type name="Journal Article"&gt;17&lt;/ref-type&gt;&lt;contributors&gt;&lt;authors&gt;&lt;author&gt;Ongen, Halit&lt;/author&gt;&lt;author&gt;Buil, Alfonso&lt;/author&gt;&lt;author&gt;Brown, Andrew Anand&lt;/author&gt;&lt;author&gt;Dermitzakis, Emmanouil T&lt;/author&gt;&lt;author&gt;Delaneau, Olivier&lt;/author&gt;&lt;/authors&gt;&lt;/contributors&gt;&lt;titles&gt;&lt;title&gt;Fast and efficient QTL mapper for thousands of molecular phenotypes&lt;/title&gt;&lt;secondary-title&gt;Bioinformatics&lt;/secondary-title&gt;&lt;/titles&gt;&lt;periodical&gt;&lt;full-title&gt;Bioinformatics&lt;/full-title&gt;&lt;/periodical&gt;&lt;pages&gt;1479-1485&lt;/pages&gt;&lt;volume&gt;32&lt;/volume&gt;&lt;number&gt;10&lt;/number&gt;&lt;dates&gt;&lt;year&gt;2016&lt;/year&gt;&lt;/dates&gt;&lt;isbn&gt;1460-2059&lt;/isbn&gt;&lt;urls&gt;&lt;/urls&gt;&lt;/record&gt;&lt;/Cite&gt;&lt;/EndNote&gt;</w:instrText>
      </w:r>
      <w:r>
        <w:rPr>
          <w:rFonts w:ascii="Arial" w:hAnsi="Arial" w:cs="Arial"/>
        </w:rPr>
        <w:fldChar w:fldCharType="separate"/>
      </w:r>
      <w:r w:rsidRPr="00FE4BD9">
        <w:rPr>
          <w:rFonts w:ascii="Arial" w:hAnsi="Arial" w:cs="Arial"/>
          <w:noProof/>
          <w:vertAlign w:val="superscript"/>
        </w:rPr>
        <w:t>4</w:t>
      </w:r>
      <w:r>
        <w:rPr>
          <w:rFonts w:ascii="Arial" w:hAnsi="Arial" w:cs="Arial"/>
        </w:rPr>
        <w:fldChar w:fldCharType="end"/>
      </w:r>
      <w:r w:rsidRPr="00FE4BD9">
        <w:rPr>
          <w:rFonts w:ascii="Arial" w:hAnsi="Arial" w:cs="Arial"/>
        </w:rPr>
        <w:t xml:space="preserve">. </w:t>
      </w:r>
    </w:p>
    <w:p w14:paraId="7275B3D9" w14:textId="77777777" w:rsidR="00FE4BD9" w:rsidRPr="00FE4BD9" w:rsidRDefault="00FE4BD9" w:rsidP="00FE4BD9">
      <w:pPr>
        <w:pStyle w:val="a3"/>
        <w:spacing w:line="480" w:lineRule="auto"/>
        <w:jc w:val="both"/>
        <w:rPr>
          <w:rFonts w:ascii="Arial" w:hAnsi="Arial" w:cs="Arial"/>
          <w:b/>
          <w:bCs/>
        </w:rPr>
      </w:pPr>
    </w:p>
    <w:p w14:paraId="28817D80" w14:textId="77777777" w:rsidR="00FE4BD9" w:rsidRPr="00FE4BD9" w:rsidRDefault="00FE4BD9" w:rsidP="00FE4BD9">
      <w:pPr>
        <w:pStyle w:val="a3"/>
        <w:spacing w:line="480" w:lineRule="auto"/>
        <w:jc w:val="both"/>
        <w:rPr>
          <w:rFonts w:ascii="Arial" w:hAnsi="Arial" w:cs="Arial"/>
          <w:b/>
          <w:bCs/>
        </w:rPr>
      </w:pPr>
      <w:r w:rsidRPr="00FE4BD9">
        <w:rPr>
          <w:rFonts w:ascii="Arial" w:hAnsi="Arial" w:cs="Arial"/>
          <w:b/>
          <w:bCs/>
        </w:rPr>
        <w:t>WGCNA (weighted gene co-expression network analysis)</w:t>
      </w:r>
    </w:p>
    <w:p w14:paraId="0AB8601C" w14:textId="5D8DD042" w:rsidR="00FE4BD9" w:rsidRPr="00FE4BD9" w:rsidRDefault="00FE4BD9" w:rsidP="00FE4BD9">
      <w:pPr>
        <w:pStyle w:val="a3"/>
        <w:spacing w:line="480" w:lineRule="auto"/>
        <w:jc w:val="both"/>
        <w:rPr>
          <w:rFonts w:ascii="Arial" w:hAnsi="Arial" w:cs="Arial"/>
        </w:rPr>
      </w:pPr>
      <w:r w:rsidRPr="00FE4BD9">
        <w:rPr>
          <w:rFonts w:ascii="Arial" w:hAnsi="Arial" w:cs="Arial"/>
        </w:rPr>
        <w:t>To identify co-expressed genes with LINC02257, we performed the WGCNA (v1.68) R package using TCGA expression data which is the analysis assumed that genes with similar functions have similar expression patterns. For network construction, we used 48,557 ge</w:t>
      </w:r>
      <w:r w:rsidRPr="00FE4BD9">
        <w:rPr>
          <w:rFonts w:ascii="Arial" w:hAnsi="Arial" w:cs="Arial" w:hint="eastAsia"/>
        </w:rPr>
        <w:t xml:space="preserve">nes which passing the </w:t>
      </w:r>
      <w:r w:rsidRPr="00FE4BD9">
        <w:rPr>
          <w:rFonts w:ascii="Arial" w:hAnsi="Arial" w:cs="Arial" w:hint="eastAsia"/>
        </w:rPr>
        <w:lastRenderedPageBreak/>
        <w:t xml:space="preserve">quality control as removed sum of read counts for each gene less than 10 and gene types was uncorrected. DE genes were selected when the genes were |LFC| </w:t>
      </w:r>
      <w:r w:rsidRPr="00FE4BD9">
        <w:rPr>
          <w:rFonts w:ascii="Arial" w:hAnsi="Arial" w:cs="Arial" w:hint="eastAsia"/>
        </w:rPr>
        <w:t>≥</w:t>
      </w:r>
      <w:r w:rsidRPr="00FE4BD9">
        <w:rPr>
          <w:rFonts w:ascii="Arial" w:hAnsi="Arial" w:cs="Arial" w:hint="eastAsia"/>
        </w:rPr>
        <w:t xml:space="preserve"> 1 and adjusted P &lt; 0.05. A total of 12,141 genes remained for the network cons</w:t>
      </w:r>
      <w:r w:rsidRPr="00FE4BD9">
        <w:rPr>
          <w:rFonts w:ascii="Arial" w:hAnsi="Arial" w:cs="Arial"/>
        </w:rPr>
        <w:t>truction (Supplementary Fig</w:t>
      </w:r>
      <w:r>
        <w:rPr>
          <w:rFonts w:ascii="Arial" w:hAnsi="Arial" w:cs="Arial"/>
        </w:rPr>
        <w:t xml:space="preserve">. </w:t>
      </w:r>
      <w:r w:rsidRPr="00FE4BD9">
        <w:rPr>
          <w:rFonts w:ascii="Arial" w:hAnsi="Arial" w:cs="Arial"/>
        </w:rPr>
        <w:t>7).</w:t>
      </w:r>
    </w:p>
    <w:p w14:paraId="5E4BC605" w14:textId="17030CE7" w:rsidR="00FE4BD9" w:rsidRPr="00FE4BD9" w:rsidRDefault="00FE4BD9" w:rsidP="00FE4BD9">
      <w:pPr>
        <w:pStyle w:val="a3"/>
        <w:spacing w:line="480" w:lineRule="auto"/>
        <w:ind w:firstLine="720"/>
        <w:jc w:val="both"/>
        <w:rPr>
          <w:rFonts w:ascii="Arial" w:hAnsi="Arial" w:cs="Arial"/>
        </w:rPr>
      </w:pPr>
      <w:r w:rsidRPr="00FE4BD9">
        <w:rPr>
          <w:rFonts w:ascii="Arial" w:hAnsi="Arial" w:cs="Arial"/>
        </w:rPr>
        <w:t xml:space="preserve">Nodes in the network correspond to gene expression profiles, and edges were calculated by the pairwise correlations between expressions of genes. For co-expression network construction, Pearson’s correlation was used to create adjacency matrix, and power value was set at 5 using the </w:t>
      </w:r>
      <w:proofErr w:type="spellStart"/>
      <w:r w:rsidRPr="00FE4BD9">
        <w:rPr>
          <w:rFonts w:ascii="Arial" w:hAnsi="Arial" w:cs="Arial"/>
        </w:rPr>
        <w:t>pickSoftThreshold</w:t>
      </w:r>
      <w:proofErr w:type="spellEnd"/>
      <w:r w:rsidRPr="00FE4BD9">
        <w:rPr>
          <w:rFonts w:ascii="Arial" w:hAnsi="Arial" w:cs="Arial"/>
        </w:rPr>
        <w:t xml:space="preserve"> function (Supplementary Fig</w:t>
      </w:r>
      <w:r>
        <w:rPr>
          <w:rFonts w:ascii="Arial" w:hAnsi="Arial" w:cs="Arial"/>
        </w:rPr>
        <w:t>.</w:t>
      </w:r>
      <w:r w:rsidRPr="00FE4BD9">
        <w:rPr>
          <w:rFonts w:ascii="Arial" w:hAnsi="Arial" w:cs="Arial"/>
        </w:rPr>
        <w:t xml:space="preserve"> 7). The power value was based on the scale-free topology standard </w:t>
      </w:r>
      <w:r>
        <w:rPr>
          <w:rFonts w:ascii="Arial" w:hAnsi="Arial" w:cs="Arial"/>
        </w:rPr>
        <w:fldChar w:fldCharType="begin"/>
      </w:r>
      <w:r>
        <w:rPr>
          <w:rFonts w:ascii="Arial" w:hAnsi="Arial" w:cs="Arial"/>
        </w:rPr>
        <w:instrText xml:space="preserve"> ADDIN EN.CITE &lt;EndNote&gt;&lt;Cite&gt;&lt;Author&gt;Zhang&lt;/Author&gt;&lt;Year&gt;2005&lt;/Year&gt;&lt;RecNum&gt;1047&lt;/RecNum&gt;&lt;DisplayText&gt;&lt;style face="superscript"&gt;5&lt;/style&gt;&lt;/DisplayText&gt;&lt;record&gt;&lt;rec-number&gt;1047&lt;/rec-number&gt;&lt;foreign-keys&gt;&lt;key app="EN" db-id="rxa0tv9009rvele02ep5ewtvedrvrxerss52" timestamp="1709202040"&gt;1047&lt;/key&gt;&lt;/foreign-keys&gt;&lt;ref-type name="Journal Article"&gt;17&lt;/ref-type&gt;&lt;contributors&gt;&lt;authors&gt;&lt;author&gt;Zhang, Bin&lt;/author&gt;&lt;author&gt;Horvath, Steve&lt;/author&gt;&lt;/authors&gt;&lt;/contributors&gt;&lt;titles&gt;&lt;title&gt;A general framework for weighted gene co-expression network analysis&lt;/title&gt;&lt;secondary-title&gt;Statistical applications in genetics and molecular biology&lt;/secondary-title&gt;&lt;/titles&gt;&lt;periodical&gt;&lt;full-title&gt;Statistical applications in genetics and molecular biology&lt;/full-title&gt;&lt;/periodical&gt;&lt;volume&gt;4&lt;/volume&gt;&lt;number&gt;1&lt;/number&gt;&lt;dates&gt;&lt;year&gt;2005&lt;/year&gt;&lt;/dates&gt;&lt;isbn&gt;1544-6115&lt;/isbn&gt;&lt;urls&gt;&lt;/urls&gt;&lt;/record&gt;&lt;/Cite&gt;&lt;/EndNote&gt;</w:instrText>
      </w:r>
      <w:r>
        <w:rPr>
          <w:rFonts w:ascii="Arial" w:hAnsi="Arial" w:cs="Arial"/>
        </w:rPr>
        <w:fldChar w:fldCharType="separate"/>
      </w:r>
      <w:r w:rsidRPr="00FE4BD9">
        <w:rPr>
          <w:rFonts w:ascii="Arial" w:hAnsi="Arial" w:cs="Arial"/>
          <w:noProof/>
          <w:vertAlign w:val="superscript"/>
        </w:rPr>
        <w:t>5</w:t>
      </w:r>
      <w:r>
        <w:rPr>
          <w:rFonts w:ascii="Arial" w:hAnsi="Arial" w:cs="Arial"/>
        </w:rPr>
        <w:fldChar w:fldCharType="end"/>
      </w:r>
      <w:r w:rsidRPr="00FE4BD9">
        <w:rPr>
          <w:rFonts w:ascii="Arial" w:hAnsi="Arial" w:cs="Arial"/>
        </w:rPr>
        <w:t xml:space="preserve">, resulting in a scale-free topology index (R²) was 0.92. The </w:t>
      </w:r>
      <w:proofErr w:type="spellStart"/>
      <w:r w:rsidRPr="00FE4BD9">
        <w:rPr>
          <w:rFonts w:ascii="Arial" w:hAnsi="Arial" w:cs="Arial"/>
        </w:rPr>
        <w:t>cutreeDynamic</w:t>
      </w:r>
      <w:proofErr w:type="spellEnd"/>
      <w:r w:rsidRPr="00FE4BD9">
        <w:rPr>
          <w:rFonts w:ascii="Arial" w:hAnsi="Arial" w:cs="Arial"/>
        </w:rPr>
        <w:t xml:space="preserve"> was used with the following parameters: </w:t>
      </w:r>
      <w:proofErr w:type="spellStart"/>
      <w:r w:rsidRPr="00FE4BD9">
        <w:rPr>
          <w:rFonts w:ascii="Arial" w:hAnsi="Arial" w:cs="Arial"/>
        </w:rPr>
        <w:t>cutHeight</w:t>
      </w:r>
      <w:proofErr w:type="spellEnd"/>
      <w:r w:rsidRPr="00FE4BD9">
        <w:rPr>
          <w:rFonts w:ascii="Arial" w:hAnsi="Arial" w:cs="Arial"/>
        </w:rPr>
        <w:t xml:space="preserve"> = 0.998, </w:t>
      </w:r>
      <w:proofErr w:type="spellStart"/>
      <w:r w:rsidRPr="00FE4BD9">
        <w:rPr>
          <w:rFonts w:ascii="Arial" w:hAnsi="Arial" w:cs="Arial"/>
        </w:rPr>
        <w:t>deepSplit</w:t>
      </w:r>
      <w:proofErr w:type="spellEnd"/>
      <w:r w:rsidRPr="00FE4BD9">
        <w:rPr>
          <w:rFonts w:ascii="Arial" w:hAnsi="Arial" w:cs="Arial"/>
        </w:rPr>
        <w:t xml:space="preserve"> = 4, </w:t>
      </w:r>
      <w:proofErr w:type="spellStart"/>
      <w:r w:rsidRPr="00FE4BD9">
        <w:rPr>
          <w:rFonts w:ascii="Arial" w:hAnsi="Arial" w:cs="Arial"/>
        </w:rPr>
        <w:t>pamStage</w:t>
      </w:r>
      <w:proofErr w:type="spellEnd"/>
      <w:r w:rsidRPr="00FE4BD9">
        <w:rPr>
          <w:rFonts w:ascii="Arial" w:hAnsi="Arial" w:cs="Arial"/>
        </w:rPr>
        <w:t xml:space="preserve"> = T, and </w:t>
      </w:r>
      <w:proofErr w:type="spellStart"/>
      <w:r w:rsidRPr="00FE4BD9">
        <w:rPr>
          <w:rFonts w:ascii="Arial" w:hAnsi="Arial" w:cs="Arial"/>
        </w:rPr>
        <w:t>pamRespectsDendro</w:t>
      </w:r>
      <w:proofErr w:type="spellEnd"/>
      <w:r w:rsidRPr="00FE4BD9">
        <w:rPr>
          <w:rFonts w:ascii="Arial" w:hAnsi="Arial" w:cs="Arial"/>
        </w:rPr>
        <w:t xml:space="preserve"> = F. </w:t>
      </w:r>
      <w:r w:rsidRPr="00397F1E">
        <w:rPr>
          <w:rFonts w:ascii="Arial" w:hAnsi="Arial" w:cs="Arial"/>
        </w:rPr>
        <w:t xml:space="preserve">We converted </w:t>
      </w:r>
      <w:r w:rsidR="00127AF4" w:rsidRPr="00397F1E">
        <w:rPr>
          <w:rFonts w:ascii="Arial" w:hAnsi="Arial" w:cs="Arial" w:hint="eastAsia"/>
        </w:rPr>
        <w:t xml:space="preserve">an </w:t>
      </w:r>
      <w:r w:rsidRPr="00397F1E">
        <w:rPr>
          <w:rFonts w:ascii="Arial" w:hAnsi="Arial" w:cs="Arial"/>
        </w:rPr>
        <w:t xml:space="preserve">adjacency matrix to a topological overlap matrix (TOM), that measures the network connectivity of genes defined as the sum of adjacent genes. Average linkage hierarchical clustering was performed based on TOM-based dissimilarity measurements, and we calculated dissimilarity </w:t>
      </w:r>
      <w:r w:rsidR="00127AF4" w:rsidRPr="00397F1E">
        <w:rPr>
          <w:rFonts w:ascii="Arial" w:hAnsi="Arial" w:cs="Arial" w:hint="eastAsia"/>
        </w:rPr>
        <w:t xml:space="preserve">among modules </w:t>
      </w:r>
      <w:r w:rsidRPr="00397F1E">
        <w:rPr>
          <w:rFonts w:ascii="Arial" w:hAnsi="Arial" w:cs="Arial"/>
        </w:rPr>
        <w:t xml:space="preserve">and constructed module dendrograms. The </w:t>
      </w:r>
      <w:r w:rsidR="00127AF4" w:rsidRPr="00397F1E">
        <w:rPr>
          <w:rFonts w:ascii="Arial" w:hAnsi="Arial" w:cs="Arial" w:hint="eastAsia"/>
        </w:rPr>
        <w:t xml:space="preserve">genes connected to </w:t>
      </w:r>
      <w:r w:rsidR="00127AF4" w:rsidRPr="00397F1E">
        <w:rPr>
          <w:rFonts w:ascii="Arial" w:hAnsi="Arial" w:cs="Arial" w:hint="eastAsia"/>
          <w:i/>
          <w:iCs/>
        </w:rPr>
        <w:t>LINC02257</w:t>
      </w:r>
      <w:r w:rsidR="00127AF4" w:rsidRPr="00397F1E">
        <w:rPr>
          <w:rFonts w:ascii="Arial" w:hAnsi="Arial" w:cs="Arial" w:hint="eastAsia"/>
        </w:rPr>
        <w:t xml:space="preserve"> by edges were </w:t>
      </w:r>
      <w:r w:rsidRPr="00397F1E">
        <w:rPr>
          <w:rFonts w:ascii="Arial" w:hAnsi="Arial" w:cs="Arial"/>
        </w:rPr>
        <w:t xml:space="preserve">visualized network plot was using Cytoscape (v3.9.1) </w:t>
      </w:r>
      <w:r w:rsidR="005B7D2D" w:rsidRPr="00397F1E">
        <w:rPr>
          <w:rFonts w:ascii="Arial" w:hAnsi="Arial" w:cs="Arial"/>
        </w:rPr>
        <w:fldChar w:fldCharType="begin"/>
      </w:r>
      <w:r w:rsidR="005B7D2D" w:rsidRPr="00397F1E">
        <w:rPr>
          <w:rFonts w:ascii="Arial" w:hAnsi="Arial" w:cs="Arial"/>
        </w:rPr>
        <w:instrText xml:space="preserve"> ADDIN EN.CITE &lt;EndNote&gt;&lt;Cite&gt;&lt;Author&gt;Shannon&lt;/Author&gt;&lt;Year&gt;2003&lt;/Year&gt;&lt;RecNum&gt;1043&lt;/RecNum&gt;&lt;DisplayText&gt;&lt;style face="superscript"&gt;6&lt;/style&gt;&lt;/DisplayText&gt;&lt;record&gt;&lt;rec-number&gt;1043&lt;/rec-number&gt;&lt;foreign-keys&gt;&lt;key app="EN" db-id="rxa0tv9009rvele02ep5ewtvedrvrxerss52" timestamp="1709202004"&gt;1043&lt;/key&gt;&lt;/foreign-keys&gt;&lt;ref-type name="Journal Article"&gt;17&lt;/ref-type&gt;&lt;contributors&gt;&lt;authors&gt;&lt;author&gt;Shannon, Paul&lt;/author&gt;&lt;author&gt;Markiel, Andrew&lt;/author&gt;&lt;author&gt;Ozier, Owen&lt;/author&gt;&lt;author&gt;Baliga, Nitin S&lt;/author&gt;&lt;author&gt;Wang, Jonathan T&lt;/author&gt;&lt;author&gt;Ramage, Daniel&lt;/author&gt;&lt;author&gt;Amin, Nada&lt;/author&gt;&lt;author&gt;Schwikowski, Benno&lt;/author&gt;&lt;author&gt;Ideker, Trey&lt;/author&gt;&lt;/authors&gt;&lt;/contributors&gt;&lt;titles&gt;&lt;title&gt;Cytoscape: a software environment for integrated models of biomolecular interaction networks&lt;/title&gt;&lt;secondary-title&gt;Genome research&lt;/secondary-title&gt;&lt;/titles&gt;&lt;periodical&gt;&lt;full-title&gt;Genome research&lt;/full-title&gt;&lt;/periodical&gt;&lt;pages&gt;2498-2504&lt;/pages&gt;&lt;volume&gt;13&lt;/volume&gt;&lt;number&gt;11&lt;/number&gt;&lt;dates&gt;&lt;year&gt;2003&lt;/year&gt;&lt;/dates&gt;&lt;isbn&gt;1088-9051&lt;/isbn&gt;&lt;urls&gt;&lt;/urls&gt;&lt;/record&gt;&lt;/Cite&gt;&lt;/EndNote&gt;</w:instrText>
      </w:r>
      <w:r w:rsidR="005B7D2D" w:rsidRPr="00397F1E">
        <w:rPr>
          <w:rFonts w:ascii="Arial" w:hAnsi="Arial" w:cs="Arial"/>
        </w:rPr>
        <w:fldChar w:fldCharType="separate"/>
      </w:r>
      <w:r w:rsidR="005B7D2D" w:rsidRPr="00397F1E">
        <w:rPr>
          <w:rFonts w:ascii="Arial" w:hAnsi="Arial" w:cs="Arial"/>
          <w:noProof/>
          <w:vertAlign w:val="superscript"/>
        </w:rPr>
        <w:t>6</w:t>
      </w:r>
      <w:r w:rsidR="005B7D2D" w:rsidRPr="00397F1E">
        <w:rPr>
          <w:rFonts w:ascii="Arial" w:hAnsi="Arial" w:cs="Arial"/>
        </w:rPr>
        <w:fldChar w:fldCharType="end"/>
      </w:r>
      <w:r w:rsidRPr="00397F1E">
        <w:rPr>
          <w:rFonts w:ascii="Arial" w:hAnsi="Arial" w:cs="Arial"/>
        </w:rPr>
        <w:t>.</w:t>
      </w:r>
    </w:p>
    <w:p w14:paraId="1BF8A255" w14:textId="77777777" w:rsidR="00FE4BD9" w:rsidRPr="00FE4BD9" w:rsidRDefault="00FE4BD9" w:rsidP="00FE4BD9">
      <w:pPr>
        <w:pStyle w:val="a3"/>
        <w:spacing w:line="480" w:lineRule="auto"/>
        <w:jc w:val="both"/>
        <w:rPr>
          <w:rFonts w:ascii="Arial" w:hAnsi="Arial" w:cs="Arial"/>
          <w:b/>
          <w:bCs/>
        </w:rPr>
      </w:pPr>
    </w:p>
    <w:p w14:paraId="2C785BAA" w14:textId="77777777" w:rsidR="00FE4BD9" w:rsidRPr="00FE4BD9" w:rsidRDefault="00FE4BD9" w:rsidP="00FE4BD9">
      <w:pPr>
        <w:pStyle w:val="a3"/>
        <w:spacing w:line="480" w:lineRule="auto"/>
        <w:jc w:val="both"/>
        <w:rPr>
          <w:rFonts w:ascii="Arial" w:hAnsi="Arial" w:cs="Arial"/>
          <w:b/>
          <w:bCs/>
        </w:rPr>
      </w:pPr>
      <w:r w:rsidRPr="00FE4BD9">
        <w:rPr>
          <w:rFonts w:ascii="Arial" w:hAnsi="Arial" w:cs="Arial"/>
          <w:b/>
          <w:bCs/>
        </w:rPr>
        <w:t>Functional analysis</w:t>
      </w:r>
    </w:p>
    <w:p w14:paraId="206158DC" w14:textId="542CC79E" w:rsidR="00FE4BD9" w:rsidRPr="005B7D2D" w:rsidRDefault="00FE4BD9" w:rsidP="00FE4BD9">
      <w:pPr>
        <w:pStyle w:val="a3"/>
        <w:spacing w:line="480" w:lineRule="auto"/>
        <w:jc w:val="both"/>
        <w:rPr>
          <w:rFonts w:ascii="Arial" w:hAnsi="Arial" w:cs="Arial"/>
        </w:rPr>
      </w:pPr>
      <w:r w:rsidRPr="005B7D2D">
        <w:rPr>
          <w:rFonts w:ascii="Arial" w:hAnsi="Arial" w:cs="Arial"/>
        </w:rPr>
        <w:t xml:space="preserve">For the annotation of putative risk genes in colon cancer, we conducted pathway analysis using </w:t>
      </w:r>
      <w:proofErr w:type="spellStart"/>
      <w:r w:rsidRPr="005B7D2D">
        <w:rPr>
          <w:rFonts w:ascii="Arial" w:hAnsi="Arial" w:cs="Arial"/>
        </w:rPr>
        <w:t>WebGestalt</w:t>
      </w:r>
      <w:proofErr w:type="spellEnd"/>
      <w:r w:rsidRPr="005B7D2D">
        <w:rPr>
          <w:rFonts w:ascii="Arial" w:hAnsi="Arial" w:cs="Arial"/>
        </w:rPr>
        <w:t xml:space="preserve"> (Web-based </w:t>
      </w:r>
      <w:proofErr w:type="spellStart"/>
      <w:r w:rsidRPr="005B7D2D">
        <w:rPr>
          <w:rFonts w:ascii="Arial" w:hAnsi="Arial" w:cs="Arial"/>
        </w:rPr>
        <w:t>GEne</w:t>
      </w:r>
      <w:proofErr w:type="spellEnd"/>
      <w:r w:rsidRPr="005B7D2D">
        <w:rPr>
          <w:rFonts w:ascii="Arial" w:hAnsi="Arial" w:cs="Arial"/>
        </w:rPr>
        <w:t xml:space="preserve"> </w:t>
      </w:r>
      <w:proofErr w:type="spellStart"/>
      <w:r w:rsidRPr="005B7D2D">
        <w:rPr>
          <w:rFonts w:ascii="Arial" w:hAnsi="Arial" w:cs="Arial"/>
        </w:rPr>
        <w:t>SeT</w:t>
      </w:r>
      <w:proofErr w:type="spellEnd"/>
      <w:r w:rsidRPr="005B7D2D">
        <w:rPr>
          <w:rFonts w:ascii="Arial" w:hAnsi="Arial" w:cs="Arial"/>
        </w:rPr>
        <w:t xml:space="preserve"> </w:t>
      </w:r>
      <w:proofErr w:type="spellStart"/>
      <w:r w:rsidRPr="005B7D2D">
        <w:rPr>
          <w:rFonts w:ascii="Arial" w:hAnsi="Arial" w:cs="Arial"/>
        </w:rPr>
        <w:t>AnaLysis</w:t>
      </w:r>
      <w:proofErr w:type="spellEnd"/>
      <w:r w:rsidRPr="005B7D2D">
        <w:rPr>
          <w:rFonts w:ascii="Arial" w:hAnsi="Arial" w:cs="Arial"/>
        </w:rPr>
        <w:t xml:space="preserve"> Toolkit) </w:t>
      </w:r>
      <w:r w:rsidR="005B7D2D">
        <w:rPr>
          <w:rFonts w:ascii="Arial" w:hAnsi="Arial" w:cs="Arial"/>
        </w:rPr>
        <w:fldChar w:fldCharType="begin"/>
      </w:r>
      <w:r w:rsidR="005B7D2D">
        <w:rPr>
          <w:rFonts w:ascii="Arial" w:hAnsi="Arial" w:cs="Arial"/>
        </w:rPr>
        <w:instrText xml:space="preserve"> ADDIN EN.CITE &lt;EndNote&gt;&lt;Cite&gt;&lt;Author&gt;Liao&lt;/Author&gt;&lt;Year&gt;2019&lt;/Year&gt;&lt;RecNum&gt;1035&lt;/RecNum&gt;&lt;DisplayText&gt;&lt;style face="superscript"&gt;7&lt;/style&gt;&lt;/DisplayText&gt;&lt;record&gt;&lt;rec-number&gt;1035&lt;/rec-number&gt;&lt;foreign-keys&gt;&lt;key app="EN" db-id="rxa0tv9009rvele02ep5ewtvedrvrxerss52" timestamp="1709201918"&gt;1035&lt;/key&gt;&lt;/foreign-keys&gt;&lt;ref-type name="Journal Article"&gt;17&lt;/ref-type&gt;&lt;contributors&gt;&lt;authors&gt;&lt;author&gt;Liao, Yuxing&lt;/author&gt;&lt;author&gt;Wang, Jing&lt;/author&gt;&lt;author&gt;Jaehnig, Eric J&lt;/author&gt;&lt;author&gt;Shi, Zhiao&lt;/author&gt;&lt;author&gt;Zhang, Bing&lt;/author&gt;&lt;/authors&gt;&lt;/contributors&gt;&lt;titles&gt;&lt;title&gt;WebGestalt 2019: gene set analysis toolkit with revamped UIs and APIs&lt;/title&gt;&lt;secondary-title&gt;Nucleic acids research&lt;/secondary-title&gt;&lt;/titles&gt;&lt;periodical&gt;&lt;full-title&gt;Nucleic acids research&lt;/full-title&gt;&lt;/periodical&gt;&lt;pages&gt;W199-W205&lt;/pages&gt;&lt;volume&gt;47&lt;/volume&gt;&lt;number&gt;W1&lt;/number&gt;&lt;dates&gt;&lt;year&gt;2019&lt;/year&gt;&lt;/dates&gt;&lt;isbn&gt;0305-1048&lt;/isbn&gt;&lt;urls&gt;&lt;/urls&gt;&lt;/record&gt;&lt;/Cite&gt;&lt;/EndNote&gt;</w:instrText>
      </w:r>
      <w:r w:rsidR="005B7D2D">
        <w:rPr>
          <w:rFonts w:ascii="Arial" w:hAnsi="Arial" w:cs="Arial"/>
        </w:rPr>
        <w:fldChar w:fldCharType="separate"/>
      </w:r>
      <w:r w:rsidR="005B7D2D" w:rsidRPr="005B7D2D">
        <w:rPr>
          <w:rFonts w:ascii="Arial" w:hAnsi="Arial" w:cs="Arial"/>
          <w:noProof/>
          <w:vertAlign w:val="superscript"/>
        </w:rPr>
        <w:t>7</w:t>
      </w:r>
      <w:r w:rsidR="005B7D2D">
        <w:rPr>
          <w:rFonts w:ascii="Arial" w:hAnsi="Arial" w:cs="Arial"/>
        </w:rPr>
        <w:fldChar w:fldCharType="end"/>
      </w:r>
      <w:r w:rsidRPr="005B7D2D">
        <w:rPr>
          <w:rFonts w:ascii="Arial" w:hAnsi="Arial" w:cs="Arial"/>
        </w:rPr>
        <w:t xml:space="preserve">. An enrichment pathway analysis was used with the following parameters: specific organism = H. sapiens, enrichment categories = KEGG and Panther pathway, minimum number = 5, and maximum number of ID in each category = 2000. A reference list was used for all mapped gene symbols from the selected platform ‘genome’. GO (Gene ontology) analysis conducted via g:Profiler </w:t>
      </w:r>
      <w:r w:rsidR="005B7D2D">
        <w:rPr>
          <w:rFonts w:ascii="Arial" w:hAnsi="Arial" w:cs="Arial"/>
        </w:rPr>
        <w:fldChar w:fldCharType="begin"/>
      </w:r>
      <w:r w:rsidR="005B7D2D">
        <w:rPr>
          <w:rFonts w:ascii="Arial" w:hAnsi="Arial" w:cs="Arial"/>
        </w:rPr>
        <w:instrText xml:space="preserve"> ADDIN EN.CITE &lt;EndNote&gt;&lt;Cite&gt;&lt;Author&gt;Raudvere&lt;/Author&gt;&lt;Year&gt;2019&lt;/Year&gt;&lt;RecNum&gt;1041&lt;/RecNum&gt;&lt;DisplayText&gt;&lt;style face="superscript"&gt;8&lt;/style&gt;&lt;/DisplayText&gt;&lt;record&gt;&lt;rec-number&gt;1041&lt;/rec-number&gt;&lt;foreign-keys&gt;&lt;key app="EN" db-id="rxa0tv9009rvele02ep5ewtvedrvrxerss52" timestamp="1709201986"&gt;1041&lt;/key&gt;&lt;/foreign-keys&gt;&lt;ref-type name="Journal Article"&gt;17&lt;/ref-type&gt;&lt;contributors&gt;&lt;authors&gt;&lt;author&gt;Raudvere, Uku&lt;/author&gt;&lt;author&gt;Kolberg, Liis&lt;/author&gt;&lt;author&gt;Kuzmin, Ivan&lt;/author&gt;&lt;author&gt;Arak, Tambet&lt;/author&gt;&lt;author&gt;Adler, Priit&lt;/author&gt;&lt;author&gt;Peterson, Hedi&lt;/author&gt;&lt;author&gt;Vilo, Jaak&lt;/author&gt;&lt;/authors&gt;&lt;/contributors&gt;&lt;titles&gt;&lt;title&gt;g: Profiler: a web server for functional enrichment analysis and conversions of gene lists (2019 update)&lt;/title&gt;&lt;secondary-title&gt;Nucleic acids research&lt;/secondary-title&gt;&lt;/titles&gt;&lt;periodical&gt;&lt;full-title&gt;Nucleic acids research&lt;/full-title&gt;&lt;/periodical&gt;&lt;pages&gt;W191-W198&lt;/pages&gt;&lt;volume&gt;47&lt;/volume&gt;&lt;number&gt;W1&lt;/number&gt;&lt;dates&gt;&lt;year&gt;2019&lt;/year&gt;&lt;/dates&gt;&lt;isbn&gt;0305-1048&lt;/isbn&gt;&lt;urls&gt;&lt;/urls&gt;&lt;/record&gt;&lt;/Cite&gt;&lt;/EndNote&gt;</w:instrText>
      </w:r>
      <w:r w:rsidR="005B7D2D">
        <w:rPr>
          <w:rFonts w:ascii="Arial" w:hAnsi="Arial" w:cs="Arial"/>
        </w:rPr>
        <w:fldChar w:fldCharType="separate"/>
      </w:r>
      <w:r w:rsidR="005B7D2D" w:rsidRPr="005B7D2D">
        <w:rPr>
          <w:rFonts w:ascii="Arial" w:hAnsi="Arial" w:cs="Arial"/>
          <w:noProof/>
          <w:vertAlign w:val="superscript"/>
        </w:rPr>
        <w:t>8</w:t>
      </w:r>
      <w:r w:rsidR="005B7D2D">
        <w:rPr>
          <w:rFonts w:ascii="Arial" w:hAnsi="Arial" w:cs="Arial"/>
        </w:rPr>
        <w:fldChar w:fldCharType="end"/>
      </w:r>
      <w:r w:rsidRPr="005B7D2D">
        <w:rPr>
          <w:rFonts w:ascii="Arial" w:hAnsi="Arial" w:cs="Arial"/>
        </w:rPr>
        <w:t>, and we was follow default parameters.</w:t>
      </w:r>
    </w:p>
    <w:p w14:paraId="519AAA11" w14:textId="77777777" w:rsidR="00FE4BD9" w:rsidRPr="00FE4BD9" w:rsidRDefault="00FE4BD9" w:rsidP="00FE4BD9">
      <w:pPr>
        <w:pStyle w:val="a3"/>
        <w:spacing w:line="480" w:lineRule="auto"/>
        <w:jc w:val="both"/>
        <w:rPr>
          <w:rFonts w:ascii="Arial" w:hAnsi="Arial" w:cs="Arial"/>
          <w:b/>
          <w:bCs/>
        </w:rPr>
      </w:pPr>
    </w:p>
    <w:p w14:paraId="357B2638" w14:textId="77777777" w:rsidR="00FE4BD9" w:rsidRPr="00FE4BD9" w:rsidRDefault="00FE4BD9" w:rsidP="00FE4BD9">
      <w:pPr>
        <w:pStyle w:val="a3"/>
        <w:spacing w:line="480" w:lineRule="auto"/>
        <w:jc w:val="both"/>
        <w:rPr>
          <w:rFonts w:ascii="Arial" w:hAnsi="Arial" w:cs="Arial"/>
          <w:b/>
          <w:bCs/>
        </w:rPr>
      </w:pPr>
      <w:r w:rsidRPr="00FE4BD9">
        <w:rPr>
          <w:rFonts w:ascii="Arial" w:hAnsi="Arial" w:cs="Arial"/>
          <w:b/>
          <w:bCs/>
        </w:rPr>
        <w:lastRenderedPageBreak/>
        <w:t>Cell type definition</w:t>
      </w:r>
    </w:p>
    <w:p w14:paraId="26E7A68F" w14:textId="1D99A766" w:rsidR="007D7412" w:rsidRPr="005B7D2D" w:rsidRDefault="00FE4BD9" w:rsidP="00FE4BD9">
      <w:pPr>
        <w:pStyle w:val="a3"/>
        <w:spacing w:line="480" w:lineRule="auto"/>
        <w:jc w:val="both"/>
        <w:rPr>
          <w:rFonts w:ascii="Arial" w:hAnsi="Arial" w:cs="Arial"/>
        </w:rPr>
      </w:pPr>
      <w:proofErr w:type="spellStart"/>
      <w:r w:rsidRPr="005B7D2D">
        <w:rPr>
          <w:rFonts w:ascii="Arial" w:hAnsi="Arial" w:cs="Arial"/>
        </w:rPr>
        <w:t>CIBERSORTx</w:t>
      </w:r>
      <w:proofErr w:type="spellEnd"/>
      <w:r w:rsidRPr="005B7D2D">
        <w:rPr>
          <w:rFonts w:ascii="Arial" w:hAnsi="Arial" w:cs="Arial"/>
        </w:rPr>
        <w:t xml:space="preserve"> was applied to infer cell-type specific gene expression profiles without physical cell isolation </w:t>
      </w:r>
      <w:r w:rsidR="005B7D2D">
        <w:rPr>
          <w:rFonts w:ascii="Arial" w:hAnsi="Arial" w:cs="Arial"/>
        </w:rPr>
        <w:fldChar w:fldCharType="begin"/>
      </w:r>
      <w:r w:rsidR="005B7D2D">
        <w:rPr>
          <w:rFonts w:ascii="Arial" w:hAnsi="Arial" w:cs="Arial"/>
        </w:rPr>
        <w:instrText xml:space="preserve"> ADDIN EN.CITE &lt;EndNote&gt;&lt;Cite&gt;&lt;Author&gt;Newman&lt;/Author&gt;&lt;Year&gt;2019&lt;/Year&gt;&lt;RecNum&gt;1037&lt;/RecNum&gt;&lt;DisplayText&gt;&lt;style face="superscript"&gt;9&lt;/style&gt;&lt;/DisplayText&gt;&lt;record&gt;&lt;rec-number&gt;1037&lt;/rec-number&gt;&lt;foreign-keys&gt;&lt;key app="EN" db-id="rxa0tv9009rvele02ep5ewtvedrvrxerss52" timestamp="1709201949"&gt;1037&lt;/key&gt;&lt;/foreign-keys&gt;&lt;ref-type name="Journal Article"&gt;17&lt;/ref-type&gt;&lt;contributors&gt;&lt;authors&gt;&lt;author&gt;Newman, Aaron M&lt;/author&gt;&lt;author&gt;Steen, Chloé B&lt;/author&gt;&lt;author&gt;Liu, Chih Long&lt;/author&gt;&lt;author&gt;Gentles, Andrew J&lt;/author&gt;&lt;author&gt;Chaudhuri, Aadel A&lt;/author&gt;&lt;author&gt;Scherer, Florian&lt;/author&gt;&lt;author&gt;Khodadoust, Michael S&lt;/author&gt;&lt;author&gt;Esfahani, Mohammad S&lt;/author&gt;&lt;author&gt;Luca, Bogdan A&lt;/author&gt;&lt;author&gt;Steiner, David&lt;/author&gt;&lt;/authors&gt;&lt;/contributors&gt;&lt;titles&gt;&lt;title&gt;Determining cell type abundance and expression from bulk tissues with digital cytometry&lt;/title&gt;&lt;secondary-title&gt;Nature biotechnology&lt;/secondary-title&gt;&lt;/titles&gt;&lt;periodical&gt;&lt;full-title&gt;Nature biotechnology&lt;/full-title&gt;&lt;/periodical&gt;&lt;pages&gt;773-782&lt;/pages&gt;&lt;volume&gt;37&lt;/volume&gt;&lt;number&gt;7&lt;/number&gt;&lt;dates&gt;&lt;year&gt;2019&lt;/year&gt;&lt;/dates&gt;&lt;isbn&gt;1546-1696&lt;/isbn&gt;&lt;urls&gt;&lt;/urls&gt;&lt;/record&gt;&lt;/Cite&gt;&lt;/EndNote&gt;</w:instrText>
      </w:r>
      <w:r w:rsidR="005B7D2D">
        <w:rPr>
          <w:rFonts w:ascii="Arial" w:hAnsi="Arial" w:cs="Arial"/>
        </w:rPr>
        <w:fldChar w:fldCharType="separate"/>
      </w:r>
      <w:r w:rsidR="005B7D2D" w:rsidRPr="005B7D2D">
        <w:rPr>
          <w:rFonts w:ascii="Arial" w:hAnsi="Arial" w:cs="Arial"/>
          <w:noProof/>
          <w:vertAlign w:val="superscript"/>
        </w:rPr>
        <w:t>9</w:t>
      </w:r>
      <w:r w:rsidR="005B7D2D">
        <w:rPr>
          <w:rFonts w:ascii="Arial" w:hAnsi="Arial" w:cs="Arial"/>
        </w:rPr>
        <w:fldChar w:fldCharType="end"/>
      </w:r>
      <w:r w:rsidRPr="005B7D2D">
        <w:rPr>
          <w:rFonts w:ascii="Arial" w:hAnsi="Arial" w:cs="Arial"/>
        </w:rPr>
        <w:t>. We prepared the signature matrix and mixture datasets of tumor and normal groups obtained from GSE1467711</w:t>
      </w:r>
      <w:r w:rsidR="005B7D2D">
        <w:rPr>
          <w:rFonts w:ascii="Arial" w:hAnsi="Arial" w:cs="Arial"/>
        </w:rPr>
        <w:t xml:space="preserve"> </w:t>
      </w:r>
      <w:r w:rsidR="005B7D2D">
        <w:rPr>
          <w:rFonts w:ascii="Arial" w:hAnsi="Arial" w:cs="Arial"/>
        </w:rPr>
        <w:fldChar w:fldCharType="begin"/>
      </w:r>
      <w:r w:rsidR="005B7D2D">
        <w:rPr>
          <w:rFonts w:ascii="Arial" w:hAnsi="Arial" w:cs="Arial"/>
        </w:rPr>
        <w:instrText xml:space="preserve"> ADDIN EN.CITE &lt;EndNote&gt;&lt;Cite&gt;&lt;Author&gt;Zhang&lt;/Author&gt;&lt;Year&gt;2020&lt;/Year&gt;&lt;RecNum&gt;1046&lt;/RecNum&gt;&lt;DisplayText&gt;&lt;style face="superscript"&gt;10&lt;/style&gt;&lt;/DisplayText&gt;&lt;record&gt;&lt;rec-number&gt;1046&lt;/rec-number&gt;&lt;foreign-keys&gt;&lt;key app="EN" db-id="rxa0tv9009rvele02ep5ewtvedrvrxerss52" timestamp="1709202033"&gt;1046&lt;/key&gt;&lt;/foreign-keys&gt;&lt;ref-type name="Journal Article"&gt;17&lt;/ref-type&gt;&lt;contributors&gt;&lt;authors&gt;&lt;author&gt;Zhang, Lei&lt;/author&gt;&lt;author&gt;Li, Ziyi&lt;/author&gt;&lt;author&gt;Skrzypczynska, Katarzyna M&lt;/author&gt;&lt;author&gt;Fang, Qiao&lt;/author&gt;&lt;author&gt;Zhang, Wei&lt;/author&gt;&lt;author&gt;O’Brien, Sarah A&lt;/author&gt;&lt;author&gt;He, Yao&lt;/author&gt;&lt;author&gt;Wang, Lynn&lt;/author&gt;&lt;author&gt;Zhang, Qiming&lt;/author&gt;&lt;author&gt;Kim, Aeryon&lt;/author&gt;&lt;/authors&gt;&lt;/contributors&gt;&lt;titles&gt;&lt;title&gt;Single-cell analyses inform mechanisms of myeloid-targeted therapies in colon cancer&lt;/title&gt;&lt;secondary-title&gt;Cell&lt;/secondary-title&gt;&lt;/titles&gt;&lt;periodical&gt;&lt;full-title&gt;Cell&lt;/full-title&gt;&lt;/periodical&gt;&lt;pages&gt;442-459. e29&lt;/pages&gt;&lt;volume&gt;181&lt;/volume&gt;&lt;number&gt;2&lt;/number&gt;&lt;dates&gt;&lt;year&gt;2020&lt;/year&gt;&lt;/dates&gt;&lt;isbn&gt;0092-8674&lt;/isbn&gt;&lt;urls&gt;&lt;/urls&gt;&lt;/record&gt;&lt;/Cite&gt;&lt;/EndNote&gt;</w:instrText>
      </w:r>
      <w:r w:rsidR="005B7D2D">
        <w:rPr>
          <w:rFonts w:ascii="Arial" w:hAnsi="Arial" w:cs="Arial"/>
        </w:rPr>
        <w:fldChar w:fldCharType="separate"/>
      </w:r>
      <w:r w:rsidR="005B7D2D" w:rsidRPr="005B7D2D">
        <w:rPr>
          <w:rFonts w:ascii="Arial" w:hAnsi="Arial" w:cs="Arial"/>
          <w:noProof/>
          <w:vertAlign w:val="superscript"/>
        </w:rPr>
        <w:t>10</w:t>
      </w:r>
      <w:r w:rsidR="005B7D2D">
        <w:rPr>
          <w:rFonts w:ascii="Arial" w:hAnsi="Arial" w:cs="Arial"/>
        </w:rPr>
        <w:fldChar w:fldCharType="end"/>
      </w:r>
      <w:r w:rsidR="005B7D2D">
        <w:rPr>
          <w:rFonts w:ascii="Arial" w:hAnsi="Arial" w:cs="Arial"/>
        </w:rPr>
        <w:t xml:space="preserve"> </w:t>
      </w:r>
      <w:r w:rsidRPr="005B7D2D">
        <w:rPr>
          <w:rFonts w:ascii="Arial" w:hAnsi="Arial" w:cs="Arial"/>
        </w:rPr>
        <w:t xml:space="preserve">and TCGA, according to the instructions provided by </w:t>
      </w:r>
      <w:proofErr w:type="spellStart"/>
      <w:r w:rsidRPr="005B7D2D">
        <w:rPr>
          <w:rFonts w:ascii="Arial" w:hAnsi="Arial" w:cs="Arial"/>
        </w:rPr>
        <w:t>CIBERSORTx</w:t>
      </w:r>
      <w:proofErr w:type="spellEnd"/>
      <w:r w:rsidRPr="005B7D2D">
        <w:rPr>
          <w:rFonts w:ascii="Arial" w:hAnsi="Arial" w:cs="Arial"/>
        </w:rPr>
        <w:t xml:space="preserve">. The GSE146771 dataset comprised tumor, adjacent normal tissue, and blood from 18 colorectal cancer patients, and is globally clustered into the following 8 cell types: CD4+ T cells, CD8+ T cells, B cells, ILC, myeloid cells, epithelial, fibroblast, and malignant cells. We aligned the signature matrix and mixture file to the same normalization space. The </w:t>
      </w:r>
      <w:proofErr w:type="spellStart"/>
      <w:r w:rsidRPr="005B7D2D">
        <w:rPr>
          <w:rFonts w:ascii="Arial" w:hAnsi="Arial" w:cs="Arial"/>
        </w:rPr>
        <w:t>scRNA</w:t>
      </w:r>
      <w:proofErr w:type="spellEnd"/>
      <w:r w:rsidRPr="005B7D2D">
        <w:rPr>
          <w:rFonts w:ascii="Arial" w:hAnsi="Arial" w:cs="Arial"/>
        </w:rPr>
        <w:t xml:space="preserve"> data were derived from 10x and Smart-seq2, and “S-mode” was chosen for batch correction due to the high proportion of 10x data. We set parameters retained the default. After running </w:t>
      </w:r>
      <w:proofErr w:type="spellStart"/>
      <w:r w:rsidRPr="005B7D2D">
        <w:rPr>
          <w:rFonts w:ascii="Arial" w:hAnsi="Arial" w:cs="Arial"/>
        </w:rPr>
        <w:t>CIBERSORTx</w:t>
      </w:r>
      <w:proofErr w:type="spellEnd"/>
      <w:r w:rsidRPr="005B7D2D">
        <w:rPr>
          <w:rFonts w:ascii="Arial" w:hAnsi="Arial" w:cs="Arial"/>
        </w:rPr>
        <w:t>, we acquired the relative proportions of the 8 global cell types in each sample with adjusted P &lt; 0.01 for the deconvolution. Then, within each TCGA samples, we executed a Spearman’s correlation test between gene expression and each cell types estimated proportion.</w:t>
      </w:r>
    </w:p>
    <w:p w14:paraId="6EF7BBA4" w14:textId="77777777" w:rsidR="007D7412" w:rsidRDefault="007D7412" w:rsidP="00BB391B">
      <w:pPr>
        <w:pStyle w:val="a3"/>
        <w:spacing w:line="480" w:lineRule="auto"/>
        <w:jc w:val="both"/>
        <w:rPr>
          <w:rFonts w:ascii="Arial" w:hAnsi="Arial" w:cs="Arial"/>
        </w:rPr>
      </w:pPr>
    </w:p>
    <w:p w14:paraId="5A97F297" w14:textId="77777777" w:rsidR="007D7412" w:rsidRPr="001D3F55" w:rsidRDefault="007D7412" w:rsidP="007D7412">
      <w:pPr>
        <w:pStyle w:val="a3"/>
        <w:spacing w:line="480" w:lineRule="auto"/>
        <w:jc w:val="both"/>
        <w:rPr>
          <w:rFonts w:ascii="Arial" w:hAnsi="Arial" w:cs="Arial"/>
          <w:b/>
          <w:bCs/>
        </w:rPr>
      </w:pPr>
      <w:r w:rsidRPr="001D3F55">
        <w:rPr>
          <w:rFonts w:ascii="Arial" w:hAnsi="Arial" w:cs="Arial"/>
          <w:b/>
          <w:bCs/>
        </w:rPr>
        <w:t>Abbreviations</w:t>
      </w:r>
    </w:p>
    <w:p w14:paraId="1242752F" w14:textId="119076FE" w:rsidR="007D7412" w:rsidRPr="001D3F55" w:rsidRDefault="007D7412" w:rsidP="007D7412">
      <w:pPr>
        <w:pStyle w:val="a3"/>
        <w:spacing w:line="480" w:lineRule="auto"/>
        <w:jc w:val="both"/>
        <w:rPr>
          <w:rFonts w:ascii="Arial" w:hAnsi="Arial" w:cs="Arial"/>
        </w:rPr>
      </w:pPr>
      <w:r w:rsidRPr="001D3F55">
        <w:rPr>
          <w:rFonts w:ascii="Arial" w:hAnsi="Arial" w:cs="Arial"/>
        </w:rPr>
        <w:t xml:space="preserve">BLCA, bladder urothelial carcinoma; BP, biological process; </w:t>
      </w:r>
      <w:r w:rsidR="00D44000">
        <w:rPr>
          <w:rFonts w:ascii="Arial" w:hAnsi="Arial" w:cs="Arial"/>
        </w:rPr>
        <w:t>B</w:t>
      </w:r>
      <w:r w:rsidRPr="001D3F55">
        <w:rPr>
          <w:rFonts w:ascii="Arial" w:hAnsi="Arial" w:cs="Arial"/>
        </w:rPr>
        <w:t xml:space="preserve">RCA, breast invasive carcinoma; CC, cellular component; CESC, cervical squamous cell carcinoma and endocervical adenocarcinoma; CI, confidence interval; COAD, colon adenocarcinoma; </w:t>
      </w:r>
      <w:proofErr w:type="spellStart"/>
      <w:r w:rsidRPr="001D3F55">
        <w:rPr>
          <w:rFonts w:ascii="Arial" w:hAnsi="Arial" w:cs="Arial"/>
        </w:rPr>
        <w:t>dbGaP</w:t>
      </w:r>
      <w:proofErr w:type="spellEnd"/>
      <w:r w:rsidRPr="001D3F55">
        <w:rPr>
          <w:rFonts w:ascii="Arial" w:hAnsi="Arial" w:cs="Arial"/>
        </w:rPr>
        <w:t xml:space="preserve">, database of genotypes and phenotypes; DE, differentially expressed; </w:t>
      </w:r>
      <w:r w:rsidR="00D44000">
        <w:rPr>
          <w:rFonts w:ascii="Arial" w:hAnsi="Arial" w:cs="Arial"/>
        </w:rPr>
        <w:t xml:space="preserve">ECM, extracellular matrix; </w:t>
      </w:r>
      <w:r w:rsidRPr="001D3F55">
        <w:rPr>
          <w:rFonts w:ascii="Arial" w:hAnsi="Arial" w:cs="Arial"/>
        </w:rPr>
        <w:t xml:space="preserve">EMT, epithelial–mesenchymal transition; </w:t>
      </w:r>
      <w:proofErr w:type="spellStart"/>
      <w:r w:rsidRPr="001D3F55">
        <w:rPr>
          <w:rFonts w:ascii="Arial" w:hAnsi="Arial" w:cs="Arial"/>
        </w:rPr>
        <w:t>eQTL</w:t>
      </w:r>
      <w:proofErr w:type="spellEnd"/>
      <w:r w:rsidRPr="001D3F55">
        <w:rPr>
          <w:rFonts w:ascii="Arial" w:hAnsi="Arial" w:cs="Arial"/>
        </w:rPr>
        <w:t xml:space="preserve">, expression quantitative trait; ESCA, esophageal carcinoma; GEO, gene expression omnibus; GO, gene ontology; GTEx, genotype-tissue expression; GWAS, genome-wide association study; HNSC, head and neck squamous cell carcinoma; HR, hazard ratio; ILCs, innate lymphoid cells; KIRC, kidney renal clear cell carcinoma; KIRP, kidney renal papillary cell carcinoma; LD, linkage disequilibrium; LFC, log2 fold change; LIHC, Liver hepatocellular carcinoma; lncRNA, long non coding ribonucleic acid; LUAD, lung adenocarcinoma; LUSC, lung squamous cell carcinoma; Mb, mega-base pairs; MF, molecular </w:t>
      </w:r>
      <w:r w:rsidRPr="001D3F55">
        <w:rPr>
          <w:rFonts w:ascii="Arial" w:hAnsi="Arial" w:cs="Arial"/>
        </w:rPr>
        <w:lastRenderedPageBreak/>
        <w:t xml:space="preserve">function; MSI, microsatellite instability; OS, overall survival; PAAD, Pancreatic adenocarcinoma; READ, Rectum adenocarcinoma; </w:t>
      </w:r>
      <w:r w:rsidR="00D44000">
        <w:rPr>
          <w:rFonts w:ascii="Arial" w:hAnsi="Arial" w:cs="Arial"/>
        </w:rPr>
        <w:t xml:space="preserve">RNA-seq, ribonucleic acid sequencing; </w:t>
      </w:r>
      <w:r w:rsidRPr="001D3F55">
        <w:rPr>
          <w:rFonts w:ascii="Arial" w:hAnsi="Arial" w:cs="Arial"/>
        </w:rPr>
        <w:t xml:space="preserve">SNP, single nucleotide polymorphism; STAD, stomach adenocarcinoma; TCGA, the cancer genome atlas; TPM, transcripts per million; UCEC, uterine corpus endometrial carcinoma; </w:t>
      </w:r>
      <w:proofErr w:type="spellStart"/>
      <w:r w:rsidRPr="001D3F55">
        <w:rPr>
          <w:rFonts w:ascii="Arial" w:hAnsi="Arial" w:cs="Arial"/>
        </w:rPr>
        <w:t>WebGestalt</w:t>
      </w:r>
      <w:proofErr w:type="spellEnd"/>
      <w:r w:rsidRPr="001D3F55">
        <w:rPr>
          <w:rFonts w:ascii="Arial" w:hAnsi="Arial" w:cs="Arial"/>
        </w:rPr>
        <w:t>, web-based gene set analysis toolkit; WGCNA, weighted gene co-expression network analysis</w:t>
      </w:r>
    </w:p>
    <w:p w14:paraId="1A9635E3" w14:textId="77777777" w:rsidR="007D7412" w:rsidRPr="001D3F55" w:rsidRDefault="007D7412" w:rsidP="007D7412">
      <w:pPr>
        <w:pStyle w:val="a3"/>
        <w:spacing w:line="480" w:lineRule="auto"/>
        <w:jc w:val="both"/>
        <w:rPr>
          <w:rFonts w:ascii="Arial" w:hAnsi="Arial" w:cs="Arial"/>
          <w:b/>
          <w:bCs/>
        </w:rPr>
      </w:pPr>
    </w:p>
    <w:p w14:paraId="0F9E0695" w14:textId="77777777" w:rsidR="007D7412" w:rsidRPr="001D3F55" w:rsidRDefault="007D7412" w:rsidP="007D7412">
      <w:pPr>
        <w:pStyle w:val="a3"/>
        <w:spacing w:line="480" w:lineRule="auto"/>
        <w:jc w:val="both"/>
        <w:rPr>
          <w:rFonts w:ascii="Arial" w:hAnsi="Arial" w:cs="Arial"/>
          <w:b/>
          <w:bCs/>
        </w:rPr>
      </w:pPr>
      <w:r w:rsidRPr="001D3F55">
        <w:rPr>
          <w:rFonts w:ascii="Arial" w:hAnsi="Arial" w:cs="Arial"/>
          <w:b/>
          <w:bCs/>
        </w:rPr>
        <w:t>Web reference</w:t>
      </w:r>
    </w:p>
    <w:p w14:paraId="3C6F2FB0" w14:textId="77777777" w:rsidR="007D7412" w:rsidRPr="001D3F55" w:rsidRDefault="007D7412" w:rsidP="007D7412">
      <w:pPr>
        <w:pStyle w:val="a3"/>
        <w:spacing w:line="480" w:lineRule="auto"/>
        <w:jc w:val="both"/>
        <w:rPr>
          <w:rFonts w:ascii="Arial" w:hAnsi="Arial" w:cs="Arial"/>
        </w:rPr>
      </w:pPr>
      <w:r w:rsidRPr="001D3F55">
        <w:rPr>
          <w:rFonts w:ascii="Arial" w:hAnsi="Arial" w:cs="Arial"/>
        </w:rPr>
        <w:t>Bioconductor, https://www.bioconductor.org/packages/release/bioc/html/rhdf5.html</w:t>
      </w:r>
    </w:p>
    <w:p w14:paraId="10853733" w14:textId="77777777" w:rsidR="007D7412" w:rsidRPr="001D3F55" w:rsidRDefault="007D7412" w:rsidP="007D7412">
      <w:pPr>
        <w:pStyle w:val="a3"/>
        <w:spacing w:line="480" w:lineRule="auto"/>
        <w:jc w:val="both"/>
        <w:rPr>
          <w:rFonts w:ascii="Arial" w:hAnsi="Arial" w:cs="Arial"/>
        </w:rPr>
      </w:pPr>
      <w:proofErr w:type="spellStart"/>
      <w:r w:rsidRPr="001D3F55">
        <w:rPr>
          <w:rFonts w:ascii="Arial" w:hAnsi="Arial" w:cs="Arial"/>
        </w:rPr>
        <w:t>CIBERSORTx</w:t>
      </w:r>
      <w:proofErr w:type="spellEnd"/>
      <w:r w:rsidRPr="001D3F55">
        <w:rPr>
          <w:rFonts w:ascii="Arial" w:hAnsi="Arial" w:cs="Arial"/>
        </w:rPr>
        <w:t>, https://cibersortx.stanford.edu/</w:t>
      </w:r>
    </w:p>
    <w:p w14:paraId="61A36535" w14:textId="77777777" w:rsidR="007D7412" w:rsidRPr="001D3F55" w:rsidRDefault="007D7412" w:rsidP="007D7412">
      <w:pPr>
        <w:pStyle w:val="a3"/>
        <w:spacing w:line="480" w:lineRule="auto"/>
        <w:jc w:val="both"/>
        <w:rPr>
          <w:rFonts w:ascii="Arial" w:hAnsi="Arial" w:cs="Arial"/>
        </w:rPr>
      </w:pPr>
      <w:r w:rsidRPr="001D3F55">
        <w:rPr>
          <w:rFonts w:ascii="Arial" w:hAnsi="Arial" w:cs="Arial"/>
        </w:rPr>
        <w:t>Cytoscape, https://cytoscape.org/</w:t>
      </w:r>
    </w:p>
    <w:p w14:paraId="546E9F9C" w14:textId="77777777" w:rsidR="007D7412" w:rsidRPr="001D3F55" w:rsidRDefault="007D7412" w:rsidP="007D7412">
      <w:pPr>
        <w:pStyle w:val="a3"/>
        <w:spacing w:line="480" w:lineRule="auto"/>
        <w:jc w:val="both"/>
        <w:rPr>
          <w:rFonts w:ascii="Arial" w:hAnsi="Arial" w:cs="Arial"/>
          <w:lang w:val="fr-FR"/>
        </w:rPr>
      </w:pPr>
      <w:r w:rsidRPr="001D3F55">
        <w:rPr>
          <w:rFonts w:ascii="Arial" w:hAnsi="Arial" w:cs="Arial"/>
          <w:lang w:val="fr-FR"/>
        </w:rPr>
        <w:t>Ensembl, https://asia.ensembl.org/index.html</w:t>
      </w:r>
    </w:p>
    <w:p w14:paraId="32EDF917" w14:textId="77777777" w:rsidR="007D7412" w:rsidRPr="001D3F55" w:rsidRDefault="007D7412" w:rsidP="007D7412">
      <w:pPr>
        <w:pStyle w:val="a3"/>
        <w:spacing w:line="480" w:lineRule="auto"/>
        <w:jc w:val="both"/>
        <w:rPr>
          <w:rFonts w:ascii="Arial" w:hAnsi="Arial" w:cs="Arial"/>
          <w:lang w:val="es-ES"/>
        </w:rPr>
      </w:pPr>
      <w:r w:rsidRPr="001D3F55">
        <w:rPr>
          <w:rFonts w:ascii="Arial" w:hAnsi="Arial" w:cs="Arial"/>
          <w:lang w:val="es-ES"/>
        </w:rPr>
        <w:t>GEO database, https://www.ncbi.nlm.nih.gov/geo/</w:t>
      </w:r>
    </w:p>
    <w:p w14:paraId="6E79C3E4" w14:textId="77777777" w:rsidR="007D7412" w:rsidRPr="001D3F55" w:rsidRDefault="007D7412" w:rsidP="007D7412">
      <w:pPr>
        <w:pStyle w:val="a3"/>
        <w:spacing w:line="480" w:lineRule="auto"/>
        <w:jc w:val="both"/>
        <w:rPr>
          <w:rFonts w:ascii="Arial" w:hAnsi="Arial" w:cs="Arial"/>
          <w:lang w:val="es-ES"/>
        </w:rPr>
      </w:pPr>
      <w:r w:rsidRPr="001D3F55">
        <w:rPr>
          <w:rFonts w:ascii="Arial" w:hAnsi="Arial" w:cs="Arial"/>
          <w:lang w:val="es-ES"/>
        </w:rPr>
        <w:t>g:Profiler, https://biit.cs.ut.ee/gprofiler/</w:t>
      </w:r>
    </w:p>
    <w:p w14:paraId="505CE82E" w14:textId="77777777" w:rsidR="007D7412" w:rsidRPr="001D3F55" w:rsidRDefault="007D7412" w:rsidP="007D7412">
      <w:pPr>
        <w:pStyle w:val="a3"/>
        <w:spacing w:line="480" w:lineRule="auto"/>
        <w:jc w:val="both"/>
        <w:rPr>
          <w:rFonts w:ascii="Arial" w:hAnsi="Arial" w:cs="Arial"/>
          <w:lang w:val="es-ES"/>
        </w:rPr>
      </w:pPr>
      <w:r w:rsidRPr="001D3F55">
        <w:rPr>
          <w:rFonts w:ascii="Arial" w:hAnsi="Arial" w:cs="Arial"/>
          <w:lang w:val="es-ES"/>
        </w:rPr>
        <w:t>GTEx, https://gtexportal.org/home/</w:t>
      </w:r>
    </w:p>
    <w:p w14:paraId="17440B59" w14:textId="77777777" w:rsidR="007D7412" w:rsidRPr="001D3F55" w:rsidRDefault="007D7412" w:rsidP="007D7412">
      <w:pPr>
        <w:pStyle w:val="a3"/>
        <w:spacing w:line="480" w:lineRule="auto"/>
        <w:jc w:val="both"/>
        <w:rPr>
          <w:rFonts w:ascii="Arial" w:hAnsi="Arial" w:cs="Arial"/>
          <w:lang w:val="es-ES"/>
        </w:rPr>
      </w:pPr>
      <w:r w:rsidRPr="001D3F55">
        <w:rPr>
          <w:rFonts w:ascii="Arial" w:hAnsi="Arial" w:cs="Arial"/>
          <w:lang w:val="es-ES"/>
        </w:rPr>
        <w:t>TCGA Portal, https://cancergenome.nih.gov</w:t>
      </w:r>
    </w:p>
    <w:p w14:paraId="2874189F" w14:textId="4E19F40B" w:rsidR="007D7412" w:rsidRPr="001D3F55" w:rsidRDefault="007D7412" w:rsidP="007D7412">
      <w:pPr>
        <w:pStyle w:val="a3"/>
        <w:spacing w:line="480" w:lineRule="auto"/>
        <w:jc w:val="both"/>
        <w:rPr>
          <w:rFonts w:ascii="Arial" w:hAnsi="Arial" w:cs="Arial"/>
          <w:lang w:val="es-ES"/>
        </w:rPr>
      </w:pPr>
      <w:r w:rsidRPr="001D3F55">
        <w:rPr>
          <w:rFonts w:ascii="Arial" w:hAnsi="Arial" w:cs="Arial"/>
          <w:lang w:val="es-ES"/>
        </w:rPr>
        <w:t>TCGA Data Portal, https://portal.gdc.cancer.gov</w:t>
      </w:r>
    </w:p>
    <w:p w14:paraId="64254FAC" w14:textId="2BFB1E67" w:rsidR="007D7412" w:rsidRDefault="007D7412" w:rsidP="005E31C0">
      <w:pPr>
        <w:pStyle w:val="a3"/>
        <w:spacing w:line="480" w:lineRule="auto"/>
        <w:jc w:val="both"/>
        <w:rPr>
          <w:rFonts w:ascii="Arial" w:hAnsi="Arial" w:cs="Arial"/>
          <w:b/>
          <w:bCs/>
        </w:rPr>
      </w:pPr>
      <w:proofErr w:type="spellStart"/>
      <w:r w:rsidRPr="001D3F55">
        <w:rPr>
          <w:rFonts w:ascii="Arial" w:hAnsi="Arial" w:cs="Arial"/>
        </w:rPr>
        <w:t>WebGestalt</w:t>
      </w:r>
      <w:proofErr w:type="spellEnd"/>
      <w:r w:rsidRPr="001D3F55">
        <w:rPr>
          <w:rFonts w:ascii="Arial" w:hAnsi="Arial" w:cs="Arial"/>
        </w:rPr>
        <w:t>, http://www.webgestalt.org/</w:t>
      </w:r>
      <w:r>
        <w:rPr>
          <w:rFonts w:ascii="Arial" w:hAnsi="Arial" w:cs="Arial"/>
          <w:b/>
          <w:bCs/>
        </w:rPr>
        <w:br w:type="page"/>
      </w:r>
    </w:p>
    <w:p w14:paraId="2A009763" w14:textId="1E130312" w:rsidR="007D7412" w:rsidRDefault="007D7412" w:rsidP="00827622">
      <w:pPr>
        <w:pStyle w:val="a3"/>
        <w:spacing w:line="480" w:lineRule="auto"/>
        <w:jc w:val="both"/>
        <w:rPr>
          <w:rFonts w:ascii="Arial" w:hAnsi="Arial" w:cs="Arial"/>
          <w:b/>
          <w:bCs/>
        </w:rPr>
      </w:pPr>
      <w:r>
        <w:rPr>
          <w:rFonts w:ascii="Arial" w:hAnsi="Arial" w:cs="Arial"/>
          <w:b/>
          <w:bCs/>
        </w:rPr>
        <w:lastRenderedPageBreak/>
        <w:t>2. Molecular biological approaches</w:t>
      </w:r>
    </w:p>
    <w:p w14:paraId="027BA07C" w14:textId="77777777" w:rsidR="007D7412" w:rsidRDefault="007D7412" w:rsidP="00827622">
      <w:pPr>
        <w:pStyle w:val="a3"/>
        <w:spacing w:line="480" w:lineRule="auto"/>
        <w:jc w:val="both"/>
        <w:rPr>
          <w:rFonts w:ascii="Arial" w:hAnsi="Arial" w:cs="Arial"/>
          <w:b/>
          <w:bCs/>
        </w:rPr>
      </w:pPr>
    </w:p>
    <w:p w14:paraId="72813FA9" w14:textId="7DECDA32" w:rsidR="00827622" w:rsidRPr="00267D32" w:rsidRDefault="00827622" w:rsidP="00827622">
      <w:pPr>
        <w:pStyle w:val="a3"/>
        <w:spacing w:line="480" w:lineRule="auto"/>
        <w:jc w:val="both"/>
        <w:rPr>
          <w:rFonts w:ascii="Arial" w:hAnsi="Arial" w:cs="Arial"/>
          <w:b/>
          <w:bCs/>
        </w:rPr>
      </w:pPr>
      <w:r w:rsidRPr="00267D32">
        <w:rPr>
          <w:rFonts w:ascii="Arial" w:hAnsi="Arial" w:cs="Arial"/>
          <w:b/>
          <w:bCs/>
        </w:rPr>
        <w:t xml:space="preserve">Cell culture and transfection </w:t>
      </w:r>
    </w:p>
    <w:p w14:paraId="7C890964" w14:textId="659969E4" w:rsidR="00E84E1A" w:rsidRDefault="00472F34" w:rsidP="00E84E1A">
      <w:pPr>
        <w:pStyle w:val="a3"/>
        <w:spacing w:line="480" w:lineRule="auto"/>
        <w:jc w:val="both"/>
        <w:rPr>
          <w:rFonts w:ascii="Arial" w:hAnsi="Arial" w:cs="Arial"/>
        </w:rPr>
      </w:pPr>
      <w:r>
        <w:rPr>
          <w:rFonts w:ascii="Arial" w:hAnsi="Arial" w:cs="Arial"/>
        </w:rPr>
        <w:t>CRC</w:t>
      </w:r>
      <w:r w:rsidR="00827622" w:rsidRPr="00267D32">
        <w:rPr>
          <w:rFonts w:ascii="Arial" w:hAnsi="Arial" w:cs="Arial"/>
        </w:rPr>
        <w:t xml:space="preserve"> cells (DLD1</w:t>
      </w:r>
      <w:r w:rsidR="00827622">
        <w:rPr>
          <w:rFonts w:ascii="Arial" w:hAnsi="Arial" w:cs="Arial"/>
        </w:rPr>
        <w:t xml:space="preserve">, HCT116, </w:t>
      </w:r>
      <w:r w:rsidR="00827622" w:rsidRPr="00267D32">
        <w:rPr>
          <w:rFonts w:ascii="Arial" w:hAnsi="Arial" w:cs="Arial"/>
        </w:rPr>
        <w:t>RKO</w:t>
      </w:r>
      <w:r w:rsidR="00827622">
        <w:rPr>
          <w:rFonts w:ascii="Arial" w:hAnsi="Arial" w:cs="Arial"/>
        </w:rPr>
        <w:t>, and HT29</w:t>
      </w:r>
      <w:r w:rsidR="00827622" w:rsidRPr="00267D32">
        <w:rPr>
          <w:rFonts w:ascii="Arial" w:hAnsi="Arial" w:cs="Arial"/>
        </w:rPr>
        <w:t>) were</w:t>
      </w:r>
      <w:r w:rsidR="00D14777">
        <w:rPr>
          <w:rFonts w:ascii="Arial" w:hAnsi="Arial" w:cs="Arial"/>
        </w:rPr>
        <w:t xml:space="preserve"> obtained from the </w:t>
      </w:r>
      <w:r w:rsidR="00D14777" w:rsidRPr="00D14777">
        <w:rPr>
          <w:rFonts w:ascii="Arial" w:hAnsi="Arial" w:cs="Arial"/>
        </w:rPr>
        <w:t>Korean Cell Line Bank</w:t>
      </w:r>
      <w:r w:rsidR="00D14777">
        <w:rPr>
          <w:rFonts w:ascii="Arial" w:hAnsi="Arial" w:cs="Arial"/>
        </w:rPr>
        <w:t xml:space="preserve"> and  </w:t>
      </w:r>
      <w:r w:rsidR="00827622" w:rsidRPr="00267D32">
        <w:rPr>
          <w:rFonts w:ascii="Arial" w:hAnsi="Arial" w:cs="Arial"/>
        </w:rPr>
        <w:t xml:space="preserve"> cultured with Dulbecco’s modified Eagle’s medium (Gibco, </w:t>
      </w:r>
      <w:r w:rsidR="00BA1543" w:rsidRPr="00BA1543">
        <w:rPr>
          <w:rFonts w:ascii="Arial" w:hAnsi="Arial" w:cs="Arial"/>
        </w:rPr>
        <w:t>Waltham, MA, USA</w:t>
      </w:r>
      <w:r w:rsidR="00827622" w:rsidRPr="00267D32">
        <w:rPr>
          <w:rFonts w:ascii="Arial" w:hAnsi="Arial" w:cs="Arial"/>
        </w:rPr>
        <w:t>)</w:t>
      </w:r>
      <w:r w:rsidR="002F40A2">
        <w:rPr>
          <w:rFonts w:ascii="Arial" w:hAnsi="Arial" w:cs="Arial"/>
        </w:rPr>
        <w:t xml:space="preserve"> containing 10% fetal bovine serum. </w:t>
      </w:r>
      <w:r w:rsidR="00827622" w:rsidRPr="00267D32">
        <w:rPr>
          <w:rFonts w:ascii="Arial" w:hAnsi="Arial" w:cs="Arial"/>
        </w:rPr>
        <w:t xml:space="preserve">All cell lines were free of mycoplasma contamination and verified by </w:t>
      </w:r>
      <w:r w:rsidR="00052EA6">
        <w:rPr>
          <w:rFonts w:ascii="Arial" w:hAnsi="Arial" w:cs="Arial"/>
        </w:rPr>
        <w:t>s</w:t>
      </w:r>
      <w:r w:rsidR="00052EA6" w:rsidRPr="00052EA6">
        <w:rPr>
          <w:rFonts w:ascii="Arial" w:hAnsi="Arial" w:cs="Arial"/>
        </w:rPr>
        <w:t xml:space="preserve">hort tandem repeat </w:t>
      </w:r>
      <w:r w:rsidR="00827622" w:rsidRPr="00267D32">
        <w:rPr>
          <w:rFonts w:ascii="Arial" w:hAnsi="Arial" w:cs="Arial"/>
        </w:rPr>
        <w:t>analysis</w:t>
      </w:r>
      <w:r w:rsidR="00827622">
        <w:rPr>
          <w:rFonts w:ascii="Arial" w:hAnsi="Arial" w:cs="Arial"/>
        </w:rPr>
        <w:t xml:space="preserve">. Lipofectamine </w:t>
      </w:r>
      <w:r w:rsidR="00827622" w:rsidRPr="00267D32">
        <w:rPr>
          <w:rFonts w:ascii="Arial" w:hAnsi="Arial" w:cs="Arial"/>
        </w:rPr>
        <w:t xml:space="preserve">2000 (Invitrogen, </w:t>
      </w:r>
      <w:r w:rsidR="00BA1543" w:rsidRPr="00BA1543">
        <w:rPr>
          <w:rFonts w:ascii="Arial" w:hAnsi="Arial" w:cs="Arial"/>
        </w:rPr>
        <w:t>Carlsbad, CA, USA</w:t>
      </w:r>
      <w:r w:rsidR="00BA1543">
        <w:rPr>
          <w:rFonts w:ascii="Arial" w:hAnsi="Arial" w:cs="Arial"/>
        </w:rPr>
        <w:t>)</w:t>
      </w:r>
      <w:r w:rsidR="000274A2">
        <w:rPr>
          <w:rFonts w:ascii="Arial" w:hAnsi="Arial" w:cs="Arial"/>
        </w:rPr>
        <w:t xml:space="preserve"> was used to introduce siRNA, miRNA, or plasmids into CRC cells </w:t>
      </w:r>
      <w:r w:rsidR="000274A2" w:rsidRPr="00267D32">
        <w:rPr>
          <w:rFonts w:ascii="Arial" w:hAnsi="Arial" w:cs="Arial"/>
        </w:rPr>
        <w:t>according to the manufacturer’s protocol.</w:t>
      </w:r>
      <w:r w:rsidR="00E84E1A">
        <w:rPr>
          <w:rFonts w:ascii="Arial" w:hAnsi="Arial" w:cs="Arial"/>
        </w:rPr>
        <w:t xml:space="preserve"> Sequences of siRNA used in this report were in Supplementary Table 3.</w:t>
      </w:r>
      <w:r w:rsidR="00D14777">
        <w:rPr>
          <w:rFonts w:ascii="Arial" w:hAnsi="Arial" w:cs="Arial"/>
        </w:rPr>
        <w:t xml:space="preserve"> </w:t>
      </w:r>
    </w:p>
    <w:p w14:paraId="0898FF7F" w14:textId="77777777" w:rsidR="00472F34" w:rsidRDefault="00472F34" w:rsidP="00472F34">
      <w:pPr>
        <w:pStyle w:val="a3"/>
        <w:spacing w:line="480" w:lineRule="auto"/>
        <w:jc w:val="both"/>
        <w:rPr>
          <w:rFonts w:ascii="Arial" w:hAnsi="Arial" w:cs="Arial"/>
        </w:rPr>
      </w:pPr>
    </w:p>
    <w:p w14:paraId="3AD24C86" w14:textId="77777777" w:rsidR="00472F34" w:rsidRPr="00472F34" w:rsidRDefault="00472F34" w:rsidP="00472F34">
      <w:pPr>
        <w:pStyle w:val="a3"/>
        <w:spacing w:line="480" w:lineRule="auto"/>
        <w:jc w:val="both"/>
        <w:rPr>
          <w:rFonts w:ascii="Arial" w:hAnsi="Arial" w:cs="Arial"/>
          <w:b/>
          <w:bCs/>
        </w:rPr>
      </w:pPr>
      <w:r w:rsidRPr="00472F34">
        <w:rPr>
          <w:rFonts w:ascii="Arial" w:hAnsi="Arial" w:cs="Arial"/>
          <w:b/>
          <w:bCs/>
        </w:rPr>
        <w:t>Western blot analysis</w:t>
      </w:r>
    </w:p>
    <w:p w14:paraId="30CE94DC" w14:textId="0FAD6B5A" w:rsidR="00472F34" w:rsidRPr="00472F34" w:rsidRDefault="00472F34" w:rsidP="00C703A9">
      <w:pPr>
        <w:pStyle w:val="a3"/>
        <w:spacing w:line="480" w:lineRule="auto"/>
        <w:jc w:val="both"/>
        <w:rPr>
          <w:rFonts w:ascii="Arial" w:hAnsi="Arial" w:cs="Arial"/>
        </w:rPr>
      </w:pPr>
      <w:r>
        <w:rPr>
          <w:rFonts w:ascii="Arial" w:hAnsi="Arial" w:cs="Arial"/>
        </w:rPr>
        <w:t xml:space="preserve">Whole cell lysates </w:t>
      </w:r>
      <w:r w:rsidR="0029770B">
        <w:rPr>
          <w:rFonts w:ascii="Arial" w:hAnsi="Arial" w:cs="Arial"/>
        </w:rPr>
        <w:t xml:space="preserve">(WCL) </w:t>
      </w:r>
      <w:r>
        <w:rPr>
          <w:rFonts w:ascii="Arial" w:hAnsi="Arial" w:cs="Arial"/>
        </w:rPr>
        <w:t xml:space="preserve">were prepared using </w:t>
      </w:r>
      <w:r w:rsidRPr="00472F34">
        <w:rPr>
          <w:rFonts w:ascii="Arial" w:hAnsi="Arial" w:cs="Arial"/>
        </w:rPr>
        <w:t xml:space="preserve">radioimmunoprecipitation (RIPA) buffer containing protease and phosphatase inhibitors (Roche, Basel, Switzerland). </w:t>
      </w:r>
      <w:r w:rsidR="0029770B">
        <w:rPr>
          <w:rFonts w:ascii="Arial" w:hAnsi="Arial" w:cs="Arial"/>
        </w:rPr>
        <w:t xml:space="preserve">The equal amounts of WCL were </w:t>
      </w:r>
      <w:r w:rsidR="0029770B" w:rsidRPr="0029770B">
        <w:rPr>
          <w:rFonts w:ascii="Arial" w:hAnsi="Arial" w:cs="Arial"/>
        </w:rPr>
        <w:t xml:space="preserve">fractionated </w:t>
      </w:r>
      <w:r w:rsidR="0029770B">
        <w:rPr>
          <w:rFonts w:ascii="Arial" w:hAnsi="Arial" w:cs="Arial"/>
        </w:rPr>
        <w:t>by</w:t>
      </w:r>
      <w:r w:rsidR="0029770B" w:rsidRPr="0029770B">
        <w:rPr>
          <w:rFonts w:ascii="Arial" w:hAnsi="Arial" w:cs="Arial"/>
        </w:rPr>
        <w:t xml:space="preserve"> </w:t>
      </w:r>
      <w:r w:rsidR="0029770B">
        <w:rPr>
          <w:rFonts w:ascii="Arial" w:hAnsi="Arial" w:cs="Arial"/>
        </w:rPr>
        <w:t>s</w:t>
      </w:r>
      <w:r w:rsidR="0029770B" w:rsidRPr="00472F34">
        <w:rPr>
          <w:rFonts w:ascii="Arial" w:hAnsi="Arial" w:cs="Arial"/>
        </w:rPr>
        <w:t xml:space="preserve">odium dodecyl sulfate-polyacrylamide gel electrophoresis </w:t>
      </w:r>
      <w:r w:rsidR="008D7F90">
        <w:rPr>
          <w:rFonts w:ascii="Arial" w:hAnsi="Arial" w:cs="Arial"/>
        </w:rPr>
        <w:t xml:space="preserve">(SDS-PAGE) </w:t>
      </w:r>
      <w:r w:rsidR="0029770B" w:rsidRPr="0029770B">
        <w:rPr>
          <w:rFonts w:ascii="Arial" w:hAnsi="Arial" w:cs="Arial"/>
        </w:rPr>
        <w:t xml:space="preserve">and transferred to </w:t>
      </w:r>
      <w:r w:rsidR="0029770B" w:rsidRPr="00472F34">
        <w:rPr>
          <w:rFonts w:ascii="Arial" w:hAnsi="Arial" w:cs="Arial"/>
        </w:rPr>
        <w:t>polyvinylidene difluoride membranes (Millipore, Billerica, MA</w:t>
      </w:r>
      <w:r w:rsidR="0029770B">
        <w:rPr>
          <w:rFonts w:ascii="Arial" w:hAnsi="Arial" w:cs="Arial"/>
        </w:rPr>
        <w:t>, USA</w:t>
      </w:r>
      <w:r w:rsidR="0029770B" w:rsidRPr="00472F34">
        <w:rPr>
          <w:rFonts w:ascii="Arial" w:hAnsi="Arial" w:cs="Arial"/>
        </w:rPr>
        <w:t>)</w:t>
      </w:r>
      <w:r w:rsidR="0029770B">
        <w:rPr>
          <w:rFonts w:ascii="Arial" w:hAnsi="Arial" w:cs="Arial"/>
        </w:rPr>
        <w:t>. The m</w:t>
      </w:r>
      <w:r w:rsidR="0029770B" w:rsidRPr="0029770B">
        <w:rPr>
          <w:rFonts w:ascii="Arial" w:hAnsi="Arial" w:cs="Arial"/>
        </w:rPr>
        <w:t xml:space="preserve">embranes were </w:t>
      </w:r>
      <w:r w:rsidR="0029770B">
        <w:rPr>
          <w:rFonts w:ascii="Arial" w:hAnsi="Arial" w:cs="Arial"/>
        </w:rPr>
        <w:t xml:space="preserve">blocked, </w:t>
      </w:r>
      <w:r w:rsidR="0029770B" w:rsidRPr="0029770B">
        <w:rPr>
          <w:rFonts w:ascii="Arial" w:hAnsi="Arial" w:cs="Arial"/>
        </w:rPr>
        <w:t xml:space="preserve">incubated with </w:t>
      </w:r>
      <w:r w:rsidR="0029770B">
        <w:rPr>
          <w:rFonts w:ascii="Arial" w:hAnsi="Arial" w:cs="Arial"/>
        </w:rPr>
        <w:t xml:space="preserve">indicated </w:t>
      </w:r>
      <w:r w:rsidR="0029770B" w:rsidRPr="0029770B">
        <w:rPr>
          <w:rFonts w:ascii="Arial" w:hAnsi="Arial" w:cs="Arial"/>
        </w:rPr>
        <w:t xml:space="preserve">primary antibodies </w:t>
      </w:r>
      <w:bookmarkStart w:id="1" w:name="_Hlk160213130"/>
      <w:r w:rsidR="00E84E1A">
        <w:rPr>
          <w:rFonts w:ascii="Arial" w:hAnsi="Arial" w:cs="Arial"/>
        </w:rPr>
        <w:t xml:space="preserve">(Supplementary Table 4) </w:t>
      </w:r>
      <w:bookmarkEnd w:id="1"/>
      <w:r w:rsidR="0029770B" w:rsidRPr="0029770B">
        <w:rPr>
          <w:rFonts w:ascii="Arial" w:hAnsi="Arial" w:cs="Arial"/>
        </w:rPr>
        <w:t>overnight, washed</w:t>
      </w:r>
      <w:r w:rsidR="0029770B">
        <w:rPr>
          <w:rFonts w:ascii="Arial" w:hAnsi="Arial" w:cs="Arial"/>
        </w:rPr>
        <w:t xml:space="preserve">, and </w:t>
      </w:r>
      <w:r w:rsidR="0029770B" w:rsidRPr="0029770B">
        <w:rPr>
          <w:rFonts w:ascii="Arial" w:hAnsi="Arial" w:cs="Arial"/>
        </w:rPr>
        <w:t>incubated with appropriate secondary antibodies</w:t>
      </w:r>
      <w:r w:rsidR="0029770B">
        <w:rPr>
          <w:rFonts w:ascii="Arial" w:hAnsi="Arial" w:cs="Arial"/>
        </w:rPr>
        <w:t>. The bands were v</w:t>
      </w:r>
      <w:r w:rsidR="0029770B" w:rsidRPr="0029770B">
        <w:rPr>
          <w:rFonts w:ascii="Arial" w:hAnsi="Arial" w:cs="Arial"/>
        </w:rPr>
        <w:t xml:space="preserve">isualized using an enhanced chemiluminescence </w:t>
      </w:r>
      <w:r w:rsidR="0029770B">
        <w:rPr>
          <w:rFonts w:ascii="Arial" w:hAnsi="Arial" w:cs="Arial"/>
        </w:rPr>
        <w:t xml:space="preserve">reagent. </w:t>
      </w:r>
      <w:r w:rsidR="009C147C" w:rsidRPr="009C147C">
        <w:rPr>
          <w:rFonts w:ascii="Arial" w:hAnsi="Arial" w:cs="Arial"/>
        </w:rPr>
        <w:t>The intensity of the band</w:t>
      </w:r>
      <w:r w:rsidR="009C147C">
        <w:rPr>
          <w:rFonts w:ascii="Arial" w:hAnsi="Arial" w:cs="Arial"/>
        </w:rPr>
        <w:t>s</w:t>
      </w:r>
      <w:r w:rsidR="009C147C" w:rsidRPr="009C147C">
        <w:rPr>
          <w:rFonts w:ascii="Arial" w:hAnsi="Arial" w:cs="Arial"/>
        </w:rPr>
        <w:t xml:space="preserve"> was measured using the </w:t>
      </w:r>
      <w:r w:rsidR="009C147C">
        <w:rPr>
          <w:rFonts w:ascii="Arial" w:hAnsi="Arial" w:cs="Arial"/>
        </w:rPr>
        <w:t>I</w:t>
      </w:r>
      <w:r w:rsidR="009C147C" w:rsidRPr="009C147C">
        <w:rPr>
          <w:rFonts w:ascii="Arial" w:hAnsi="Arial" w:cs="Arial"/>
        </w:rPr>
        <w:t>mageJ program, and GAPDH was used as a loading control.</w:t>
      </w:r>
    </w:p>
    <w:p w14:paraId="00319025" w14:textId="77777777" w:rsidR="00472F34" w:rsidRPr="00472F34" w:rsidRDefault="00472F34" w:rsidP="00472F34">
      <w:pPr>
        <w:pStyle w:val="a3"/>
        <w:spacing w:line="480" w:lineRule="auto"/>
        <w:jc w:val="both"/>
        <w:rPr>
          <w:rFonts w:ascii="Arial" w:hAnsi="Arial" w:cs="Arial"/>
        </w:rPr>
      </w:pPr>
    </w:p>
    <w:p w14:paraId="08739537" w14:textId="77777777" w:rsidR="00472F34" w:rsidRPr="0029770B" w:rsidRDefault="00472F34" w:rsidP="00472F34">
      <w:pPr>
        <w:pStyle w:val="a3"/>
        <w:spacing w:line="480" w:lineRule="auto"/>
        <w:jc w:val="both"/>
        <w:rPr>
          <w:rFonts w:ascii="Arial" w:hAnsi="Arial" w:cs="Arial"/>
          <w:b/>
          <w:bCs/>
          <w:lang w:val="fr-FR"/>
        </w:rPr>
      </w:pPr>
      <w:r w:rsidRPr="0029770B">
        <w:rPr>
          <w:rFonts w:ascii="Arial" w:hAnsi="Arial" w:cs="Arial"/>
          <w:b/>
          <w:bCs/>
          <w:lang w:val="fr-FR"/>
        </w:rPr>
        <w:t>Reverse transcription-quantitative polymerase chain reaction (RT-qPCR) analysis</w:t>
      </w:r>
    </w:p>
    <w:p w14:paraId="5530142E" w14:textId="1612B513" w:rsidR="00472F34" w:rsidRDefault="00E13DF2" w:rsidP="00C703A9">
      <w:pPr>
        <w:pStyle w:val="a3"/>
        <w:spacing w:line="480" w:lineRule="auto"/>
        <w:jc w:val="both"/>
        <w:rPr>
          <w:rFonts w:ascii="Arial" w:hAnsi="Arial" w:cs="Arial"/>
        </w:rPr>
      </w:pPr>
      <w:r>
        <w:rPr>
          <w:rFonts w:ascii="Arial" w:hAnsi="Arial" w:cs="Arial"/>
        </w:rPr>
        <w:t xml:space="preserve">Using </w:t>
      </w:r>
      <w:r w:rsidRPr="00E13DF2">
        <w:rPr>
          <w:rFonts w:ascii="Arial" w:hAnsi="Arial" w:cs="Arial"/>
        </w:rPr>
        <w:t xml:space="preserve">RNA as a template, cDNA was synthesized </w:t>
      </w:r>
      <w:r w:rsidR="00EA5AB3" w:rsidRPr="00472F34">
        <w:rPr>
          <w:rFonts w:ascii="Arial" w:hAnsi="Arial" w:cs="Arial"/>
        </w:rPr>
        <w:t xml:space="preserve">using the SuperScript III First-Strand Synthesis System (Invitrogen). </w:t>
      </w:r>
      <w:r w:rsidR="00472F34" w:rsidRPr="00472F34">
        <w:rPr>
          <w:rFonts w:ascii="Arial" w:hAnsi="Arial" w:cs="Arial"/>
        </w:rPr>
        <w:t xml:space="preserve">The </w:t>
      </w:r>
      <w:r w:rsidR="00EA5AB3">
        <w:rPr>
          <w:rFonts w:ascii="Arial" w:hAnsi="Arial" w:cs="Arial"/>
        </w:rPr>
        <w:t xml:space="preserve">mRNA levels were assessed by </w:t>
      </w:r>
      <w:r w:rsidR="00472F34" w:rsidRPr="00472F34">
        <w:rPr>
          <w:rFonts w:ascii="Arial" w:hAnsi="Arial" w:cs="Arial"/>
        </w:rPr>
        <w:t xml:space="preserve">RT-qPCR with appropriate primers </w:t>
      </w:r>
      <w:bookmarkStart w:id="2" w:name="_Hlk160213019"/>
      <w:r w:rsidR="00E84E1A">
        <w:rPr>
          <w:rFonts w:ascii="Arial" w:hAnsi="Arial" w:cs="Arial"/>
        </w:rPr>
        <w:t xml:space="preserve">(Supplementary Table 5) </w:t>
      </w:r>
      <w:bookmarkEnd w:id="2"/>
      <w:r w:rsidR="00472F34" w:rsidRPr="00472F34">
        <w:rPr>
          <w:rFonts w:ascii="Arial" w:hAnsi="Arial" w:cs="Arial"/>
        </w:rPr>
        <w:t>using the Power SYBR Green PCR Master Mix (Applied Biosystems, Foster City, CA</w:t>
      </w:r>
      <w:r w:rsidR="00EA5AB3">
        <w:rPr>
          <w:rFonts w:ascii="Arial" w:hAnsi="Arial" w:cs="Arial"/>
        </w:rPr>
        <w:t>, USA</w:t>
      </w:r>
      <w:r w:rsidR="00472F34" w:rsidRPr="00472F34">
        <w:rPr>
          <w:rFonts w:ascii="Arial" w:hAnsi="Arial" w:cs="Arial"/>
        </w:rPr>
        <w:t>).</w:t>
      </w:r>
      <w:r w:rsidR="00EA5AB3">
        <w:rPr>
          <w:rFonts w:ascii="Arial" w:hAnsi="Arial" w:cs="Arial"/>
        </w:rPr>
        <w:t xml:space="preserve"> </w:t>
      </w:r>
      <w:r w:rsidR="008678BC" w:rsidRPr="008678BC">
        <w:rPr>
          <w:rFonts w:ascii="Arial" w:hAnsi="Arial" w:cs="Arial"/>
        </w:rPr>
        <w:t>The level of miR</w:t>
      </w:r>
      <w:r w:rsidR="00D33112">
        <w:rPr>
          <w:rFonts w:ascii="Arial" w:hAnsi="Arial" w:cs="Arial"/>
        </w:rPr>
        <w:t>-12</w:t>
      </w:r>
      <w:r w:rsidR="00BE57FF">
        <w:rPr>
          <w:rFonts w:ascii="Arial" w:hAnsi="Arial" w:cs="Arial"/>
        </w:rPr>
        <w:t>73g-3p</w:t>
      </w:r>
      <w:r w:rsidR="008678BC" w:rsidRPr="008678BC">
        <w:rPr>
          <w:rFonts w:ascii="Arial" w:hAnsi="Arial" w:cs="Arial"/>
        </w:rPr>
        <w:t xml:space="preserve"> was assessed using </w:t>
      </w:r>
      <w:r w:rsidR="00D33112">
        <w:rPr>
          <w:rFonts w:ascii="Arial" w:hAnsi="Arial" w:cs="Arial"/>
        </w:rPr>
        <w:t xml:space="preserve">a </w:t>
      </w:r>
      <w:r w:rsidR="008678BC" w:rsidRPr="008678BC">
        <w:rPr>
          <w:rFonts w:ascii="Arial" w:hAnsi="Arial" w:cs="Arial"/>
        </w:rPr>
        <w:t>specific TaqMan primer (Applied Biosystems).</w:t>
      </w:r>
    </w:p>
    <w:p w14:paraId="30830F94" w14:textId="77777777" w:rsidR="00472F34" w:rsidRPr="00472F34" w:rsidRDefault="00472F34" w:rsidP="00472F34">
      <w:pPr>
        <w:pStyle w:val="a3"/>
        <w:spacing w:line="480" w:lineRule="auto"/>
        <w:jc w:val="both"/>
        <w:rPr>
          <w:rFonts w:ascii="Arial" w:hAnsi="Arial" w:cs="Arial"/>
        </w:rPr>
      </w:pPr>
    </w:p>
    <w:p w14:paraId="2EF97A62" w14:textId="77777777" w:rsidR="00472F34" w:rsidRDefault="00472F34" w:rsidP="00472F34">
      <w:pPr>
        <w:pStyle w:val="a3"/>
        <w:spacing w:line="480" w:lineRule="auto"/>
        <w:jc w:val="both"/>
        <w:rPr>
          <w:rFonts w:ascii="Arial" w:hAnsi="Arial" w:cs="Arial"/>
          <w:b/>
          <w:bCs/>
        </w:rPr>
      </w:pPr>
      <w:r w:rsidRPr="0029770B">
        <w:rPr>
          <w:rFonts w:ascii="Arial" w:hAnsi="Arial" w:cs="Arial"/>
          <w:b/>
          <w:bCs/>
        </w:rPr>
        <w:t>Determination of malignant phenotypes</w:t>
      </w:r>
    </w:p>
    <w:p w14:paraId="7AEFE7FE" w14:textId="59A659C3" w:rsidR="00D33112" w:rsidRDefault="00D33112" w:rsidP="00C703A9">
      <w:pPr>
        <w:pStyle w:val="a3"/>
        <w:spacing w:line="480" w:lineRule="auto"/>
        <w:jc w:val="both"/>
        <w:rPr>
          <w:rFonts w:ascii="Arial" w:hAnsi="Arial" w:cs="Arial"/>
        </w:rPr>
      </w:pPr>
      <w:r>
        <w:rPr>
          <w:rFonts w:ascii="Arial" w:hAnsi="Arial" w:cs="Arial"/>
        </w:rPr>
        <w:t xml:space="preserve">Metastatic potential including invasive and migratory abilities was determined </w:t>
      </w:r>
      <w:r w:rsidR="00FA5B41" w:rsidRPr="00472F34">
        <w:rPr>
          <w:rFonts w:ascii="Arial" w:hAnsi="Arial" w:cs="Arial"/>
        </w:rPr>
        <w:t>using the BD Biocoat™ Matrigel invasion chamber (BD Bioscience, San Jose, CA</w:t>
      </w:r>
      <w:r w:rsidR="00FA5B41">
        <w:rPr>
          <w:rFonts w:ascii="Arial" w:hAnsi="Arial" w:cs="Arial"/>
        </w:rPr>
        <w:t>, USA</w:t>
      </w:r>
      <w:r w:rsidR="00FA5B41" w:rsidRPr="00472F34">
        <w:rPr>
          <w:rFonts w:ascii="Arial" w:hAnsi="Arial" w:cs="Arial"/>
        </w:rPr>
        <w:t>)</w:t>
      </w:r>
      <w:r w:rsidR="00FA5B41">
        <w:rPr>
          <w:rFonts w:ascii="Arial" w:hAnsi="Arial" w:cs="Arial"/>
        </w:rPr>
        <w:t xml:space="preserve"> and </w:t>
      </w:r>
      <w:r w:rsidR="003A4FBD" w:rsidRPr="003A4FBD">
        <w:rPr>
          <w:rFonts w:ascii="Arial" w:hAnsi="Arial" w:cs="Arial"/>
        </w:rPr>
        <w:t>Transwell</w:t>
      </w:r>
      <w:r w:rsidR="003A4FBD">
        <w:rPr>
          <w:rFonts w:ascii="Arial" w:hAnsi="Arial" w:cs="Arial"/>
        </w:rPr>
        <w:t>®</w:t>
      </w:r>
      <w:r w:rsidR="003A4FBD" w:rsidRPr="003A4FBD">
        <w:rPr>
          <w:rFonts w:ascii="Arial" w:hAnsi="Arial" w:cs="Arial"/>
        </w:rPr>
        <w:t xml:space="preserve"> permeable supports</w:t>
      </w:r>
      <w:r w:rsidR="003A4FBD">
        <w:rPr>
          <w:rFonts w:ascii="Arial" w:hAnsi="Arial" w:cs="Arial"/>
        </w:rPr>
        <w:t xml:space="preserve"> (Corning,</w:t>
      </w:r>
      <w:r w:rsidR="00543EFD">
        <w:rPr>
          <w:rFonts w:ascii="Arial" w:hAnsi="Arial" w:cs="Arial"/>
        </w:rPr>
        <w:t xml:space="preserve"> </w:t>
      </w:r>
      <w:r w:rsidR="00543EFD" w:rsidRPr="00543EFD">
        <w:rPr>
          <w:rFonts w:ascii="Arial" w:hAnsi="Arial" w:cs="Arial"/>
        </w:rPr>
        <w:t>Rockville, MD</w:t>
      </w:r>
      <w:r w:rsidR="00543EFD">
        <w:rPr>
          <w:rFonts w:ascii="Arial" w:hAnsi="Arial" w:cs="Arial"/>
        </w:rPr>
        <w:t>, USA)</w:t>
      </w:r>
      <w:r w:rsidR="003A4FBD">
        <w:rPr>
          <w:rFonts w:ascii="Arial" w:hAnsi="Arial" w:cs="Arial"/>
        </w:rPr>
        <w:t>, respectivel</w:t>
      </w:r>
      <w:r w:rsidR="00543EFD">
        <w:rPr>
          <w:rFonts w:ascii="Arial" w:hAnsi="Arial" w:cs="Arial"/>
        </w:rPr>
        <w:t>y</w:t>
      </w:r>
      <w:r w:rsidR="00FA5B41" w:rsidRPr="00472F34">
        <w:rPr>
          <w:rFonts w:ascii="Arial" w:hAnsi="Arial" w:cs="Arial"/>
        </w:rPr>
        <w:t xml:space="preserve">. </w:t>
      </w:r>
      <w:r w:rsidR="00FA5B41">
        <w:rPr>
          <w:rFonts w:ascii="Arial" w:hAnsi="Arial" w:cs="Arial"/>
        </w:rPr>
        <w:t xml:space="preserve">Equal number of cells in </w:t>
      </w:r>
      <w:r w:rsidR="00276345">
        <w:rPr>
          <w:rFonts w:ascii="Arial" w:hAnsi="Arial" w:cs="Arial"/>
        </w:rPr>
        <w:t>serum</w:t>
      </w:r>
      <w:r w:rsidR="00FA5B41">
        <w:rPr>
          <w:rFonts w:ascii="Arial" w:hAnsi="Arial" w:cs="Arial"/>
        </w:rPr>
        <w:t xml:space="preserve">-free media was </w:t>
      </w:r>
      <w:r w:rsidR="003A4FBD">
        <w:rPr>
          <w:rFonts w:ascii="Arial" w:hAnsi="Arial" w:cs="Arial"/>
        </w:rPr>
        <w:t>added into the upper chamber</w:t>
      </w:r>
      <w:r w:rsidR="00543EFD">
        <w:rPr>
          <w:rFonts w:ascii="Arial" w:hAnsi="Arial" w:cs="Arial"/>
        </w:rPr>
        <w:t xml:space="preserve">. Both invasion and migration were initiated by adding </w:t>
      </w:r>
      <w:r w:rsidR="00276345">
        <w:rPr>
          <w:rFonts w:ascii="Arial" w:hAnsi="Arial" w:cs="Arial"/>
        </w:rPr>
        <w:t xml:space="preserve">the same media containing </w:t>
      </w:r>
      <w:r w:rsidR="000E06A0">
        <w:rPr>
          <w:rFonts w:ascii="Arial" w:hAnsi="Arial" w:cs="Arial"/>
        </w:rPr>
        <w:t xml:space="preserve">10% </w:t>
      </w:r>
      <w:r w:rsidR="00276345">
        <w:rPr>
          <w:rFonts w:ascii="Arial" w:hAnsi="Arial" w:cs="Arial"/>
        </w:rPr>
        <w:t xml:space="preserve">serum (as a chemoattractant) into </w:t>
      </w:r>
      <w:r w:rsidR="00543EFD">
        <w:rPr>
          <w:rFonts w:ascii="Arial" w:hAnsi="Arial" w:cs="Arial"/>
        </w:rPr>
        <w:t>the</w:t>
      </w:r>
      <w:r w:rsidR="00276345">
        <w:rPr>
          <w:rFonts w:ascii="Arial" w:hAnsi="Arial" w:cs="Arial"/>
        </w:rPr>
        <w:t xml:space="preserve"> lower chamber. </w:t>
      </w:r>
      <w:r w:rsidR="00904524" w:rsidRPr="008678BC">
        <w:rPr>
          <w:rFonts w:ascii="Arial" w:hAnsi="Arial" w:cs="Arial"/>
        </w:rPr>
        <w:t xml:space="preserve">Twenty-four h after </w:t>
      </w:r>
      <w:r w:rsidR="00904524">
        <w:rPr>
          <w:rFonts w:ascii="Arial" w:hAnsi="Arial" w:cs="Arial"/>
        </w:rPr>
        <w:t xml:space="preserve">cell seeding, the invaded/migrated cells </w:t>
      </w:r>
      <w:r w:rsidR="00BC0866" w:rsidRPr="008678BC">
        <w:rPr>
          <w:rFonts w:ascii="Arial" w:hAnsi="Arial" w:cs="Arial"/>
        </w:rPr>
        <w:t xml:space="preserve">on the lower surface of the membrane </w:t>
      </w:r>
      <w:r w:rsidR="00904524">
        <w:rPr>
          <w:rFonts w:ascii="Arial" w:hAnsi="Arial" w:cs="Arial"/>
        </w:rPr>
        <w:t xml:space="preserve">were fixed </w:t>
      </w:r>
      <w:r w:rsidR="00904524" w:rsidRPr="00472F34">
        <w:rPr>
          <w:rFonts w:ascii="Arial" w:hAnsi="Arial" w:cs="Arial"/>
        </w:rPr>
        <w:t xml:space="preserve">with 95% MeOH </w:t>
      </w:r>
      <w:r w:rsidR="00904524">
        <w:rPr>
          <w:rFonts w:ascii="Arial" w:hAnsi="Arial" w:cs="Arial"/>
        </w:rPr>
        <w:t xml:space="preserve">and stained with </w:t>
      </w:r>
      <w:r w:rsidR="00904524" w:rsidRPr="00472F34">
        <w:rPr>
          <w:rFonts w:ascii="Arial" w:hAnsi="Arial" w:cs="Arial"/>
        </w:rPr>
        <w:t>0.1% hematoxylin and eosin</w:t>
      </w:r>
      <w:r w:rsidR="00904524">
        <w:rPr>
          <w:rFonts w:ascii="Arial" w:hAnsi="Arial" w:cs="Arial"/>
        </w:rPr>
        <w:t xml:space="preserve">. Invasive and migratory abilities were calculated by counting the number of cells </w:t>
      </w:r>
      <w:r w:rsidR="000E06A0">
        <w:rPr>
          <w:rFonts w:ascii="Arial" w:hAnsi="Arial" w:cs="Arial"/>
        </w:rPr>
        <w:t xml:space="preserve">in randomly selected eight fields. </w:t>
      </w:r>
    </w:p>
    <w:p w14:paraId="34533122" w14:textId="382D8298" w:rsidR="00196DB5" w:rsidRDefault="00607F95" w:rsidP="00D55B59">
      <w:pPr>
        <w:pStyle w:val="a3"/>
        <w:spacing w:line="480" w:lineRule="auto"/>
        <w:ind w:firstLine="720"/>
        <w:jc w:val="both"/>
        <w:rPr>
          <w:rFonts w:ascii="Arial" w:hAnsi="Arial" w:cs="Arial"/>
        </w:rPr>
      </w:pPr>
      <w:r>
        <w:rPr>
          <w:rFonts w:ascii="Arial" w:hAnsi="Arial" w:cs="Arial"/>
        </w:rPr>
        <w:t>Cell p</w:t>
      </w:r>
      <w:r w:rsidR="00196DB5">
        <w:rPr>
          <w:rFonts w:ascii="Arial" w:hAnsi="Arial" w:cs="Arial"/>
        </w:rPr>
        <w:t>roliferati</w:t>
      </w:r>
      <w:r>
        <w:rPr>
          <w:rFonts w:ascii="Arial" w:hAnsi="Arial" w:cs="Arial"/>
        </w:rPr>
        <w:t xml:space="preserve">on </w:t>
      </w:r>
      <w:r w:rsidR="00196DB5">
        <w:rPr>
          <w:rFonts w:ascii="Arial" w:hAnsi="Arial" w:cs="Arial"/>
        </w:rPr>
        <w:t xml:space="preserve">was assessed by colony formation assay and cell counting. </w:t>
      </w:r>
      <w:r w:rsidR="00C264CB">
        <w:rPr>
          <w:rFonts w:ascii="Arial" w:hAnsi="Arial" w:cs="Arial"/>
        </w:rPr>
        <w:t>For colony formation assay, cells w</w:t>
      </w:r>
      <w:r w:rsidR="00D65698">
        <w:rPr>
          <w:rFonts w:ascii="Arial" w:hAnsi="Arial" w:cs="Arial"/>
        </w:rPr>
        <w:t>ere</w:t>
      </w:r>
      <w:r w:rsidR="00C264CB">
        <w:rPr>
          <w:rFonts w:ascii="Arial" w:hAnsi="Arial" w:cs="Arial"/>
        </w:rPr>
        <w:t xml:space="preserve"> plated into 6-well plates and incubated for 2 weeks</w:t>
      </w:r>
      <w:r w:rsidR="00D65698">
        <w:rPr>
          <w:rFonts w:ascii="Arial" w:hAnsi="Arial" w:cs="Arial"/>
        </w:rPr>
        <w:t xml:space="preserve">. The number of colonies was counted after cells </w:t>
      </w:r>
      <w:r w:rsidR="00BC0866">
        <w:rPr>
          <w:rFonts w:ascii="Arial" w:hAnsi="Arial" w:cs="Arial"/>
        </w:rPr>
        <w:t xml:space="preserve">were fixed and stained with </w:t>
      </w:r>
      <w:r w:rsidR="00BC0866" w:rsidRPr="00472F34">
        <w:rPr>
          <w:rFonts w:ascii="Arial" w:hAnsi="Arial" w:cs="Arial"/>
        </w:rPr>
        <w:t>0.2% crystal violet</w:t>
      </w:r>
      <w:r w:rsidR="00BC0866">
        <w:rPr>
          <w:rFonts w:ascii="Arial" w:hAnsi="Arial" w:cs="Arial"/>
        </w:rPr>
        <w:t xml:space="preserve">. </w:t>
      </w:r>
      <w:r w:rsidR="00C264CB">
        <w:rPr>
          <w:rFonts w:ascii="Arial" w:hAnsi="Arial" w:cs="Arial"/>
        </w:rPr>
        <w:t xml:space="preserve">To compare proliferation rate, the equal number of cells were pated into 6-well plates and the number of viable cells was counted every 24 h under a microscope. </w:t>
      </w:r>
    </w:p>
    <w:p w14:paraId="7D4D386B" w14:textId="77777777" w:rsidR="00DF0F0F" w:rsidRDefault="00DF0F0F" w:rsidP="00D55B59">
      <w:pPr>
        <w:pStyle w:val="a3"/>
        <w:spacing w:line="480" w:lineRule="auto"/>
        <w:ind w:firstLine="720"/>
        <w:jc w:val="both"/>
        <w:rPr>
          <w:rFonts w:ascii="Arial" w:hAnsi="Arial" w:cs="Arial"/>
        </w:rPr>
      </w:pPr>
    </w:p>
    <w:p w14:paraId="7075BD80" w14:textId="77777777" w:rsidR="00DF0F0F" w:rsidRPr="00DF0F0F" w:rsidRDefault="00DF0F0F" w:rsidP="00DF0F0F">
      <w:pPr>
        <w:pStyle w:val="a3"/>
        <w:spacing w:line="480" w:lineRule="auto"/>
        <w:jc w:val="both"/>
        <w:rPr>
          <w:rFonts w:ascii="Arial" w:hAnsi="Arial" w:cs="Arial"/>
          <w:b/>
          <w:bCs/>
        </w:rPr>
      </w:pPr>
      <w:bookmarkStart w:id="3" w:name="_Hlk177224280"/>
      <w:r w:rsidRPr="00DF0F0F">
        <w:rPr>
          <w:rFonts w:ascii="Arial" w:hAnsi="Arial" w:cs="Arial"/>
          <w:b/>
          <w:bCs/>
        </w:rPr>
        <w:t>Subcutaneous injection mouse model</w:t>
      </w:r>
    </w:p>
    <w:p w14:paraId="326BF10E" w14:textId="3899F276" w:rsidR="00DF0F0F" w:rsidRDefault="00DF0F0F" w:rsidP="00C422F8">
      <w:pPr>
        <w:pStyle w:val="a3"/>
        <w:spacing w:line="480" w:lineRule="auto"/>
        <w:jc w:val="both"/>
        <w:rPr>
          <w:rFonts w:ascii="Arial" w:hAnsi="Arial" w:cs="Arial"/>
        </w:rPr>
      </w:pPr>
      <w:r w:rsidRPr="00DF0F0F">
        <w:rPr>
          <w:rFonts w:ascii="Arial" w:hAnsi="Arial" w:cs="Arial" w:hint="eastAsia"/>
        </w:rPr>
        <w:t xml:space="preserve">Long-term effect of </w:t>
      </w:r>
      <w:r w:rsidRPr="00DF0F0F">
        <w:rPr>
          <w:rFonts w:ascii="Arial" w:hAnsi="Arial" w:cs="Arial" w:hint="eastAsia"/>
          <w:i/>
          <w:iCs/>
        </w:rPr>
        <w:t>LINC02257</w:t>
      </w:r>
      <w:r w:rsidRPr="00DF0F0F">
        <w:rPr>
          <w:rFonts w:ascii="Arial" w:hAnsi="Arial" w:cs="Arial" w:hint="eastAsia"/>
        </w:rPr>
        <w:t xml:space="preserve"> in vivo was examined in the subcutaneous injection model. </w:t>
      </w:r>
      <w:r w:rsidR="00037F75">
        <w:rPr>
          <w:rFonts w:ascii="Arial" w:hAnsi="Arial" w:cs="Arial" w:hint="eastAsia"/>
        </w:rPr>
        <w:t>The e</w:t>
      </w:r>
      <w:r w:rsidRPr="00DF0F0F">
        <w:rPr>
          <w:rFonts w:ascii="Arial" w:hAnsi="Arial" w:cs="Arial" w:hint="eastAsia"/>
        </w:rPr>
        <w:t xml:space="preserve">qual number of transfected </w:t>
      </w:r>
      <w:r w:rsidRPr="00DF0F0F">
        <w:rPr>
          <w:rFonts w:ascii="Arial" w:hAnsi="Arial" w:cs="Arial"/>
        </w:rPr>
        <w:t xml:space="preserve">DLD1 cells </w:t>
      </w:r>
      <w:r w:rsidRPr="00DF0F0F">
        <w:rPr>
          <w:rFonts w:ascii="Arial" w:hAnsi="Arial" w:cs="Arial" w:hint="eastAsia"/>
        </w:rPr>
        <w:t>(</w:t>
      </w:r>
      <w:r w:rsidRPr="00DF0F0F">
        <w:rPr>
          <w:rFonts w:ascii="Arial" w:hAnsi="Arial" w:cs="Arial"/>
        </w:rPr>
        <w:t>1 × 10</w:t>
      </w:r>
      <w:r w:rsidRPr="00DF0F0F">
        <w:rPr>
          <w:rFonts w:ascii="Arial" w:hAnsi="Arial" w:cs="Arial"/>
          <w:vertAlign w:val="superscript"/>
        </w:rPr>
        <w:t>6</w:t>
      </w:r>
      <w:r w:rsidRPr="00DF0F0F">
        <w:rPr>
          <w:rFonts w:ascii="Arial" w:hAnsi="Arial" w:cs="Arial"/>
        </w:rPr>
        <w:t xml:space="preserve"> </w:t>
      </w:r>
      <w:r w:rsidRPr="00DF0F0F">
        <w:rPr>
          <w:rFonts w:ascii="Arial" w:hAnsi="Arial" w:cs="Arial" w:hint="eastAsia"/>
        </w:rPr>
        <w:t xml:space="preserve">cells) were resuspended in </w:t>
      </w:r>
      <w:r w:rsidRPr="00DF0F0F">
        <w:rPr>
          <w:rFonts w:ascii="Arial" w:hAnsi="Arial" w:cs="Arial"/>
        </w:rPr>
        <w:t>50 μl of Hanks' Balanced Salt Solution</w:t>
      </w:r>
      <w:r w:rsidR="003A6EF9">
        <w:rPr>
          <w:rFonts w:ascii="Arial" w:hAnsi="Arial" w:cs="Arial" w:hint="eastAsia"/>
        </w:rPr>
        <w:t xml:space="preserve">), </w:t>
      </w:r>
      <w:r w:rsidRPr="00DF0F0F">
        <w:rPr>
          <w:rFonts w:ascii="Arial" w:hAnsi="Arial" w:cs="Arial" w:hint="eastAsia"/>
        </w:rPr>
        <w:t xml:space="preserve">mixed with </w:t>
      </w:r>
      <w:r w:rsidRPr="00DF0F0F">
        <w:rPr>
          <w:rFonts w:ascii="Arial" w:hAnsi="Arial" w:cs="Arial"/>
        </w:rPr>
        <w:t>50 μl of Matrigel</w:t>
      </w:r>
      <w:r w:rsidR="003A6EF9">
        <w:rPr>
          <w:rFonts w:ascii="Arial" w:hAnsi="Arial" w:cs="Arial" w:hint="eastAsia"/>
        </w:rPr>
        <w:t xml:space="preserve">, </w:t>
      </w:r>
      <w:r w:rsidRPr="00DF0F0F">
        <w:rPr>
          <w:rFonts w:ascii="Arial" w:hAnsi="Arial" w:cs="Arial"/>
        </w:rPr>
        <w:t>and</w:t>
      </w:r>
      <w:r w:rsidRPr="00DF0F0F">
        <w:rPr>
          <w:rFonts w:ascii="Arial" w:hAnsi="Arial" w:cs="Arial" w:hint="eastAsia"/>
        </w:rPr>
        <w:t xml:space="preserve"> then </w:t>
      </w:r>
      <w:r w:rsidRPr="00DF0F0F">
        <w:rPr>
          <w:rFonts w:ascii="Arial" w:hAnsi="Arial" w:cs="Arial"/>
        </w:rPr>
        <w:t>injected subcutaneously into the flanks of 6- to 7-week-old female BALB/c nude mice</w:t>
      </w:r>
      <w:r w:rsidRPr="00DF0F0F">
        <w:rPr>
          <w:rFonts w:ascii="Arial" w:hAnsi="Arial" w:cs="Arial" w:hint="eastAsia"/>
        </w:rPr>
        <w:t xml:space="preserve"> (6 mice per group</w:t>
      </w:r>
      <w:r w:rsidR="00B85B68">
        <w:rPr>
          <w:rFonts w:ascii="Arial" w:hAnsi="Arial" w:cs="Arial"/>
        </w:rPr>
        <w:t>, which is required</w:t>
      </w:r>
      <w:r w:rsidR="00ED15EB">
        <w:rPr>
          <w:rFonts w:ascii="Arial" w:hAnsi="Arial" w:cs="Arial"/>
        </w:rPr>
        <w:t xml:space="preserve"> to measure the statistical significance</w:t>
      </w:r>
      <w:r w:rsidRPr="00DF0F0F">
        <w:rPr>
          <w:rFonts w:ascii="Arial" w:hAnsi="Arial" w:cs="Arial" w:hint="eastAsia"/>
        </w:rPr>
        <w:t>)</w:t>
      </w:r>
      <w:r w:rsidRPr="00DF0F0F">
        <w:rPr>
          <w:rFonts w:ascii="Arial" w:hAnsi="Arial" w:cs="Arial"/>
        </w:rPr>
        <w:t xml:space="preserve"> (Orient Bio Group, Seoul, Korea). Tumor </w:t>
      </w:r>
      <w:r w:rsidRPr="00DF0F0F">
        <w:rPr>
          <w:rFonts w:ascii="Arial" w:hAnsi="Arial" w:cs="Arial" w:hint="eastAsia"/>
        </w:rPr>
        <w:t xml:space="preserve">size </w:t>
      </w:r>
      <w:r w:rsidRPr="00DF0F0F">
        <w:rPr>
          <w:rFonts w:ascii="Arial" w:hAnsi="Arial" w:cs="Arial"/>
        </w:rPr>
        <w:t xml:space="preserve">was measured using a caliper, and tumor volume was calculated using the following formula: (short length × long length × width) / 2. </w:t>
      </w:r>
      <w:r w:rsidR="00ED15EB" w:rsidRPr="00ED15EB">
        <w:rPr>
          <w:rFonts w:ascii="Arial" w:hAnsi="Arial" w:cs="Arial" w:hint="eastAsia"/>
        </w:rPr>
        <w:t>The measurement of tumor size and volume was performed by t</w:t>
      </w:r>
      <w:r w:rsidR="00EF3B26">
        <w:rPr>
          <w:rFonts w:ascii="Arial" w:hAnsi="Arial" w:cs="Arial" w:hint="eastAsia"/>
        </w:rPr>
        <w:t xml:space="preserve">hree expertized researchers </w:t>
      </w:r>
      <w:r w:rsidR="00ED15EB" w:rsidRPr="00ED15EB">
        <w:rPr>
          <w:rFonts w:ascii="Arial" w:hAnsi="Arial" w:cs="Arial" w:hint="eastAsia"/>
        </w:rPr>
        <w:t xml:space="preserve">not </w:t>
      </w:r>
      <w:r w:rsidR="00ED15EB" w:rsidRPr="00ED15EB">
        <w:rPr>
          <w:rFonts w:ascii="Arial" w:hAnsi="Arial" w:cs="Arial"/>
        </w:rPr>
        <w:t>through</w:t>
      </w:r>
      <w:r w:rsidR="00ED15EB">
        <w:rPr>
          <w:rFonts w:ascii="Arial" w:hAnsi="Arial" w:cs="Arial" w:hint="eastAsia"/>
        </w:rPr>
        <w:t xml:space="preserve"> a randomization method</w:t>
      </w:r>
      <w:r w:rsidR="00EF3B26">
        <w:rPr>
          <w:rFonts w:ascii="Arial" w:hAnsi="Arial" w:cs="Arial"/>
        </w:rPr>
        <w:t>. N</w:t>
      </w:r>
      <w:r w:rsidR="00ED15EB" w:rsidRPr="00ED15EB">
        <w:rPr>
          <w:rFonts w:ascii="Arial" w:hAnsi="Arial" w:cs="Arial" w:hint="eastAsia"/>
        </w:rPr>
        <w:t xml:space="preserve">o animals were excluded from the analysis. </w:t>
      </w:r>
      <w:r w:rsidRPr="00DF0F0F">
        <w:rPr>
          <w:rFonts w:ascii="Arial" w:hAnsi="Arial" w:cs="Arial"/>
        </w:rPr>
        <w:t xml:space="preserve">The mice were euthanized </w:t>
      </w:r>
      <w:r w:rsidRPr="00DF0F0F">
        <w:rPr>
          <w:rFonts w:ascii="Arial" w:hAnsi="Arial" w:cs="Arial" w:hint="eastAsia"/>
        </w:rPr>
        <w:t>3</w:t>
      </w:r>
      <w:r w:rsidRPr="00DF0F0F">
        <w:rPr>
          <w:rFonts w:ascii="Arial" w:hAnsi="Arial" w:cs="Arial"/>
        </w:rPr>
        <w:t>–</w:t>
      </w:r>
      <w:r w:rsidRPr="00DF0F0F">
        <w:rPr>
          <w:rFonts w:ascii="Arial" w:hAnsi="Arial" w:cs="Arial" w:hint="eastAsia"/>
        </w:rPr>
        <w:t>4</w:t>
      </w:r>
      <w:r w:rsidRPr="00DF0F0F">
        <w:rPr>
          <w:rFonts w:ascii="Arial" w:hAnsi="Arial" w:cs="Arial"/>
        </w:rPr>
        <w:t xml:space="preserve"> weeks after inoculation</w:t>
      </w:r>
      <w:r w:rsidRPr="00DF0F0F">
        <w:rPr>
          <w:rFonts w:ascii="Arial" w:hAnsi="Arial" w:cs="Arial" w:hint="eastAsia"/>
        </w:rPr>
        <w:t xml:space="preserve"> and tumors were excised. </w:t>
      </w:r>
      <w:r w:rsidR="00C422F8" w:rsidRPr="00C422F8">
        <w:rPr>
          <w:rFonts w:ascii="Arial" w:hAnsi="Arial" w:cs="Arial"/>
        </w:rPr>
        <w:t xml:space="preserve">All </w:t>
      </w:r>
      <w:r w:rsidR="00C422F8" w:rsidRPr="00C422F8">
        <w:rPr>
          <w:rFonts w:ascii="Arial" w:hAnsi="Arial" w:cs="Arial"/>
        </w:rPr>
        <w:lastRenderedPageBreak/>
        <w:t xml:space="preserve">animal experiments were conducted at a specific pathogen-free animal experiment center at the Samsung Medical Center. The Samsung Medical Center on Laboratory Animals Committee approved the experiments (approval number: </w:t>
      </w:r>
      <w:r w:rsidR="008F2BE7" w:rsidRPr="008F2BE7">
        <w:rPr>
          <w:rFonts w:ascii="Arial" w:hAnsi="Arial" w:cs="Arial"/>
        </w:rPr>
        <w:t>2017-07-131-202</w:t>
      </w:r>
      <w:r w:rsidR="00C422F8" w:rsidRPr="00C422F8">
        <w:rPr>
          <w:rFonts w:ascii="Arial" w:hAnsi="Arial" w:cs="Arial"/>
        </w:rPr>
        <w:t>)</w:t>
      </w:r>
      <w:bookmarkEnd w:id="3"/>
      <w:r w:rsidR="005A405C">
        <w:rPr>
          <w:rFonts w:ascii="Arial" w:hAnsi="Arial" w:cs="Arial" w:hint="eastAsia"/>
        </w:rPr>
        <w:t>.</w:t>
      </w:r>
    </w:p>
    <w:p w14:paraId="1D0C01E7" w14:textId="77777777" w:rsidR="00472F34" w:rsidRPr="00472F34" w:rsidRDefault="00472F34" w:rsidP="00472F34">
      <w:pPr>
        <w:pStyle w:val="a3"/>
        <w:spacing w:line="480" w:lineRule="auto"/>
        <w:jc w:val="both"/>
        <w:rPr>
          <w:rFonts w:ascii="Arial" w:hAnsi="Arial" w:cs="Arial"/>
        </w:rPr>
      </w:pPr>
    </w:p>
    <w:p w14:paraId="70B1C804" w14:textId="77777777" w:rsidR="00472F34" w:rsidRPr="001C0F73" w:rsidRDefault="00472F34" w:rsidP="00472F34">
      <w:pPr>
        <w:pStyle w:val="a3"/>
        <w:spacing w:line="480" w:lineRule="auto"/>
        <w:jc w:val="both"/>
        <w:rPr>
          <w:rFonts w:ascii="Arial" w:hAnsi="Arial" w:cs="Arial"/>
          <w:b/>
          <w:bCs/>
        </w:rPr>
      </w:pPr>
      <w:r w:rsidRPr="001C0F73">
        <w:rPr>
          <w:rFonts w:ascii="Arial" w:hAnsi="Arial" w:cs="Arial"/>
          <w:b/>
          <w:bCs/>
        </w:rPr>
        <w:t>Cellular fractionation</w:t>
      </w:r>
    </w:p>
    <w:p w14:paraId="0E943138" w14:textId="1E3C672C" w:rsidR="006C49A5" w:rsidRDefault="001C0F73" w:rsidP="00C703A9">
      <w:pPr>
        <w:pStyle w:val="a3"/>
        <w:spacing w:line="480" w:lineRule="auto"/>
        <w:jc w:val="both"/>
        <w:rPr>
          <w:rFonts w:ascii="Arial" w:hAnsi="Arial" w:cs="Arial"/>
        </w:rPr>
      </w:pPr>
      <w:r>
        <w:rPr>
          <w:rFonts w:ascii="Arial" w:hAnsi="Arial" w:cs="Arial"/>
        </w:rPr>
        <w:t xml:space="preserve">To examine the localization of </w:t>
      </w:r>
      <w:r w:rsidR="002C428D" w:rsidRPr="002C428D">
        <w:rPr>
          <w:rFonts w:ascii="Arial" w:hAnsi="Arial" w:cs="Arial"/>
          <w:i/>
          <w:iCs/>
        </w:rPr>
        <w:t>LINC02257</w:t>
      </w:r>
      <w:r>
        <w:rPr>
          <w:rFonts w:ascii="Arial" w:hAnsi="Arial" w:cs="Arial"/>
        </w:rPr>
        <w:t>, c</w:t>
      </w:r>
      <w:r w:rsidR="00472F34" w:rsidRPr="00472F34">
        <w:rPr>
          <w:rFonts w:ascii="Arial" w:hAnsi="Arial" w:cs="Arial"/>
        </w:rPr>
        <w:t>ellular fractionation assay was performe</w:t>
      </w:r>
      <w:r w:rsidR="00C46397">
        <w:rPr>
          <w:rFonts w:ascii="Arial" w:hAnsi="Arial" w:cs="Arial"/>
        </w:rPr>
        <w:t>d</w:t>
      </w:r>
      <w:r w:rsidR="00676153">
        <w:rPr>
          <w:rFonts w:ascii="Arial" w:hAnsi="Arial" w:cs="Arial"/>
        </w:rPr>
        <w:t xml:space="preserve"> </w:t>
      </w:r>
      <w:r w:rsidR="006C49A5">
        <w:rPr>
          <w:rFonts w:ascii="Arial" w:hAnsi="Arial" w:cs="Arial"/>
        </w:rPr>
        <w:t xml:space="preserve">described </w:t>
      </w:r>
      <w:r w:rsidR="006C49A5" w:rsidRPr="000274A2">
        <w:rPr>
          <w:rFonts w:ascii="Arial" w:hAnsi="Arial" w:cs="Arial"/>
        </w:rPr>
        <w:t>in a previous report</w:t>
      </w:r>
      <w:r w:rsidR="006C49A5">
        <w:rPr>
          <w:rFonts w:ascii="Arial" w:hAnsi="Arial" w:cs="Arial"/>
        </w:rPr>
        <w:t xml:space="preserve"> </w:t>
      </w:r>
      <w:r w:rsidR="00C27D46">
        <w:rPr>
          <w:rFonts w:ascii="Arial" w:hAnsi="Arial" w:cs="Arial"/>
        </w:rPr>
        <w:fldChar w:fldCharType="begin">
          <w:fldData xml:space="preserve">PEVuZE5vdGU+PENpdGU+PEF1dGhvcj5KaTwvQXV0aG9yPjxZZWFyPjIwMjI8L1llYXI+PFJlY051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</w:fldData>
        </w:fldChar>
      </w:r>
      <w:r w:rsidR="005B7D2D">
        <w:rPr>
          <w:rFonts w:ascii="Arial" w:hAnsi="Arial" w:cs="Arial"/>
        </w:rPr>
        <w:instrText xml:space="preserve"> ADDIN EN.CITE </w:instrText>
      </w:r>
      <w:r w:rsidR="005B7D2D">
        <w:rPr>
          <w:rFonts w:ascii="Arial" w:hAnsi="Arial" w:cs="Arial"/>
        </w:rPr>
        <w:fldChar w:fldCharType="begin">
          <w:fldData xml:space="preserve">PEVuZE5vdGU+PENpdGU+PEF1dGhvcj5KaTwvQXV0aG9yPjxZZWFyPjIwMjI8L1llYXI+PFJlY051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</w:fldData>
        </w:fldChar>
      </w:r>
      <w:r w:rsidR="005B7D2D">
        <w:rPr>
          <w:rFonts w:ascii="Arial" w:hAnsi="Arial" w:cs="Arial"/>
        </w:rPr>
        <w:instrText xml:space="preserve"> ADDIN EN.CITE.DATA </w:instrText>
      </w:r>
      <w:r w:rsidR="005B7D2D">
        <w:rPr>
          <w:rFonts w:ascii="Arial" w:hAnsi="Arial" w:cs="Arial"/>
        </w:rPr>
      </w:r>
      <w:r w:rsidR="005B7D2D">
        <w:rPr>
          <w:rFonts w:ascii="Arial" w:hAnsi="Arial" w:cs="Arial"/>
        </w:rPr>
        <w:fldChar w:fldCharType="end"/>
      </w:r>
      <w:r w:rsidR="00C27D46">
        <w:rPr>
          <w:rFonts w:ascii="Arial" w:hAnsi="Arial" w:cs="Arial"/>
        </w:rPr>
      </w:r>
      <w:r w:rsidR="00C27D46">
        <w:rPr>
          <w:rFonts w:ascii="Arial" w:hAnsi="Arial" w:cs="Arial"/>
        </w:rPr>
        <w:fldChar w:fldCharType="separate"/>
      </w:r>
      <w:r w:rsidR="005B7D2D" w:rsidRPr="005B7D2D">
        <w:rPr>
          <w:rFonts w:ascii="Arial" w:hAnsi="Arial" w:cs="Arial"/>
          <w:noProof/>
          <w:vertAlign w:val="superscript"/>
        </w:rPr>
        <w:t>11</w:t>
      </w:r>
      <w:r w:rsidR="00C27D46">
        <w:rPr>
          <w:rFonts w:ascii="Arial" w:hAnsi="Arial" w:cs="Arial"/>
        </w:rPr>
        <w:fldChar w:fldCharType="end"/>
      </w:r>
      <w:r w:rsidR="006C49A5">
        <w:rPr>
          <w:rFonts w:ascii="Arial" w:hAnsi="Arial" w:cs="Arial"/>
        </w:rPr>
        <w:t xml:space="preserve">. </w:t>
      </w:r>
      <w:r w:rsidR="00676153">
        <w:rPr>
          <w:rFonts w:ascii="Arial" w:hAnsi="Arial" w:cs="Arial"/>
        </w:rPr>
        <w:t xml:space="preserve">The cytosolic lysates were prepared </w:t>
      </w:r>
      <w:r w:rsidR="00C46397">
        <w:rPr>
          <w:rFonts w:ascii="Arial" w:hAnsi="Arial" w:cs="Arial"/>
        </w:rPr>
        <w:t xml:space="preserve">using </w:t>
      </w:r>
      <w:r w:rsidR="00C46397" w:rsidRPr="00472F34">
        <w:rPr>
          <w:rFonts w:ascii="Arial" w:hAnsi="Arial" w:cs="Arial"/>
        </w:rPr>
        <w:t>RSB buffer (10 mM Tris-HCl, pH 7.4, 2.5 mM MgCl</w:t>
      </w:r>
      <w:r w:rsidR="00C46397" w:rsidRPr="00591CF6">
        <w:rPr>
          <w:rFonts w:ascii="Arial" w:hAnsi="Arial" w:cs="Arial"/>
          <w:vertAlign w:val="subscript"/>
        </w:rPr>
        <w:t>2</w:t>
      </w:r>
      <w:r w:rsidR="00C46397" w:rsidRPr="00472F34">
        <w:rPr>
          <w:rFonts w:ascii="Arial" w:hAnsi="Arial" w:cs="Arial"/>
        </w:rPr>
        <w:t>, 100 mM NaCl) containing 4 mg/ml digitonin (Thermo Fisher Scientific</w:t>
      </w:r>
      <w:r w:rsidR="00CE17D3">
        <w:rPr>
          <w:rFonts w:ascii="Arial" w:hAnsi="Arial" w:cs="Arial"/>
        </w:rPr>
        <w:t xml:space="preserve">, </w:t>
      </w:r>
      <w:r w:rsidR="00CE17D3" w:rsidRPr="00CE17D3">
        <w:rPr>
          <w:rFonts w:ascii="Arial" w:hAnsi="Arial" w:cs="Arial"/>
        </w:rPr>
        <w:t>Waltham, MA USA</w:t>
      </w:r>
      <w:r w:rsidR="00C46397" w:rsidRPr="00472F34">
        <w:rPr>
          <w:rFonts w:ascii="Arial" w:hAnsi="Arial" w:cs="Arial"/>
        </w:rPr>
        <w:t>)</w:t>
      </w:r>
      <w:r w:rsidR="00C46397">
        <w:rPr>
          <w:rFonts w:ascii="Arial" w:hAnsi="Arial" w:cs="Arial"/>
        </w:rPr>
        <w:t>.</w:t>
      </w:r>
      <w:r w:rsidR="006C49A5">
        <w:rPr>
          <w:rFonts w:ascii="Arial" w:hAnsi="Arial" w:cs="Arial"/>
        </w:rPr>
        <w:t xml:space="preserve"> After centrifugation, t</w:t>
      </w:r>
      <w:r w:rsidR="00676153">
        <w:rPr>
          <w:rFonts w:ascii="Arial" w:hAnsi="Arial" w:cs="Arial"/>
        </w:rPr>
        <w:t>he pellets were lysed with RIPA</w:t>
      </w:r>
      <w:r w:rsidR="006C49A5">
        <w:rPr>
          <w:rFonts w:ascii="Arial" w:hAnsi="Arial" w:cs="Arial"/>
        </w:rPr>
        <w:t xml:space="preserve"> buffer to collect nuclear lysates. </w:t>
      </w:r>
      <w:r w:rsidR="006C49A5" w:rsidRPr="00472F34">
        <w:rPr>
          <w:rFonts w:ascii="Arial" w:hAnsi="Arial" w:cs="Arial"/>
        </w:rPr>
        <w:t xml:space="preserve">The levels of α-tubulin and lamin B </w:t>
      </w:r>
      <w:r w:rsidR="006C49A5">
        <w:rPr>
          <w:rFonts w:ascii="Arial" w:hAnsi="Arial" w:cs="Arial"/>
        </w:rPr>
        <w:t xml:space="preserve">were </w:t>
      </w:r>
      <w:r w:rsidR="00B17410">
        <w:rPr>
          <w:rFonts w:ascii="Arial" w:hAnsi="Arial" w:cs="Arial"/>
        </w:rPr>
        <w:t xml:space="preserve">assessed to verify </w:t>
      </w:r>
      <w:r w:rsidR="006C49A5" w:rsidRPr="00472F34">
        <w:rPr>
          <w:rFonts w:ascii="Arial" w:hAnsi="Arial" w:cs="Arial"/>
        </w:rPr>
        <w:t xml:space="preserve">the cytosolic and nuclear </w:t>
      </w:r>
      <w:r w:rsidR="006C49A5">
        <w:rPr>
          <w:rFonts w:ascii="Arial" w:hAnsi="Arial" w:cs="Arial"/>
        </w:rPr>
        <w:t>lysates</w:t>
      </w:r>
      <w:r w:rsidR="006C49A5" w:rsidRPr="00472F34">
        <w:rPr>
          <w:rFonts w:ascii="Arial" w:hAnsi="Arial" w:cs="Arial"/>
        </w:rPr>
        <w:t xml:space="preserve">, respectively. </w:t>
      </w:r>
    </w:p>
    <w:p w14:paraId="25F5D311" w14:textId="77777777" w:rsidR="00472F34" w:rsidRDefault="00472F34" w:rsidP="00472F34">
      <w:pPr>
        <w:pStyle w:val="a3"/>
        <w:spacing w:line="480" w:lineRule="auto"/>
        <w:jc w:val="both"/>
        <w:rPr>
          <w:rFonts w:ascii="Arial" w:hAnsi="Arial" w:cs="Arial"/>
        </w:rPr>
      </w:pPr>
    </w:p>
    <w:p w14:paraId="62AEFE7A" w14:textId="21A7BF48" w:rsidR="00472F34" w:rsidRPr="00052EA6" w:rsidRDefault="00EB0C06" w:rsidP="00472F34">
      <w:pPr>
        <w:pStyle w:val="a3"/>
        <w:spacing w:line="480" w:lineRule="auto"/>
        <w:jc w:val="both"/>
        <w:rPr>
          <w:rFonts w:ascii="Arial" w:hAnsi="Arial" w:cs="Arial"/>
          <w:b/>
          <w:bCs/>
        </w:rPr>
      </w:pPr>
      <w:r>
        <w:rPr>
          <w:rFonts w:ascii="Arial" w:hAnsi="Arial" w:cs="Arial"/>
          <w:b/>
          <w:bCs/>
        </w:rPr>
        <w:t>R</w:t>
      </w:r>
      <w:r w:rsidR="00472F34" w:rsidRPr="00052EA6">
        <w:rPr>
          <w:rFonts w:ascii="Arial" w:hAnsi="Arial" w:cs="Arial"/>
          <w:b/>
          <w:bCs/>
        </w:rPr>
        <w:t>ibonucleoprotein immunoprecipitation (RIP)</w:t>
      </w:r>
    </w:p>
    <w:p w14:paraId="35848387" w14:textId="60E72284" w:rsidR="00C119C9" w:rsidRDefault="00EB0C06" w:rsidP="00C703A9">
      <w:pPr>
        <w:pStyle w:val="a3"/>
        <w:spacing w:line="480" w:lineRule="auto"/>
        <w:jc w:val="both"/>
        <w:rPr>
          <w:rFonts w:ascii="Arial" w:hAnsi="Arial" w:cs="Arial"/>
        </w:rPr>
      </w:pPr>
      <w:r>
        <w:rPr>
          <w:rFonts w:ascii="Arial" w:hAnsi="Arial" w:cs="Arial"/>
        </w:rPr>
        <w:t>Argonaute 2 (</w:t>
      </w:r>
      <w:r w:rsidR="00C119C9" w:rsidRPr="00C119C9">
        <w:rPr>
          <w:rFonts w:ascii="Arial" w:hAnsi="Arial" w:cs="Arial"/>
        </w:rPr>
        <w:t>AGO2</w:t>
      </w:r>
      <w:r>
        <w:rPr>
          <w:rFonts w:ascii="Arial" w:hAnsi="Arial" w:cs="Arial"/>
        </w:rPr>
        <w:t>)</w:t>
      </w:r>
      <w:r w:rsidR="00C119C9" w:rsidRPr="00C119C9">
        <w:rPr>
          <w:rFonts w:ascii="Arial" w:hAnsi="Arial" w:cs="Arial"/>
        </w:rPr>
        <w:t xml:space="preserve"> RIP was performed to </w:t>
      </w:r>
      <w:r>
        <w:rPr>
          <w:rFonts w:ascii="Arial" w:hAnsi="Arial" w:cs="Arial"/>
        </w:rPr>
        <w:t>check</w:t>
      </w:r>
      <w:r w:rsidR="00C119C9" w:rsidRPr="00C119C9">
        <w:rPr>
          <w:rFonts w:ascii="Arial" w:hAnsi="Arial" w:cs="Arial"/>
        </w:rPr>
        <w:t xml:space="preserve"> whether miR-1273g-3p binds to </w:t>
      </w:r>
      <w:r w:rsidR="002C428D" w:rsidRPr="002C428D">
        <w:rPr>
          <w:rFonts w:ascii="Arial" w:hAnsi="Arial" w:cs="Arial"/>
          <w:i/>
          <w:iCs/>
        </w:rPr>
        <w:t>LINC02257</w:t>
      </w:r>
      <w:r w:rsidR="00C119C9" w:rsidRPr="00C119C9">
        <w:rPr>
          <w:rFonts w:ascii="Arial" w:hAnsi="Arial" w:cs="Arial"/>
        </w:rPr>
        <w:t xml:space="preserve"> and </w:t>
      </w:r>
      <w:r w:rsidR="00C119C9" w:rsidRPr="00EB0C06">
        <w:rPr>
          <w:rFonts w:ascii="Arial" w:hAnsi="Arial" w:cs="Arial"/>
          <w:i/>
          <w:iCs/>
        </w:rPr>
        <w:t>SERPINE1</w:t>
      </w:r>
      <w:r w:rsidR="00C119C9" w:rsidRPr="00C119C9">
        <w:rPr>
          <w:rFonts w:ascii="Arial" w:hAnsi="Arial" w:cs="Arial"/>
        </w:rPr>
        <w:t xml:space="preserve"> mRNA. After overexpression of miR-1273g-3p in DLD1 cells, </w:t>
      </w:r>
      <w:r w:rsidR="005A6D8F">
        <w:rPr>
          <w:rFonts w:ascii="Arial" w:hAnsi="Arial" w:cs="Arial"/>
        </w:rPr>
        <w:t>immunoprecipitation (</w:t>
      </w:r>
      <w:r w:rsidR="00C119C9" w:rsidRPr="00C119C9">
        <w:rPr>
          <w:rFonts w:ascii="Arial" w:hAnsi="Arial" w:cs="Arial"/>
        </w:rPr>
        <w:t>IP</w:t>
      </w:r>
      <w:r w:rsidR="005A6D8F">
        <w:rPr>
          <w:rFonts w:ascii="Arial" w:hAnsi="Arial" w:cs="Arial"/>
        </w:rPr>
        <w:t>)</w:t>
      </w:r>
      <w:r w:rsidR="00C119C9" w:rsidRPr="00C119C9">
        <w:rPr>
          <w:rFonts w:ascii="Arial" w:hAnsi="Arial" w:cs="Arial"/>
        </w:rPr>
        <w:t xml:space="preserve"> was performed using AGO2 antibodies. The </w:t>
      </w:r>
      <w:r w:rsidR="005A6D8F">
        <w:rPr>
          <w:rFonts w:ascii="Arial" w:hAnsi="Arial" w:cs="Arial"/>
        </w:rPr>
        <w:t xml:space="preserve">levels </w:t>
      </w:r>
      <w:r w:rsidR="00C119C9" w:rsidRPr="00C119C9">
        <w:rPr>
          <w:rFonts w:ascii="Arial" w:hAnsi="Arial" w:cs="Arial"/>
        </w:rPr>
        <w:t xml:space="preserve">of </w:t>
      </w:r>
      <w:r w:rsidR="002C428D" w:rsidRPr="002C428D">
        <w:rPr>
          <w:rFonts w:ascii="Arial" w:hAnsi="Arial" w:cs="Arial"/>
          <w:i/>
          <w:iCs/>
        </w:rPr>
        <w:t>LINC02257</w:t>
      </w:r>
      <w:r w:rsidR="00C119C9" w:rsidRPr="00C119C9">
        <w:rPr>
          <w:rFonts w:ascii="Arial" w:hAnsi="Arial" w:cs="Arial"/>
        </w:rPr>
        <w:t xml:space="preserve"> and </w:t>
      </w:r>
      <w:r w:rsidR="00C119C9" w:rsidRPr="005A6D8F">
        <w:rPr>
          <w:rFonts w:ascii="Arial" w:hAnsi="Arial" w:cs="Arial"/>
          <w:i/>
          <w:iCs/>
        </w:rPr>
        <w:t>SERPINE1</w:t>
      </w:r>
      <w:r w:rsidR="00C119C9" w:rsidRPr="00C119C9">
        <w:rPr>
          <w:rFonts w:ascii="Arial" w:hAnsi="Arial" w:cs="Arial"/>
        </w:rPr>
        <w:t xml:space="preserve"> mRNA in AGO2 IP were measured using RT-qPCR.</w:t>
      </w:r>
    </w:p>
    <w:p w14:paraId="6E657D36" w14:textId="5C8FE301" w:rsidR="00472F34" w:rsidRDefault="00472F34" w:rsidP="00D55B59">
      <w:pPr>
        <w:pStyle w:val="a3"/>
        <w:spacing w:line="480" w:lineRule="auto"/>
        <w:ind w:firstLine="720"/>
        <w:jc w:val="both"/>
        <w:rPr>
          <w:rFonts w:ascii="Arial" w:hAnsi="Arial" w:cs="Arial"/>
        </w:rPr>
      </w:pPr>
      <w:r>
        <w:rPr>
          <w:rFonts w:ascii="Arial" w:hAnsi="Arial" w:cs="Arial"/>
        </w:rPr>
        <w:t xml:space="preserve">To examine the interaction between YB1 and </w:t>
      </w:r>
      <w:r w:rsidR="002C428D" w:rsidRPr="002C428D">
        <w:rPr>
          <w:rFonts w:ascii="Arial" w:hAnsi="Arial" w:cs="Arial"/>
          <w:i/>
          <w:iCs/>
        </w:rPr>
        <w:t>LINC02257</w:t>
      </w:r>
      <w:r>
        <w:rPr>
          <w:rFonts w:ascii="Arial" w:hAnsi="Arial" w:cs="Arial"/>
        </w:rPr>
        <w:t xml:space="preserve">, </w:t>
      </w:r>
      <w:r w:rsidRPr="000274A2">
        <w:rPr>
          <w:rFonts w:ascii="Arial" w:hAnsi="Arial" w:cs="Arial"/>
        </w:rPr>
        <w:t>RIP assay was performed</w:t>
      </w:r>
      <w:r>
        <w:rPr>
          <w:rFonts w:ascii="Arial" w:hAnsi="Arial" w:cs="Arial"/>
        </w:rPr>
        <w:t xml:space="preserve"> as described </w:t>
      </w:r>
      <w:r w:rsidRPr="000274A2">
        <w:rPr>
          <w:rFonts w:ascii="Arial" w:hAnsi="Arial" w:cs="Arial"/>
        </w:rPr>
        <w:t>in a previous report</w:t>
      </w:r>
      <w:r>
        <w:rPr>
          <w:rFonts w:ascii="Arial" w:hAnsi="Arial" w:cs="Arial"/>
        </w:rPr>
        <w:t xml:space="preserve"> </w:t>
      </w:r>
      <w:r w:rsidR="004222FD">
        <w:rPr>
          <w:rFonts w:ascii="Arial" w:hAnsi="Arial" w:cs="Arial"/>
        </w:rPr>
        <w:fldChar w:fldCharType="begin">
          <w:fldData xml:space="preserve">PEVuZE5vdGU+PENpdGU+PEF1dGhvcj5KaTwvQXV0aG9yPjxZZWFyPjIwMjI8L1llYXI+PFJlY051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</w:fldData>
        </w:fldChar>
      </w:r>
      <w:r w:rsidR="005B7D2D">
        <w:rPr>
          <w:rFonts w:ascii="Arial" w:hAnsi="Arial" w:cs="Arial"/>
        </w:rPr>
        <w:instrText xml:space="preserve"> ADDIN EN.CITE </w:instrText>
      </w:r>
      <w:r w:rsidR="005B7D2D">
        <w:rPr>
          <w:rFonts w:ascii="Arial" w:hAnsi="Arial" w:cs="Arial"/>
        </w:rPr>
        <w:fldChar w:fldCharType="begin">
          <w:fldData xml:space="preserve">PEVuZE5vdGU+PENpdGU+PEF1dGhvcj5KaTwvQXV0aG9yPjxZZWFyPjIwMjI8L1llYXI+PFJlY051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</w:fldData>
        </w:fldChar>
      </w:r>
      <w:r w:rsidR="005B7D2D">
        <w:rPr>
          <w:rFonts w:ascii="Arial" w:hAnsi="Arial" w:cs="Arial"/>
        </w:rPr>
        <w:instrText xml:space="preserve"> ADDIN EN.CITE.DATA </w:instrText>
      </w:r>
      <w:r w:rsidR="005B7D2D">
        <w:rPr>
          <w:rFonts w:ascii="Arial" w:hAnsi="Arial" w:cs="Arial"/>
        </w:rPr>
      </w:r>
      <w:r w:rsidR="005B7D2D">
        <w:rPr>
          <w:rFonts w:ascii="Arial" w:hAnsi="Arial" w:cs="Arial"/>
        </w:rPr>
        <w:fldChar w:fldCharType="end"/>
      </w:r>
      <w:r w:rsidR="004222FD">
        <w:rPr>
          <w:rFonts w:ascii="Arial" w:hAnsi="Arial" w:cs="Arial"/>
        </w:rPr>
      </w:r>
      <w:r w:rsidR="004222FD">
        <w:rPr>
          <w:rFonts w:ascii="Arial" w:hAnsi="Arial" w:cs="Arial"/>
        </w:rPr>
        <w:fldChar w:fldCharType="separate"/>
      </w:r>
      <w:r w:rsidR="005B7D2D" w:rsidRPr="005B7D2D">
        <w:rPr>
          <w:rFonts w:ascii="Arial" w:hAnsi="Arial" w:cs="Arial"/>
          <w:noProof/>
          <w:vertAlign w:val="superscript"/>
        </w:rPr>
        <w:t>11</w:t>
      </w:r>
      <w:r w:rsidR="004222FD">
        <w:rPr>
          <w:rFonts w:ascii="Arial" w:hAnsi="Arial" w:cs="Arial"/>
        </w:rPr>
        <w:fldChar w:fldCharType="end"/>
      </w:r>
      <w:r w:rsidRPr="000274A2">
        <w:rPr>
          <w:rFonts w:ascii="Arial" w:hAnsi="Arial" w:cs="Arial"/>
        </w:rPr>
        <w:t xml:space="preserve">. Briefly, the Dynabeads® Protein G (Thermo Fisher Scientific) </w:t>
      </w:r>
      <w:r>
        <w:rPr>
          <w:rFonts w:ascii="Arial" w:hAnsi="Arial" w:cs="Arial"/>
        </w:rPr>
        <w:t xml:space="preserve">was </w:t>
      </w:r>
      <w:r w:rsidRPr="000274A2">
        <w:rPr>
          <w:rFonts w:ascii="Arial" w:hAnsi="Arial" w:cs="Arial"/>
        </w:rPr>
        <w:t xml:space="preserve">coated with IgG or </w:t>
      </w:r>
      <w:r>
        <w:rPr>
          <w:rFonts w:ascii="Arial" w:hAnsi="Arial" w:cs="Arial"/>
        </w:rPr>
        <w:t xml:space="preserve">YB1 </w:t>
      </w:r>
      <w:r w:rsidRPr="000274A2">
        <w:rPr>
          <w:rFonts w:ascii="Arial" w:hAnsi="Arial" w:cs="Arial"/>
        </w:rPr>
        <w:t>antibody</w:t>
      </w:r>
      <w:r w:rsidR="00CE17D3">
        <w:rPr>
          <w:rFonts w:ascii="Arial" w:hAnsi="Arial" w:cs="Arial"/>
        </w:rPr>
        <w:t xml:space="preserve">, </w:t>
      </w:r>
      <w:r>
        <w:rPr>
          <w:rFonts w:ascii="Arial" w:hAnsi="Arial" w:cs="Arial"/>
        </w:rPr>
        <w:t xml:space="preserve">and incubated with the </w:t>
      </w:r>
      <w:r w:rsidRPr="000274A2">
        <w:rPr>
          <w:rFonts w:ascii="Arial" w:hAnsi="Arial" w:cs="Arial"/>
        </w:rPr>
        <w:t xml:space="preserve">equal amounts of </w:t>
      </w:r>
      <w:r>
        <w:rPr>
          <w:rFonts w:ascii="Arial" w:hAnsi="Arial" w:cs="Arial"/>
        </w:rPr>
        <w:t xml:space="preserve">cytoplasmic </w:t>
      </w:r>
      <w:r w:rsidRPr="000274A2">
        <w:rPr>
          <w:rFonts w:ascii="Arial" w:hAnsi="Arial" w:cs="Arial"/>
        </w:rPr>
        <w:t>lysate for 4 h</w:t>
      </w:r>
      <w:r>
        <w:rPr>
          <w:rFonts w:ascii="Arial" w:hAnsi="Arial" w:cs="Arial"/>
        </w:rPr>
        <w:t xml:space="preserve">. After </w:t>
      </w:r>
      <w:r w:rsidRPr="000274A2">
        <w:rPr>
          <w:rFonts w:ascii="Arial" w:hAnsi="Arial" w:cs="Arial"/>
        </w:rPr>
        <w:t>wash</w:t>
      </w:r>
      <w:r>
        <w:rPr>
          <w:rFonts w:ascii="Arial" w:hAnsi="Arial" w:cs="Arial"/>
        </w:rPr>
        <w:t xml:space="preserve">ing </w:t>
      </w:r>
      <w:r w:rsidRPr="000274A2">
        <w:rPr>
          <w:rFonts w:ascii="Arial" w:hAnsi="Arial" w:cs="Arial"/>
        </w:rPr>
        <w:t>several times with NT2 buffer</w:t>
      </w:r>
      <w:r>
        <w:rPr>
          <w:rFonts w:ascii="Arial" w:hAnsi="Arial" w:cs="Arial"/>
        </w:rPr>
        <w:t xml:space="preserve">, the beads were treated with </w:t>
      </w:r>
      <w:r w:rsidRPr="000274A2">
        <w:rPr>
          <w:rFonts w:ascii="Arial" w:hAnsi="Arial" w:cs="Arial"/>
        </w:rPr>
        <w:t>DNase I (Ambion</w:t>
      </w:r>
      <w:r w:rsidR="00C46397">
        <w:rPr>
          <w:rFonts w:ascii="Arial" w:hAnsi="Arial" w:cs="Arial"/>
        </w:rPr>
        <w:t xml:space="preserve">, </w:t>
      </w:r>
      <w:r w:rsidR="00C46397" w:rsidRPr="00C46397">
        <w:rPr>
          <w:rFonts w:ascii="Arial" w:hAnsi="Arial" w:cs="Arial"/>
        </w:rPr>
        <w:t>Austin, TX</w:t>
      </w:r>
      <w:r w:rsidRPr="000274A2">
        <w:rPr>
          <w:rFonts w:ascii="Arial" w:hAnsi="Arial" w:cs="Arial"/>
        </w:rPr>
        <w:t>) and protease K (Bioneer</w:t>
      </w:r>
      <w:r w:rsidR="00C46397">
        <w:rPr>
          <w:rFonts w:ascii="Arial" w:hAnsi="Arial" w:cs="Arial"/>
        </w:rPr>
        <w:t xml:space="preserve">, </w:t>
      </w:r>
      <w:r w:rsidR="00C46397" w:rsidRPr="00C46397">
        <w:rPr>
          <w:rFonts w:ascii="Arial" w:hAnsi="Arial" w:cs="Arial"/>
        </w:rPr>
        <w:t xml:space="preserve">Daejeon, </w:t>
      </w:r>
      <w:r w:rsidR="00C46397">
        <w:rPr>
          <w:rFonts w:ascii="Arial" w:hAnsi="Arial" w:cs="Arial"/>
        </w:rPr>
        <w:t xml:space="preserve">Republic of </w:t>
      </w:r>
      <w:r w:rsidR="00C46397" w:rsidRPr="00C46397">
        <w:rPr>
          <w:rFonts w:ascii="Arial" w:hAnsi="Arial" w:cs="Arial"/>
        </w:rPr>
        <w:t>Korea</w:t>
      </w:r>
      <w:r w:rsidRPr="000274A2">
        <w:rPr>
          <w:rFonts w:ascii="Arial" w:hAnsi="Arial" w:cs="Arial"/>
        </w:rPr>
        <w:t>)</w:t>
      </w:r>
      <w:r>
        <w:rPr>
          <w:rFonts w:ascii="Arial" w:hAnsi="Arial" w:cs="Arial"/>
        </w:rPr>
        <w:t xml:space="preserve">, and </w:t>
      </w:r>
      <w:r w:rsidRPr="000274A2">
        <w:rPr>
          <w:rFonts w:ascii="Arial" w:hAnsi="Arial" w:cs="Arial"/>
        </w:rPr>
        <w:t xml:space="preserve">RNA was isolated by precipitation with absolute ethanol. The level of </w:t>
      </w:r>
      <w:r w:rsidR="002C428D" w:rsidRPr="002C428D">
        <w:rPr>
          <w:rFonts w:ascii="Arial" w:hAnsi="Arial" w:cs="Arial"/>
          <w:i/>
          <w:iCs/>
        </w:rPr>
        <w:t>LINC02257</w:t>
      </w:r>
      <w:r w:rsidRPr="000274A2">
        <w:rPr>
          <w:rFonts w:ascii="Arial" w:hAnsi="Arial" w:cs="Arial"/>
        </w:rPr>
        <w:t xml:space="preserve"> in </w:t>
      </w:r>
      <w:r w:rsidR="00EB0C06">
        <w:rPr>
          <w:rFonts w:ascii="Arial" w:hAnsi="Arial" w:cs="Arial"/>
        </w:rPr>
        <w:t xml:space="preserve">YB1 </w:t>
      </w:r>
      <w:r w:rsidRPr="000274A2">
        <w:rPr>
          <w:rFonts w:ascii="Arial" w:hAnsi="Arial" w:cs="Arial"/>
        </w:rPr>
        <w:t xml:space="preserve">IP was </w:t>
      </w:r>
      <w:r>
        <w:rPr>
          <w:rFonts w:ascii="Arial" w:hAnsi="Arial" w:cs="Arial"/>
        </w:rPr>
        <w:t xml:space="preserve">determined by </w:t>
      </w:r>
      <w:r w:rsidRPr="000274A2">
        <w:rPr>
          <w:rFonts w:ascii="Arial" w:hAnsi="Arial" w:cs="Arial"/>
        </w:rPr>
        <w:t xml:space="preserve">RT-qPCR. </w:t>
      </w:r>
    </w:p>
    <w:p w14:paraId="46817A3A" w14:textId="77777777" w:rsidR="00472F34" w:rsidRPr="000274A2" w:rsidRDefault="00472F34" w:rsidP="00472F34">
      <w:pPr>
        <w:pStyle w:val="a3"/>
        <w:spacing w:line="480" w:lineRule="auto"/>
        <w:jc w:val="both"/>
        <w:rPr>
          <w:rFonts w:ascii="Arial" w:hAnsi="Arial" w:cs="Arial"/>
        </w:rPr>
      </w:pPr>
    </w:p>
    <w:p w14:paraId="703AD56A" w14:textId="0033A0D9" w:rsidR="00472F34" w:rsidRPr="00472F34" w:rsidRDefault="00472F34" w:rsidP="00472F34">
      <w:pPr>
        <w:pStyle w:val="a3"/>
        <w:spacing w:line="480" w:lineRule="auto"/>
        <w:jc w:val="both"/>
        <w:rPr>
          <w:rFonts w:ascii="Arial" w:hAnsi="Arial" w:cs="Arial"/>
          <w:b/>
          <w:bCs/>
        </w:rPr>
      </w:pPr>
      <w:r w:rsidRPr="00472F34">
        <w:rPr>
          <w:rFonts w:ascii="Arial" w:hAnsi="Arial" w:cs="Arial"/>
          <w:b/>
          <w:bCs/>
        </w:rPr>
        <w:t>Antisense oligonucleotide (ASO) pulldown assay</w:t>
      </w:r>
    </w:p>
    <w:p w14:paraId="1B20D249" w14:textId="34994951" w:rsidR="006C49A5" w:rsidRDefault="0052494E" w:rsidP="00C703A9">
      <w:pPr>
        <w:pStyle w:val="a3"/>
        <w:spacing w:line="480" w:lineRule="auto"/>
        <w:jc w:val="both"/>
        <w:rPr>
          <w:rFonts w:ascii="Arial" w:hAnsi="Arial" w:cs="Arial"/>
        </w:rPr>
      </w:pPr>
      <w:r>
        <w:rPr>
          <w:rFonts w:ascii="Arial" w:hAnsi="Arial" w:cs="Arial"/>
        </w:rPr>
        <w:lastRenderedPageBreak/>
        <w:t xml:space="preserve">ASOs </w:t>
      </w:r>
      <w:r w:rsidR="00EB0C06">
        <w:rPr>
          <w:rFonts w:ascii="Arial" w:hAnsi="Arial" w:cs="Arial"/>
        </w:rPr>
        <w:t xml:space="preserve">recognizing </w:t>
      </w:r>
      <w:r w:rsidR="002C428D" w:rsidRPr="002C428D">
        <w:rPr>
          <w:rFonts w:ascii="Arial" w:hAnsi="Arial" w:cs="Arial"/>
          <w:i/>
          <w:iCs/>
        </w:rPr>
        <w:t>LINC02257</w:t>
      </w:r>
      <w:r>
        <w:rPr>
          <w:rFonts w:ascii="Arial" w:hAnsi="Arial" w:cs="Arial"/>
        </w:rPr>
        <w:t xml:space="preserve"> were designed and used to identify </w:t>
      </w:r>
      <w:r w:rsidR="002C428D" w:rsidRPr="002C428D">
        <w:rPr>
          <w:rFonts w:ascii="Arial" w:hAnsi="Arial" w:cs="Arial"/>
          <w:i/>
          <w:iCs/>
        </w:rPr>
        <w:t>LINC02257</w:t>
      </w:r>
      <w:r>
        <w:rPr>
          <w:rFonts w:ascii="Arial" w:hAnsi="Arial" w:cs="Arial"/>
        </w:rPr>
        <w:t>-associated miRNAs and RNA-binding proteins (RBPs)</w:t>
      </w:r>
      <w:r w:rsidR="00EB0C06">
        <w:rPr>
          <w:rFonts w:ascii="Arial" w:hAnsi="Arial" w:cs="Arial"/>
        </w:rPr>
        <w:t xml:space="preserve">. Briefly, the cytoplasmic lysates were prepared using polysome extraction buffer and incubated with biotinylated ASOs </w:t>
      </w:r>
      <w:r w:rsidR="00EB0C06" w:rsidRPr="000274A2">
        <w:rPr>
          <w:rFonts w:ascii="Arial" w:hAnsi="Arial" w:cs="Arial"/>
        </w:rPr>
        <w:t>at 4°C for 2 h</w:t>
      </w:r>
      <w:r w:rsidR="00EB0C06">
        <w:rPr>
          <w:rFonts w:ascii="Arial" w:hAnsi="Arial" w:cs="Arial"/>
        </w:rPr>
        <w:t xml:space="preserve">. </w:t>
      </w:r>
      <w:r w:rsidR="00270706" w:rsidRPr="000274A2">
        <w:rPr>
          <w:rFonts w:ascii="Arial" w:hAnsi="Arial" w:cs="Arial"/>
        </w:rPr>
        <w:t>LacZ ASO was used as a negative pulldown control</w:t>
      </w:r>
      <w:r w:rsidR="00270706">
        <w:rPr>
          <w:rFonts w:ascii="Arial" w:hAnsi="Arial" w:cs="Arial"/>
        </w:rPr>
        <w:t xml:space="preserve">. </w:t>
      </w:r>
      <w:r w:rsidR="00EB0C06">
        <w:rPr>
          <w:rFonts w:ascii="Arial" w:hAnsi="Arial" w:cs="Arial"/>
        </w:rPr>
        <w:t>After</w:t>
      </w:r>
      <w:r w:rsidR="004761A4">
        <w:rPr>
          <w:rFonts w:ascii="Arial" w:hAnsi="Arial" w:cs="Arial"/>
        </w:rPr>
        <w:t xml:space="preserve"> following incubation with </w:t>
      </w:r>
      <w:r w:rsidR="00EB0C06" w:rsidRPr="000274A2">
        <w:rPr>
          <w:rFonts w:ascii="Arial" w:hAnsi="Arial" w:cs="Arial"/>
        </w:rPr>
        <w:t>pre-washed streptavidin-coupled Dynabeads</w:t>
      </w:r>
      <w:r w:rsidR="00EB0C06" w:rsidRPr="00EB0C06">
        <w:rPr>
          <w:rFonts w:ascii="Arial" w:hAnsi="Arial" w:cs="Arial"/>
          <w:vertAlign w:val="superscript"/>
        </w:rPr>
        <w:t>TM</w:t>
      </w:r>
      <w:r w:rsidR="00EB0C06" w:rsidRPr="000274A2">
        <w:rPr>
          <w:rFonts w:ascii="Arial" w:hAnsi="Arial" w:cs="Arial"/>
        </w:rPr>
        <w:t xml:space="preserve"> (Invitrogen)</w:t>
      </w:r>
      <w:r w:rsidR="004761A4">
        <w:rPr>
          <w:rFonts w:ascii="Arial" w:hAnsi="Arial" w:cs="Arial"/>
        </w:rPr>
        <w:t xml:space="preserve">, </w:t>
      </w:r>
      <w:r w:rsidR="00270706">
        <w:rPr>
          <w:rFonts w:ascii="Arial" w:hAnsi="Arial" w:cs="Arial"/>
        </w:rPr>
        <w:t>the RNA was isolated from the pulldown materials using Trizol and RT-qPCR was conducted to measure the level of miR-1273g-3p.</w:t>
      </w:r>
      <w:r w:rsidR="008D7F90">
        <w:rPr>
          <w:rFonts w:ascii="Arial" w:hAnsi="Arial" w:cs="Arial"/>
        </w:rPr>
        <w:t xml:space="preserve"> To validate the </w:t>
      </w:r>
      <w:r w:rsidR="003E2106">
        <w:rPr>
          <w:rFonts w:ascii="Arial" w:hAnsi="Arial" w:cs="Arial"/>
        </w:rPr>
        <w:t>interaction o</w:t>
      </w:r>
      <w:r w:rsidR="008D7F90">
        <w:rPr>
          <w:rFonts w:ascii="Arial" w:hAnsi="Arial" w:cs="Arial"/>
        </w:rPr>
        <w:t xml:space="preserve">f </w:t>
      </w:r>
      <w:r w:rsidR="002C428D" w:rsidRPr="002C428D">
        <w:rPr>
          <w:rFonts w:ascii="Arial" w:hAnsi="Arial" w:cs="Arial"/>
          <w:i/>
          <w:iCs/>
        </w:rPr>
        <w:t>LINC02257</w:t>
      </w:r>
      <w:r w:rsidR="008D7F90">
        <w:rPr>
          <w:rFonts w:ascii="Arial" w:hAnsi="Arial" w:cs="Arial"/>
        </w:rPr>
        <w:t xml:space="preserve"> with YB1, </w:t>
      </w:r>
      <w:r w:rsidR="003E2106">
        <w:rPr>
          <w:rFonts w:ascii="Arial" w:hAnsi="Arial" w:cs="Arial"/>
        </w:rPr>
        <w:t xml:space="preserve">the proteins were separated by </w:t>
      </w:r>
      <w:r w:rsidR="008D7F90">
        <w:rPr>
          <w:rFonts w:ascii="Arial" w:hAnsi="Arial" w:cs="Arial"/>
        </w:rPr>
        <w:t>SDS-PAGE</w:t>
      </w:r>
      <w:r w:rsidR="003E2106">
        <w:rPr>
          <w:rFonts w:ascii="Arial" w:hAnsi="Arial" w:cs="Arial"/>
        </w:rPr>
        <w:t xml:space="preserve">, digested, and analyzed </w:t>
      </w:r>
      <w:r w:rsidR="008D7F90">
        <w:rPr>
          <w:rFonts w:ascii="Arial" w:hAnsi="Arial" w:cs="Arial"/>
        </w:rPr>
        <w:t xml:space="preserve">by Nanospray LC/MS/MS analysis. </w:t>
      </w:r>
    </w:p>
    <w:p w14:paraId="0C11FF95" w14:textId="77777777" w:rsidR="00217730" w:rsidRDefault="00217730" w:rsidP="00472F34">
      <w:pPr>
        <w:pStyle w:val="a3"/>
        <w:spacing w:line="480" w:lineRule="auto"/>
        <w:jc w:val="both"/>
        <w:rPr>
          <w:rFonts w:ascii="Arial" w:hAnsi="Arial" w:cs="Arial"/>
        </w:rPr>
      </w:pPr>
    </w:p>
    <w:p w14:paraId="21AF281C" w14:textId="6368AAB1" w:rsidR="00217730" w:rsidRPr="00EF7FAD" w:rsidRDefault="00217730" w:rsidP="00217730">
      <w:pPr>
        <w:pStyle w:val="a3"/>
        <w:spacing w:line="480" w:lineRule="auto"/>
        <w:jc w:val="both"/>
        <w:rPr>
          <w:rFonts w:ascii="Arial" w:hAnsi="Arial" w:cs="Arial"/>
          <w:b/>
          <w:bCs/>
        </w:rPr>
      </w:pPr>
      <w:r w:rsidRPr="00EF7FAD">
        <w:rPr>
          <w:rFonts w:ascii="Arial" w:hAnsi="Arial" w:cs="Arial"/>
          <w:b/>
          <w:bCs/>
        </w:rPr>
        <w:t>Luciferase reporter assay</w:t>
      </w:r>
    </w:p>
    <w:p w14:paraId="14E30F47" w14:textId="77777777" w:rsidR="00A3340B" w:rsidRDefault="00BE0A8E" w:rsidP="001D3F55">
      <w:pPr>
        <w:pStyle w:val="a3"/>
        <w:spacing w:line="480" w:lineRule="auto"/>
        <w:jc w:val="both"/>
        <w:rPr>
          <w:rFonts w:ascii="Arial" w:hAnsi="Arial" w:cs="Arial"/>
        </w:rPr>
      </w:pPr>
      <w:r>
        <w:rPr>
          <w:rFonts w:ascii="Arial" w:hAnsi="Arial" w:cs="Arial"/>
        </w:rPr>
        <w:t xml:space="preserve">The </w:t>
      </w:r>
      <w:r w:rsidR="00217730" w:rsidRPr="00217730">
        <w:rPr>
          <w:rFonts w:ascii="Arial" w:hAnsi="Arial" w:cs="Arial"/>
        </w:rPr>
        <w:t>luciferase vectors (pmirGLO dual-luciferase vectors</w:t>
      </w:r>
      <w:r w:rsidR="00D23FCE">
        <w:rPr>
          <w:rFonts w:ascii="Arial" w:hAnsi="Arial" w:cs="Arial"/>
        </w:rPr>
        <w:t xml:space="preserve">; </w:t>
      </w:r>
      <w:r w:rsidR="00217730" w:rsidRPr="00217730">
        <w:rPr>
          <w:rFonts w:ascii="Arial" w:hAnsi="Arial" w:cs="Arial"/>
        </w:rPr>
        <w:t>Promega</w:t>
      </w:r>
      <w:r w:rsidR="00D23FCE">
        <w:t xml:space="preserve">, </w:t>
      </w:r>
      <w:r w:rsidR="00D23FCE" w:rsidRPr="00D23FCE">
        <w:rPr>
          <w:rFonts w:ascii="Arial" w:hAnsi="Arial" w:cs="Arial"/>
        </w:rPr>
        <w:t>Madison, WI</w:t>
      </w:r>
      <w:r w:rsidR="00217730" w:rsidRPr="00217730">
        <w:rPr>
          <w:rFonts w:ascii="Arial" w:hAnsi="Arial" w:cs="Arial"/>
        </w:rPr>
        <w:t>) containing wild-type or muta</w:t>
      </w:r>
      <w:r>
        <w:rPr>
          <w:rFonts w:ascii="Arial" w:hAnsi="Arial" w:cs="Arial"/>
        </w:rPr>
        <w:t>ted</w:t>
      </w:r>
      <w:r w:rsidR="00217730" w:rsidRPr="00217730">
        <w:rPr>
          <w:rFonts w:ascii="Arial" w:hAnsi="Arial" w:cs="Arial"/>
        </w:rPr>
        <w:t xml:space="preserve"> sequences of miR-</w:t>
      </w:r>
      <w:r>
        <w:rPr>
          <w:rFonts w:ascii="Arial" w:hAnsi="Arial" w:cs="Arial"/>
        </w:rPr>
        <w:t>1273g-3p</w:t>
      </w:r>
      <w:r w:rsidR="00217730" w:rsidRPr="00217730">
        <w:rPr>
          <w:rFonts w:ascii="Arial" w:hAnsi="Arial" w:cs="Arial"/>
        </w:rPr>
        <w:t xml:space="preserve"> MRE </w:t>
      </w:r>
      <w:r>
        <w:rPr>
          <w:rFonts w:ascii="Arial" w:hAnsi="Arial" w:cs="Arial"/>
        </w:rPr>
        <w:t xml:space="preserve">in </w:t>
      </w:r>
      <w:r w:rsidR="002C428D" w:rsidRPr="002C428D">
        <w:rPr>
          <w:rFonts w:ascii="Arial" w:hAnsi="Arial" w:cs="Arial"/>
          <w:i/>
          <w:iCs/>
        </w:rPr>
        <w:t>LINC02257</w:t>
      </w:r>
      <w:r>
        <w:rPr>
          <w:rFonts w:ascii="Arial" w:hAnsi="Arial" w:cs="Arial"/>
        </w:rPr>
        <w:t xml:space="preserve"> or the </w:t>
      </w:r>
      <w:r w:rsidRPr="00217730">
        <w:rPr>
          <w:rFonts w:ascii="Arial" w:hAnsi="Arial" w:cs="Arial"/>
        </w:rPr>
        <w:t xml:space="preserve">3'UTR of </w:t>
      </w:r>
      <w:r w:rsidRPr="00D55B59">
        <w:rPr>
          <w:rFonts w:ascii="Arial" w:hAnsi="Arial" w:cs="Arial"/>
          <w:i/>
          <w:iCs/>
        </w:rPr>
        <w:t>SERPINE1</w:t>
      </w:r>
      <w:r>
        <w:rPr>
          <w:rFonts w:ascii="Arial" w:hAnsi="Arial" w:cs="Arial"/>
        </w:rPr>
        <w:t xml:space="preserve"> mRNA</w:t>
      </w:r>
      <w:r w:rsidRPr="00217730">
        <w:rPr>
          <w:rFonts w:ascii="Arial" w:hAnsi="Arial" w:cs="Arial"/>
        </w:rPr>
        <w:t xml:space="preserve"> </w:t>
      </w:r>
      <w:r w:rsidR="00217730" w:rsidRPr="00217730">
        <w:rPr>
          <w:rFonts w:ascii="Arial" w:hAnsi="Arial" w:cs="Arial"/>
        </w:rPr>
        <w:t>were constructed</w:t>
      </w:r>
      <w:r w:rsidR="00EF7FAD">
        <w:rPr>
          <w:rFonts w:ascii="Arial" w:hAnsi="Arial" w:cs="Arial"/>
        </w:rPr>
        <w:t xml:space="preserve"> (detail information in Supplemental </w:t>
      </w:r>
      <w:r w:rsidR="00DF4C9C">
        <w:rPr>
          <w:rFonts w:ascii="Arial" w:hAnsi="Arial" w:cs="Arial"/>
        </w:rPr>
        <w:t>F</w:t>
      </w:r>
      <w:r w:rsidR="00EF7FAD">
        <w:rPr>
          <w:rFonts w:ascii="Arial" w:hAnsi="Arial" w:cs="Arial"/>
        </w:rPr>
        <w:t>ig</w:t>
      </w:r>
      <w:r w:rsidR="00DF4C9C">
        <w:rPr>
          <w:rFonts w:ascii="Arial" w:hAnsi="Arial" w:cs="Arial"/>
        </w:rPr>
        <w:t>.</w:t>
      </w:r>
      <w:r w:rsidR="00EF7FAD">
        <w:rPr>
          <w:rFonts w:ascii="Arial" w:hAnsi="Arial" w:cs="Arial"/>
        </w:rPr>
        <w:t xml:space="preserve"> 6). Briefly, after </w:t>
      </w:r>
      <w:r w:rsidR="00D23FCE">
        <w:rPr>
          <w:rFonts w:ascii="Arial" w:hAnsi="Arial" w:cs="Arial"/>
        </w:rPr>
        <w:t>DLD1 cells were transfected with c</w:t>
      </w:r>
      <w:r w:rsidR="00EF7FAD">
        <w:rPr>
          <w:rFonts w:ascii="Arial" w:hAnsi="Arial" w:cs="Arial"/>
        </w:rPr>
        <w:t xml:space="preserve">ontrol or miR-1273g-3p mimic, </w:t>
      </w:r>
      <w:r w:rsidR="00D23FCE">
        <w:rPr>
          <w:rFonts w:ascii="Arial" w:hAnsi="Arial" w:cs="Arial"/>
        </w:rPr>
        <w:t>the equal number of c</w:t>
      </w:r>
      <w:r w:rsidR="00EF7FAD">
        <w:rPr>
          <w:rFonts w:ascii="Arial" w:hAnsi="Arial" w:cs="Arial"/>
        </w:rPr>
        <w:t xml:space="preserve">ells were resuspended into 24-well plates. </w:t>
      </w:r>
      <w:r w:rsidR="00D23FCE">
        <w:rPr>
          <w:rFonts w:ascii="Arial" w:hAnsi="Arial" w:cs="Arial"/>
        </w:rPr>
        <w:t xml:space="preserve">Following transfection with either </w:t>
      </w:r>
      <w:r w:rsidR="00D23FCE" w:rsidRPr="00217730">
        <w:rPr>
          <w:rFonts w:ascii="Arial" w:hAnsi="Arial" w:cs="Arial"/>
        </w:rPr>
        <w:t>wild-type or mutant luciferase vectors</w:t>
      </w:r>
      <w:r w:rsidR="00D23FCE">
        <w:rPr>
          <w:rFonts w:ascii="Arial" w:hAnsi="Arial" w:cs="Arial"/>
        </w:rPr>
        <w:t xml:space="preserve">, </w:t>
      </w:r>
      <w:r w:rsidR="00D23FCE" w:rsidRPr="00217730">
        <w:rPr>
          <w:rFonts w:ascii="Arial" w:hAnsi="Arial" w:cs="Arial"/>
        </w:rPr>
        <w:t>luciferase activity was determined using a Dual-GLO™ Luciferase Assay System (Promega).</w:t>
      </w:r>
    </w:p>
    <w:p w14:paraId="2480C2A6" w14:textId="77777777" w:rsidR="00A3340B" w:rsidRDefault="00A3340B" w:rsidP="001D3F55">
      <w:pPr>
        <w:pStyle w:val="a3"/>
        <w:spacing w:line="480" w:lineRule="auto"/>
        <w:jc w:val="both"/>
        <w:rPr>
          <w:rFonts w:ascii="Arial" w:hAnsi="Arial" w:cs="Arial"/>
        </w:rPr>
      </w:pPr>
    </w:p>
    <w:p w14:paraId="66429139" w14:textId="77777777" w:rsidR="0000273D" w:rsidRPr="0000273D" w:rsidRDefault="0000273D" w:rsidP="0000273D">
      <w:pPr>
        <w:pStyle w:val="a3"/>
        <w:spacing w:line="480" w:lineRule="auto"/>
        <w:jc w:val="both"/>
        <w:rPr>
          <w:rFonts w:ascii="Arial" w:hAnsi="Arial" w:cs="Arial"/>
          <w:b/>
          <w:bCs/>
        </w:rPr>
      </w:pPr>
      <w:r w:rsidRPr="0000273D">
        <w:rPr>
          <w:rFonts w:ascii="Arial" w:hAnsi="Arial" w:cs="Arial"/>
          <w:b/>
          <w:bCs/>
        </w:rPr>
        <w:t>Clinical specimens</w:t>
      </w:r>
    </w:p>
    <w:p w14:paraId="4E0517CB" w14:textId="77777777" w:rsidR="00811177" w:rsidRDefault="0000273D" w:rsidP="0000273D">
      <w:pPr>
        <w:pStyle w:val="a3"/>
        <w:spacing w:line="480" w:lineRule="auto"/>
        <w:jc w:val="both"/>
        <w:rPr>
          <w:rFonts w:ascii="Arial" w:hAnsi="Arial" w:cs="Arial"/>
        </w:rPr>
      </w:pPr>
      <w:r w:rsidRPr="0000273D">
        <w:rPr>
          <w:rFonts w:ascii="Arial" w:hAnsi="Arial" w:cs="Arial"/>
        </w:rPr>
        <w:t xml:space="preserve">All tissues were collected from CRC patients who had undergone surgery at Samsung Medical Center (Seoul, Korea). All primary normal and CRC tumor tissues (six pairs of stage 2 CRC, four pairs of stage 3 CRC, and two stage 4 CRC) and were obtained from </w:t>
      </w:r>
      <w:bookmarkStart w:id="4" w:name="_GoBack"/>
      <w:bookmarkEnd w:id="4"/>
      <w:r w:rsidRPr="0000273D">
        <w:rPr>
          <w:rFonts w:ascii="Arial" w:hAnsi="Arial" w:cs="Arial"/>
        </w:rPr>
        <w:t>surgical resections of CRC patients without any radiotherapy or chemotherapy before surgery. The tissues were pathologically validated and stored in liquid nitrogen until use. All human specimens were approved by the Institutional Review Board of the Samsung Medical Center (IRB approval No. 2021-09-112) with the written informed consent from all patients.</w:t>
      </w:r>
    </w:p>
    <w:p w14:paraId="07964CE5" w14:textId="77777777" w:rsidR="00811177" w:rsidRDefault="00811177" w:rsidP="0000273D">
      <w:pPr>
        <w:pStyle w:val="a3"/>
        <w:spacing w:line="480" w:lineRule="auto"/>
        <w:jc w:val="both"/>
        <w:rPr>
          <w:rFonts w:ascii="Arial" w:hAnsi="Arial" w:cs="Arial"/>
        </w:rPr>
      </w:pPr>
    </w:p>
    <w:p w14:paraId="6CFD68A6" w14:textId="77777777" w:rsidR="00406EFB" w:rsidRPr="00406EFB" w:rsidRDefault="00406EFB" w:rsidP="0000273D">
      <w:pPr>
        <w:pStyle w:val="a3"/>
        <w:spacing w:line="480" w:lineRule="auto"/>
        <w:jc w:val="both"/>
        <w:rPr>
          <w:rFonts w:ascii="Arial" w:hAnsi="Arial" w:cs="Arial"/>
          <w:b/>
          <w:bCs/>
        </w:rPr>
      </w:pPr>
      <w:bookmarkStart w:id="5" w:name="_Hlk178592350"/>
      <w:r w:rsidRPr="00406EFB">
        <w:rPr>
          <w:rFonts w:ascii="Arial" w:hAnsi="Arial" w:cs="Arial" w:hint="eastAsia"/>
          <w:b/>
          <w:bCs/>
        </w:rPr>
        <w:lastRenderedPageBreak/>
        <w:t>Immunofluorescence staining</w:t>
      </w:r>
    </w:p>
    <w:p w14:paraId="21F303AB" w14:textId="08D3C9CD" w:rsidR="00217730" w:rsidRPr="001D3F55" w:rsidRDefault="00406EFB" w:rsidP="0000273D">
      <w:pPr>
        <w:pStyle w:val="a3"/>
        <w:spacing w:line="480" w:lineRule="auto"/>
        <w:jc w:val="both"/>
        <w:rPr>
          <w:rFonts w:ascii="Arial" w:hAnsi="Arial" w:cs="Arial"/>
        </w:rPr>
      </w:pPr>
      <w:r>
        <w:rPr>
          <w:rFonts w:ascii="Arial" w:hAnsi="Arial" w:cs="Arial" w:hint="eastAsia"/>
        </w:rPr>
        <w:t xml:space="preserve">DLD1 cells were transfected with </w:t>
      </w:r>
      <w:r w:rsidRPr="00406EFB">
        <w:rPr>
          <w:rFonts w:ascii="Arial" w:hAnsi="Arial" w:cs="Arial" w:hint="eastAsia"/>
          <w:i/>
          <w:iCs/>
        </w:rPr>
        <w:t>LINC02257</w:t>
      </w:r>
      <w:r>
        <w:rPr>
          <w:rFonts w:ascii="Arial" w:hAnsi="Arial" w:cs="Arial" w:hint="eastAsia"/>
        </w:rPr>
        <w:t xml:space="preserve"> siRNA or overexpression vector, and the equal number of transfected cells was resuspended on cover glass. Cells were fixed with 4% paraformaldehyde for 10 min and permeabilized with 0.1% Triton X-100 for 5 min. After blocking with 1% BSA for 20 min, cells were incubated with anti-YB1 antibody (1:100), washed, and incubated with secondary antibody (</w:t>
      </w:r>
      <w:r w:rsidRPr="00406EFB">
        <w:rPr>
          <w:rFonts w:ascii="Arial" w:hAnsi="Arial" w:cs="Arial"/>
        </w:rPr>
        <w:t>Alexa Flour™ 488 Goat anti-rabbit IgG</w:t>
      </w:r>
      <w:r>
        <w:rPr>
          <w:rFonts w:ascii="Arial" w:hAnsi="Arial" w:cs="Arial" w:hint="eastAsia"/>
        </w:rPr>
        <w:t xml:space="preserve">), Nuclei were stained with DAPI. </w:t>
      </w:r>
      <w:bookmarkEnd w:id="5"/>
      <w:r w:rsidR="00217730" w:rsidRPr="001D3F55">
        <w:rPr>
          <w:rFonts w:ascii="Arial" w:hAnsi="Arial" w:cs="Arial"/>
        </w:rPr>
        <w:br w:type="page"/>
      </w:r>
    </w:p>
    <w:p w14:paraId="1CB59C9B" w14:textId="77777777" w:rsidR="00374691" w:rsidRDefault="00374691" w:rsidP="003B060F">
      <w:pPr>
        <w:spacing w:line="480" w:lineRule="auto"/>
        <w:rPr>
          <w:rFonts w:ascii="Arial" w:hAnsi="Arial" w:cs="Arial"/>
          <w:b/>
          <w:bCs/>
        </w:rPr>
      </w:pPr>
      <w:r>
        <w:rPr>
          <w:rFonts w:ascii="Arial" w:hAnsi="Arial" w:cs="Arial"/>
          <w:b/>
          <w:bCs/>
        </w:rPr>
        <w:lastRenderedPageBreak/>
        <w:t>REFERENCES</w:t>
      </w:r>
    </w:p>
    <w:p w14:paraId="7D1E9C6A" w14:textId="77777777" w:rsidR="00FE4BD9" w:rsidRPr="003B060F" w:rsidRDefault="00FE4BD9" w:rsidP="003B060F">
      <w:pPr>
        <w:spacing w:line="480" w:lineRule="auto"/>
        <w:ind w:left="426" w:hanging="426"/>
        <w:rPr>
          <w:rFonts w:ascii="Arial" w:hAnsi="Arial" w:cs="Arial"/>
          <w:b/>
          <w:bCs/>
        </w:rPr>
      </w:pPr>
    </w:p>
    <w:p w14:paraId="160C9B46" w14:textId="77777777" w:rsidR="005B7D2D" w:rsidRPr="003B060F" w:rsidRDefault="00FE4BD9" w:rsidP="003B060F">
      <w:pPr>
        <w:pStyle w:val="EndNoteBibliography"/>
        <w:spacing w:after="0" w:line="480" w:lineRule="auto"/>
        <w:ind w:left="426" w:hanging="426"/>
        <w:rPr>
          <w:rFonts w:ascii="Arial" w:hAnsi="Arial" w:cs="Arial"/>
        </w:rPr>
      </w:pPr>
      <w:r w:rsidRPr="003B060F">
        <w:rPr>
          <w:rFonts w:ascii="Arial" w:hAnsi="Arial" w:cs="Arial"/>
          <w:b/>
          <w:bCs/>
        </w:rPr>
        <w:fldChar w:fldCharType="begin"/>
      </w:r>
      <w:r w:rsidRPr="003B060F">
        <w:rPr>
          <w:rFonts w:ascii="Arial" w:hAnsi="Arial" w:cs="Arial"/>
          <w:b/>
          <w:bCs/>
        </w:rPr>
        <w:instrText xml:space="preserve"> ADDIN EN.REFLIST </w:instrText>
      </w:r>
      <w:r w:rsidRPr="003B060F">
        <w:rPr>
          <w:rFonts w:ascii="Arial" w:hAnsi="Arial" w:cs="Arial"/>
          <w:b/>
          <w:bCs/>
        </w:rPr>
        <w:fldChar w:fldCharType="separate"/>
      </w:r>
      <w:r w:rsidR="005B7D2D" w:rsidRPr="003B060F">
        <w:rPr>
          <w:rFonts w:ascii="Arial" w:hAnsi="Arial" w:cs="Arial"/>
        </w:rPr>
        <w:t>1.</w:t>
      </w:r>
      <w:r w:rsidR="005B7D2D" w:rsidRPr="003B060F">
        <w:rPr>
          <w:rFonts w:ascii="Arial" w:hAnsi="Arial" w:cs="Arial"/>
        </w:rPr>
        <w:tab/>
        <w:t>Tanikawa, C.</w:t>
      </w:r>
      <w:r w:rsidR="005B7D2D" w:rsidRPr="003B060F">
        <w:rPr>
          <w:rFonts w:ascii="Arial" w:hAnsi="Arial" w:cs="Arial"/>
          <w:i/>
        </w:rPr>
        <w:t>, et al.</w:t>
      </w:r>
      <w:r w:rsidR="005B7D2D" w:rsidRPr="003B060F">
        <w:rPr>
          <w:rFonts w:ascii="Arial" w:hAnsi="Arial" w:cs="Arial"/>
        </w:rPr>
        <w:t xml:space="preserve"> GWAS identifies two novel colorectal cancer loci at 16q24. 1 and 20q13. 12. </w:t>
      </w:r>
      <w:r w:rsidR="005B7D2D" w:rsidRPr="003B060F">
        <w:rPr>
          <w:rFonts w:ascii="Arial" w:hAnsi="Arial" w:cs="Arial"/>
          <w:i/>
        </w:rPr>
        <w:t>Carcinogenesis</w:t>
      </w:r>
      <w:r w:rsidR="005B7D2D" w:rsidRPr="003B060F">
        <w:rPr>
          <w:rFonts w:ascii="Arial" w:hAnsi="Arial" w:cs="Arial"/>
        </w:rPr>
        <w:t xml:space="preserve"> </w:t>
      </w:r>
      <w:r w:rsidR="005B7D2D" w:rsidRPr="003B060F">
        <w:rPr>
          <w:rFonts w:ascii="Arial" w:hAnsi="Arial" w:cs="Arial"/>
          <w:b/>
        </w:rPr>
        <w:t>39</w:t>
      </w:r>
      <w:r w:rsidR="005B7D2D" w:rsidRPr="003B060F">
        <w:rPr>
          <w:rFonts w:ascii="Arial" w:hAnsi="Arial" w:cs="Arial"/>
        </w:rPr>
        <w:t>, 652-660 (2018).</w:t>
      </w:r>
    </w:p>
    <w:p w14:paraId="1BABB9E3"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2.</w:t>
      </w:r>
      <w:r w:rsidRPr="003B060F">
        <w:rPr>
          <w:rFonts w:ascii="Arial" w:hAnsi="Arial" w:cs="Arial"/>
        </w:rPr>
        <w:tab/>
        <w:t>Zhou, W.</w:t>
      </w:r>
      <w:r w:rsidRPr="003B060F">
        <w:rPr>
          <w:rFonts w:ascii="Arial" w:hAnsi="Arial" w:cs="Arial"/>
          <w:i/>
        </w:rPr>
        <w:t>, et al.</w:t>
      </w:r>
      <w:r w:rsidRPr="003B060F">
        <w:rPr>
          <w:rFonts w:ascii="Arial" w:hAnsi="Arial" w:cs="Arial"/>
        </w:rPr>
        <w:t xml:space="preserve"> Efficiently controlling for case-control imbalance and sample relatedness in large-scale genetic association studies. </w:t>
      </w:r>
      <w:r w:rsidRPr="003B060F">
        <w:rPr>
          <w:rFonts w:ascii="Arial" w:hAnsi="Arial" w:cs="Arial"/>
          <w:i/>
        </w:rPr>
        <w:t>Nature genetics</w:t>
      </w:r>
      <w:r w:rsidRPr="003B060F">
        <w:rPr>
          <w:rFonts w:ascii="Arial" w:hAnsi="Arial" w:cs="Arial"/>
        </w:rPr>
        <w:t xml:space="preserve"> </w:t>
      </w:r>
      <w:r w:rsidRPr="003B060F">
        <w:rPr>
          <w:rFonts w:ascii="Arial" w:hAnsi="Arial" w:cs="Arial"/>
          <w:b/>
        </w:rPr>
        <w:t>50</w:t>
      </w:r>
      <w:r w:rsidRPr="003B060F">
        <w:rPr>
          <w:rFonts w:ascii="Arial" w:hAnsi="Arial" w:cs="Arial"/>
        </w:rPr>
        <w:t>, 1335-1341 (2018).</w:t>
      </w:r>
    </w:p>
    <w:p w14:paraId="725DCF7D"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3.</w:t>
      </w:r>
      <w:r w:rsidRPr="003B060F">
        <w:rPr>
          <w:rFonts w:ascii="Arial" w:hAnsi="Arial" w:cs="Arial"/>
        </w:rPr>
        <w:tab/>
        <w:t>Pruim, R.J.</w:t>
      </w:r>
      <w:r w:rsidRPr="003B060F">
        <w:rPr>
          <w:rFonts w:ascii="Arial" w:hAnsi="Arial" w:cs="Arial"/>
          <w:i/>
        </w:rPr>
        <w:t>, et al.</w:t>
      </w:r>
      <w:r w:rsidRPr="003B060F">
        <w:rPr>
          <w:rFonts w:ascii="Arial" w:hAnsi="Arial" w:cs="Arial"/>
        </w:rPr>
        <w:t xml:space="preserve"> LocusZoom: regional visualization of genome-wide association scan results. </w:t>
      </w:r>
      <w:r w:rsidRPr="003B060F">
        <w:rPr>
          <w:rFonts w:ascii="Arial" w:hAnsi="Arial" w:cs="Arial"/>
          <w:i/>
        </w:rPr>
        <w:t>Bioinformatics</w:t>
      </w:r>
      <w:r w:rsidRPr="003B060F">
        <w:rPr>
          <w:rFonts w:ascii="Arial" w:hAnsi="Arial" w:cs="Arial"/>
        </w:rPr>
        <w:t xml:space="preserve"> </w:t>
      </w:r>
      <w:r w:rsidRPr="003B060F">
        <w:rPr>
          <w:rFonts w:ascii="Arial" w:hAnsi="Arial" w:cs="Arial"/>
          <w:b/>
        </w:rPr>
        <w:t>26</w:t>
      </w:r>
      <w:r w:rsidRPr="003B060F">
        <w:rPr>
          <w:rFonts w:ascii="Arial" w:hAnsi="Arial" w:cs="Arial"/>
        </w:rPr>
        <w:t>, 2336-2337 (2010).</w:t>
      </w:r>
    </w:p>
    <w:p w14:paraId="4934F346"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4.</w:t>
      </w:r>
      <w:r w:rsidRPr="003B060F">
        <w:rPr>
          <w:rFonts w:ascii="Arial" w:hAnsi="Arial" w:cs="Arial"/>
        </w:rPr>
        <w:tab/>
        <w:t xml:space="preserve">Ongen, H., Buil, A., Brown, A.A., Dermitzakis, E.T. &amp; Delaneau, O. Fast and efficient QTL mapper for thousands of molecular phenotypes. </w:t>
      </w:r>
      <w:r w:rsidRPr="003B060F">
        <w:rPr>
          <w:rFonts w:ascii="Arial" w:hAnsi="Arial" w:cs="Arial"/>
          <w:i/>
        </w:rPr>
        <w:t>Bioinformatics</w:t>
      </w:r>
      <w:r w:rsidRPr="003B060F">
        <w:rPr>
          <w:rFonts w:ascii="Arial" w:hAnsi="Arial" w:cs="Arial"/>
        </w:rPr>
        <w:t xml:space="preserve"> </w:t>
      </w:r>
      <w:r w:rsidRPr="003B060F">
        <w:rPr>
          <w:rFonts w:ascii="Arial" w:hAnsi="Arial" w:cs="Arial"/>
          <w:b/>
        </w:rPr>
        <w:t>32</w:t>
      </w:r>
      <w:r w:rsidRPr="003B060F">
        <w:rPr>
          <w:rFonts w:ascii="Arial" w:hAnsi="Arial" w:cs="Arial"/>
        </w:rPr>
        <w:t>, 1479-1485 (2016).</w:t>
      </w:r>
    </w:p>
    <w:p w14:paraId="001AB1B8"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5.</w:t>
      </w:r>
      <w:r w:rsidRPr="003B060F">
        <w:rPr>
          <w:rFonts w:ascii="Arial" w:hAnsi="Arial" w:cs="Arial"/>
        </w:rPr>
        <w:tab/>
        <w:t xml:space="preserve">Zhang, B. &amp; Horvath, S. A general framework for weighted gene co-expression network analysis. </w:t>
      </w:r>
      <w:r w:rsidRPr="003B060F">
        <w:rPr>
          <w:rFonts w:ascii="Arial" w:hAnsi="Arial" w:cs="Arial"/>
          <w:i/>
        </w:rPr>
        <w:t>Statistical applications in genetics and molecular biology</w:t>
      </w:r>
      <w:r w:rsidRPr="003B060F">
        <w:rPr>
          <w:rFonts w:ascii="Arial" w:hAnsi="Arial" w:cs="Arial"/>
        </w:rPr>
        <w:t xml:space="preserve"> </w:t>
      </w:r>
      <w:r w:rsidRPr="003B060F">
        <w:rPr>
          <w:rFonts w:ascii="Arial" w:hAnsi="Arial" w:cs="Arial"/>
          <w:b/>
        </w:rPr>
        <w:t>4</w:t>
      </w:r>
      <w:r w:rsidRPr="003B060F">
        <w:rPr>
          <w:rFonts w:ascii="Arial" w:hAnsi="Arial" w:cs="Arial"/>
        </w:rPr>
        <w:t>(2005).</w:t>
      </w:r>
    </w:p>
    <w:p w14:paraId="48F4C2AA"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6.</w:t>
      </w:r>
      <w:r w:rsidRPr="003B060F">
        <w:rPr>
          <w:rFonts w:ascii="Arial" w:hAnsi="Arial" w:cs="Arial"/>
        </w:rPr>
        <w:tab/>
        <w:t>Shannon, P.</w:t>
      </w:r>
      <w:r w:rsidRPr="003B060F">
        <w:rPr>
          <w:rFonts w:ascii="Arial" w:hAnsi="Arial" w:cs="Arial"/>
          <w:i/>
        </w:rPr>
        <w:t>, et al.</w:t>
      </w:r>
      <w:r w:rsidRPr="003B060F">
        <w:rPr>
          <w:rFonts w:ascii="Arial" w:hAnsi="Arial" w:cs="Arial"/>
        </w:rPr>
        <w:t xml:space="preserve"> Cytoscape: a software environment for integrated models of biomolecular interaction networks. </w:t>
      </w:r>
      <w:r w:rsidRPr="003B060F">
        <w:rPr>
          <w:rFonts w:ascii="Arial" w:hAnsi="Arial" w:cs="Arial"/>
          <w:i/>
        </w:rPr>
        <w:t>Genome research</w:t>
      </w:r>
      <w:r w:rsidRPr="003B060F">
        <w:rPr>
          <w:rFonts w:ascii="Arial" w:hAnsi="Arial" w:cs="Arial"/>
        </w:rPr>
        <w:t xml:space="preserve"> </w:t>
      </w:r>
      <w:r w:rsidRPr="003B060F">
        <w:rPr>
          <w:rFonts w:ascii="Arial" w:hAnsi="Arial" w:cs="Arial"/>
          <w:b/>
        </w:rPr>
        <w:t>13</w:t>
      </w:r>
      <w:r w:rsidRPr="003B060F">
        <w:rPr>
          <w:rFonts w:ascii="Arial" w:hAnsi="Arial" w:cs="Arial"/>
        </w:rPr>
        <w:t>, 2498-2504 (2003).</w:t>
      </w:r>
    </w:p>
    <w:p w14:paraId="66D082D8"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7.</w:t>
      </w:r>
      <w:r w:rsidRPr="003B060F">
        <w:rPr>
          <w:rFonts w:ascii="Arial" w:hAnsi="Arial" w:cs="Arial"/>
        </w:rPr>
        <w:tab/>
        <w:t xml:space="preserve">Liao, Y., Wang, J., Jaehnig, E.J., Shi, Z. &amp; Zhang, B. WebGestalt 2019: gene set analysis toolkit with revamped UIs and APIs. </w:t>
      </w:r>
      <w:r w:rsidRPr="003B060F">
        <w:rPr>
          <w:rFonts w:ascii="Arial" w:hAnsi="Arial" w:cs="Arial"/>
          <w:i/>
        </w:rPr>
        <w:t>Nucleic acids research</w:t>
      </w:r>
      <w:r w:rsidRPr="003B060F">
        <w:rPr>
          <w:rFonts w:ascii="Arial" w:hAnsi="Arial" w:cs="Arial"/>
        </w:rPr>
        <w:t xml:space="preserve"> </w:t>
      </w:r>
      <w:r w:rsidRPr="003B060F">
        <w:rPr>
          <w:rFonts w:ascii="Arial" w:hAnsi="Arial" w:cs="Arial"/>
          <w:b/>
        </w:rPr>
        <w:t>47</w:t>
      </w:r>
      <w:r w:rsidRPr="003B060F">
        <w:rPr>
          <w:rFonts w:ascii="Arial" w:hAnsi="Arial" w:cs="Arial"/>
        </w:rPr>
        <w:t>, W199-W205 (2019).</w:t>
      </w:r>
    </w:p>
    <w:p w14:paraId="39D1DD85"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8.</w:t>
      </w:r>
      <w:r w:rsidRPr="003B060F">
        <w:rPr>
          <w:rFonts w:ascii="Arial" w:hAnsi="Arial" w:cs="Arial"/>
        </w:rPr>
        <w:tab/>
        <w:t>Raudvere, U.</w:t>
      </w:r>
      <w:r w:rsidRPr="003B060F">
        <w:rPr>
          <w:rFonts w:ascii="Arial" w:hAnsi="Arial" w:cs="Arial"/>
          <w:i/>
        </w:rPr>
        <w:t>, et al.</w:t>
      </w:r>
      <w:r w:rsidRPr="003B060F">
        <w:rPr>
          <w:rFonts w:ascii="Arial" w:hAnsi="Arial" w:cs="Arial"/>
        </w:rPr>
        <w:t xml:space="preserve"> g: Profiler: a web server for functional enrichment analysis and conversions of gene lists (2019 update). </w:t>
      </w:r>
      <w:r w:rsidRPr="003B060F">
        <w:rPr>
          <w:rFonts w:ascii="Arial" w:hAnsi="Arial" w:cs="Arial"/>
          <w:i/>
        </w:rPr>
        <w:t>Nucleic acids research</w:t>
      </w:r>
      <w:r w:rsidRPr="003B060F">
        <w:rPr>
          <w:rFonts w:ascii="Arial" w:hAnsi="Arial" w:cs="Arial"/>
        </w:rPr>
        <w:t xml:space="preserve"> </w:t>
      </w:r>
      <w:r w:rsidRPr="003B060F">
        <w:rPr>
          <w:rFonts w:ascii="Arial" w:hAnsi="Arial" w:cs="Arial"/>
          <w:b/>
        </w:rPr>
        <w:t>47</w:t>
      </w:r>
      <w:r w:rsidRPr="003B060F">
        <w:rPr>
          <w:rFonts w:ascii="Arial" w:hAnsi="Arial" w:cs="Arial"/>
        </w:rPr>
        <w:t>, W191-W198 (2019).</w:t>
      </w:r>
    </w:p>
    <w:p w14:paraId="0BE3057C"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9.</w:t>
      </w:r>
      <w:r w:rsidRPr="003B060F">
        <w:rPr>
          <w:rFonts w:ascii="Arial" w:hAnsi="Arial" w:cs="Arial"/>
        </w:rPr>
        <w:tab/>
        <w:t>Newman, A.M.</w:t>
      </w:r>
      <w:r w:rsidRPr="003B060F">
        <w:rPr>
          <w:rFonts w:ascii="Arial" w:hAnsi="Arial" w:cs="Arial"/>
          <w:i/>
        </w:rPr>
        <w:t>, et al.</w:t>
      </w:r>
      <w:r w:rsidRPr="003B060F">
        <w:rPr>
          <w:rFonts w:ascii="Arial" w:hAnsi="Arial" w:cs="Arial"/>
        </w:rPr>
        <w:t xml:space="preserve"> Determining cell type abundance and expression from bulk tissues with digital cytometry. </w:t>
      </w:r>
      <w:r w:rsidRPr="003B060F">
        <w:rPr>
          <w:rFonts w:ascii="Arial" w:hAnsi="Arial" w:cs="Arial"/>
          <w:i/>
        </w:rPr>
        <w:t>Nature biotechnology</w:t>
      </w:r>
      <w:r w:rsidRPr="003B060F">
        <w:rPr>
          <w:rFonts w:ascii="Arial" w:hAnsi="Arial" w:cs="Arial"/>
        </w:rPr>
        <w:t xml:space="preserve"> </w:t>
      </w:r>
      <w:r w:rsidRPr="003B060F">
        <w:rPr>
          <w:rFonts w:ascii="Arial" w:hAnsi="Arial" w:cs="Arial"/>
          <w:b/>
        </w:rPr>
        <w:t>37</w:t>
      </w:r>
      <w:r w:rsidRPr="003B060F">
        <w:rPr>
          <w:rFonts w:ascii="Arial" w:hAnsi="Arial" w:cs="Arial"/>
        </w:rPr>
        <w:t>, 773-782 (2019).</w:t>
      </w:r>
    </w:p>
    <w:p w14:paraId="02FF90BE" w14:textId="77777777" w:rsidR="005B7D2D" w:rsidRPr="003B060F" w:rsidRDefault="005B7D2D" w:rsidP="003B060F">
      <w:pPr>
        <w:pStyle w:val="EndNoteBibliography"/>
        <w:spacing w:after="0" w:line="480" w:lineRule="auto"/>
        <w:ind w:left="426" w:hanging="426"/>
        <w:rPr>
          <w:rFonts w:ascii="Arial" w:hAnsi="Arial" w:cs="Arial"/>
        </w:rPr>
      </w:pPr>
      <w:r w:rsidRPr="003B060F">
        <w:rPr>
          <w:rFonts w:ascii="Arial" w:hAnsi="Arial" w:cs="Arial"/>
        </w:rPr>
        <w:t>10.</w:t>
      </w:r>
      <w:r w:rsidRPr="003B060F">
        <w:rPr>
          <w:rFonts w:ascii="Arial" w:hAnsi="Arial" w:cs="Arial"/>
        </w:rPr>
        <w:tab/>
        <w:t>Zhang, L.</w:t>
      </w:r>
      <w:r w:rsidRPr="003B060F">
        <w:rPr>
          <w:rFonts w:ascii="Arial" w:hAnsi="Arial" w:cs="Arial"/>
          <w:i/>
        </w:rPr>
        <w:t>, et al.</w:t>
      </w:r>
      <w:r w:rsidRPr="003B060F">
        <w:rPr>
          <w:rFonts w:ascii="Arial" w:hAnsi="Arial" w:cs="Arial"/>
        </w:rPr>
        <w:t xml:space="preserve"> Single-cell analyses inform mechanisms of myeloid-targeted therapies in colon cancer. </w:t>
      </w:r>
      <w:r w:rsidRPr="003B060F">
        <w:rPr>
          <w:rFonts w:ascii="Arial" w:hAnsi="Arial" w:cs="Arial"/>
          <w:i/>
        </w:rPr>
        <w:t>Cell</w:t>
      </w:r>
      <w:r w:rsidRPr="003B060F">
        <w:rPr>
          <w:rFonts w:ascii="Arial" w:hAnsi="Arial" w:cs="Arial"/>
        </w:rPr>
        <w:t xml:space="preserve"> </w:t>
      </w:r>
      <w:r w:rsidRPr="003B060F">
        <w:rPr>
          <w:rFonts w:ascii="Arial" w:hAnsi="Arial" w:cs="Arial"/>
          <w:b/>
        </w:rPr>
        <w:t>181</w:t>
      </w:r>
      <w:r w:rsidRPr="003B060F">
        <w:rPr>
          <w:rFonts w:ascii="Arial" w:hAnsi="Arial" w:cs="Arial"/>
        </w:rPr>
        <w:t>, 442-459. e429 (2020).</w:t>
      </w:r>
    </w:p>
    <w:p w14:paraId="7E459895" w14:textId="0EAA1821" w:rsidR="00374691" w:rsidRDefault="005B7D2D" w:rsidP="003B060F">
      <w:pPr>
        <w:pStyle w:val="EndNoteBibliography"/>
        <w:spacing w:line="480" w:lineRule="auto"/>
        <w:ind w:left="426" w:hanging="426"/>
        <w:rPr>
          <w:rFonts w:ascii="Arial" w:hAnsi="Arial" w:cs="Arial"/>
          <w:b/>
          <w:bCs/>
        </w:rPr>
      </w:pPr>
      <w:r w:rsidRPr="003B060F">
        <w:rPr>
          <w:rFonts w:ascii="Arial" w:hAnsi="Arial" w:cs="Arial"/>
        </w:rPr>
        <w:t>11.</w:t>
      </w:r>
      <w:r w:rsidRPr="003B060F">
        <w:rPr>
          <w:rFonts w:ascii="Arial" w:hAnsi="Arial" w:cs="Arial"/>
        </w:rPr>
        <w:tab/>
        <w:t>Ji, H.</w:t>
      </w:r>
      <w:r w:rsidRPr="003B060F">
        <w:rPr>
          <w:rFonts w:ascii="Arial" w:hAnsi="Arial" w:cs="Arial"/>
          <w:i/>
        </w:rPr>
        <w:t>, et al.</w:t>
      </w:r>
      <w:r w:rsidRPr="003B060F">
        <w:rPr>
          <w:rFonts w:ascii="Arial" w:hAnsi="Arial" w:cs="Arial"/>
        </w:rPr>
        <w:t xml:space="preserve"> Two circPPFIA1s negatively regulate liver metastasis of colon cancer via miR-155-5p/CDX1 and HuR/RAB36. </w:t>
      </w:r>
      <w:r w:rsidRPr="003B060F">
        <w:rPr>
          <w:rFonts w:ascii="Arial" w:hAnsi="Arial" w:cs="Arial"/>
          <w:i/>
        </w:rPr>
        <w:t>Mol Cancer</w:t>
      </w:r>
      <w:r w:rsidRPr="003B060F">
        <w:rPr>
          <w:rFonts w:ascii="Arial" w:hAnsi="Arial" w:cs="Arial"/>
        </w:rPr>
        <w:t xml:space="preserve"> </w:t>
      </w:r>
      <w:r w:rsidRPr="003B060F">
        <w:rPr>
          <w:rFonts w:ascii="Arial" w:hAnsi="Arial" w:cs="Arial"/>
          <w:b/>
        </w:rPr>
        <w:t>21</w:t>
      </w:r>
      <w:r w:rsidRPr="003B060F">
        <w:rPr>
          <w:rFonts w:ascii="Arial" w:hAnsi="Arial" w:cs="Arial"/>
        </w:rPr>
        <w:t>, 197 (2022).</w:t>
      </w:r>
      <w:r w:rsidR="00FE4BD9" w:rsidRPr="003B060F">
        <w:rPr>
          <w:rFonts w:ascii="Arial" w:hAnsi="Arial" w:cs="Arial"/>
          <w:b/>
          <w:bCs/>
        </w:rPr>
        <w:fldChar w:fldCharType="end"/>
      </w:r>
    </w:p>
    <w:sectPr w:rsidR="00374691" w:rsidSect="000400B5">
      <w:footerReference w:type="default" r:id="rId8"/>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6F611" w14:textId="77777777" w:rsidR="00C5329C" w:rsidRDefault="00C5329C" w:rsidP="00C27D46">
      <w:pPr>
        <w:spacing w:after="0" w:line="240" w:lineRule="auto"/>
      </w:pPr>
      <w:r>
        <w:separator/>
      </w:r>
    </w:p>
  </w:endnote>
  <w:endnote w:type="continuationSeparator" w:id="0">
    <w:p w14:paraId="4DB4CF04" w14:textId="77777777" w:rsidR="00C5329C" w:rsidRDefault="00C5329C" w:rsidP="00C2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398400"/>
      <w:docPartObj>
        <w:docPartGallery w:val="Page Numbers (Bottom of Page)"/>
        <w:docPartUnique/>
      </w:docPartObj>
    </w:sdtPr>
    <w:sdtEndPr>
      <w:rPr>
        <w:noProof/>
      </w:rPr>
    </w:sdtEndPr>
    <w:sdtContent>
      <w:p w14:paraId="12E94311" w14:textId="33270767" w:rsidR="00C27D46" w:rsidRDefault="00C27D46">
        <w:pPr>
          <w:pStyle w:val="a6"/>
          <w:jc w:val="center"/>
        </w:pPr>
        <w:r>
          <w:fldChar w:fldCharType="begin"/>
        </w:r>
        <w:r>
          <w:instrText xml:space="preserve"> PAGE   \* MERGEFORMAT </w:instrText>
        </w:r>
        <w:r>
          <w:fldChar w:fldCharType="separate"/>
        </w:r>
        <w:r w:rsidR="000B355F">
          <w:rPr>
            <w:noProof/>
          </w:rPr>
          <w:t>10</w:t>
        </w:r>
        <w:r>
          <w:rPr>
            <w:noProof/>
          </w:rPr>
          <w:fldChar w:fldCharType="end"/>
        </w:r>
      </w:p>
    </w:sdtContent>
  </w:sdt>
  <w:p w14:paraId="41166C4D" w14:textId="77777777" w:rsidR="00C27D46" w:rsidRDefault="00C27D4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4F0AF" w14:textId="77777777" w:rsidR="00C5329C" w:rsidRDefault="00C5329C" w:rsidP="00C27D46">
      <w:pPr>
        <w:spacing w:after="0" w:line="240" w:lineRule="auto"/>
      </w:pPr>
      <w:r>
        <w:separator/>
      </w:r>
    </w:p>
  </w:footnote>
  <w:footnote w:type="continuationSeparator" w:id="0">
    <w:p w14:paraId="4B08251A" w14:textId="77777777" w:rsidR="00C5329C" w:rsidRDefault="00C5329C" w:rsidP="00C27D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76CF3"/>
    <w:multiLevelType w:val="hybridMultilevel"/>
    <w:tmpl w:val="2FC61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C56FEF"/>
    <w:multiLevelType w:val="hybridMultilevel"/>
    <w:tmpl w:val="777AF7A6"/>
    <w:lvl w:ilvl="0" w:tplc="F606F2E8">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MM_style JW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a0tv9009rvele02ep5ewtvedrvrxerss52&quot;&gt;EndNote Library for Hyeon&lt;record-ids&gt;&lt;item&gt;886&lt;/item&gt;&lt;item&gt;887&lt;/item&gt;&lt;item&gt;1035&lt;/item&gt;&lt;item&gt;1037&lt;/item&gt;&lt;item&gt;1038&lt;/item&gt;&lt;item&gt;1040&lt;/item&gt;&lt;item&gt;1041&lt;/item&gt;&lt;item&gt;1043&lt;/item&gt;&lt;item&gt;1044&lt;/item&gt;&lt;item&gt;1045&lt;/item&gt;&lt;item&gt;1046&lt;/item&gt;&lt;item&gt;1047&lt;/item&gt;&lt;/record-ids&gt;&lt;/item&gt;&lt;/Libraries&gt;"/>
  </w:docVars>
  <w:rsids>
    <w:rsidRoot w:val="00115EF3"/>
    <w:rsid w:val="0000273D"/>
    <w:rsid w:val="0000374F"/>
    <w:rsid w:val="00004226"/>
    <w:rsid w:val="000274A2"/>
    <w:rsid w:val="00037F5D"/>
    <w:rsid w:val="00037F75"/>
    <w:rsid w:val="000400B5"/>
    <w:rsid w:val="000468EF"/>
    <w:rsid w:val="00051167"/>
    <w:rsid w:val="000525C8"/>
    <w:rsid w:val="00052EA6"/>
    <w:rsid w:val="00065720"/>
    <w:rsid w:val="00075FCD"/>
    <w:rsid w:val="00081F4B"/>
    <w:rsid w:val="00085D28"/>
    <w:rsid w:val="00093033"/>
    <w:rsid w:val="000A3CE1"/>
    <w:rsid w:val="000B2A8F"/>
    <w:rsid w:val="000B355F"/>
    <w:rsid w:val="000B7AD8"/>
    <w:rsid w:val="000B7E0C"/>
    <w:rsid w:val="000D40F6"/>
    <w:rsid w:val="000D425E"/>
    <w:rsid w:val="000D4FA9"/>
    <w:rsid w:val="000D7BC4"/>
    <w:rsid w:val="000E06A0"/>
    <w:rsid w:val="000F05F2"/>
    <w:rsid w:val="000F0AA3"/>
    <w:rsid w:val="000F7FE0"/>
    <w:rsid w:val="001011E4"/>
    <w:rsid w:val="00102165"/>
    <w:rsid w:val="001144FE"/>
    <w:rsid w:val="00115EF3"/>
    <w:rsid w:val="001225B1"/>
    <w:rsid w:val="00125AD8"/>
    <w:rsid w:val="00126654"/>
    <w:rsid w:val="00127AF4"/>
    <w:rsid w:val="001301F3"/>
    <w:rsid w:val="00153693"/>
    <w:rsid w:val="00156DC6"/>
    <w:rsid w:val="001756C5"/>
    <w:rsid w:val="00181115"/>
    <w:rsid w:val="00181183"/>
    <w:rsid w:val="001863B6"/>
    <w:rsid w:val="00187562"/>
    <w:rsid w:val="00196DB5"/>
    <w:rsid w:val="001B072D"/>
    <w:rsid w:val="001C05CD"/>
    <w:rsid w:val="001C0F73"/>
    <w:rsid w:val="001C4EAE"/>
    <w:rsid w:val="001D3F55"/>
    <w:rsid w:val="001D6B87"/>
    <w:rsid w:val="001E4E81"/>
    <w:rsid w:val="001E6CE0"/>
    <w:rsid w:val="0020215D"/>
    <w:rsid w:val="00207E54"/>
    <w:rsid w:val="00210667"/>
    <w:rsid w:val="00217730"/>
    <w:rsid w:val="00217CFA"/>
    <w:rsid w:val="002214D2"/>
    <w:rsid w:val="00222364"/>
    <w:rsid w:val="00225BE0"/>
    <w:rsid w:val="002310D3"/>
    <w:rsid w:val="00232AF6"/>
    <w:rsid w:val="00235CE8"/>
    <w:rsid w:val="0024042B"/>
    <w:rsid w:val="00242DBA"/>
    <w:rsid w:val="0024490E"/>
    <w:rsid w:val="00247805"/>
    <w:rsid w:val="00255149"/>
    <w:rsid w:val="00270706"/>
    <w:rsid w:val="00271AD1"/>
    <w:rsid w:val="00276345"/>
    <w:rsid w:val="0029770B"/>
    <w:rsid w:val="002A22D7"/>
    <w:rsid w:val="002A7F82"/>
    <w:rsid w:val="002B1EE6"/>
    <w:rsid w:val="002C428D"/>
    <w:rsid w:val="002D08A8"/>
    <w:rsid w:val="002D7FF7"/>
    <w:rsid w:val="002E6DE2"/>
    <w:rsid w:val="002F40A2"/>
    <w:rsid w:val="00306FF3"/>
    <w:rsid w:val="00311946"/>
    <w:rsid w:val="0031755D"/>
    <w:rsid w:val="003213BB"/>
    <w:rsid w:val="0032555F"/>
    <w:rsid w:val="00326649"/>
    <w:rsid w:val="003313A4"/>
    <w:rsid w:val="00336111"/>
    <w:rsid w:val="003378E2"/>
    <w:rsid w:val="00341AC0"/>
    <w:rsid w:val="0034322C"/>
    <w:rsid w:val="00353A90"/>
    <w:rsid w:val="00374691"/>
    <w:rsid w:val="003747BA"/>
    <w:rsid w:val="00381E77"/>
    <w:rsid w:val="003849B6"/>
    <w:rsid w:val="00385315"/>
    <w:rsid w:val="00387F60"/>
    <w:rsid w:val="00393E5E"/>
    <w:rsid w:val="00395DEC"/>
    <w:rsid w:val="00397F1E"/>
    <w:rsid w:val="003A2ED4"/>
    <w:rsid w:val="003A4FBD"/>
    <w:rsid w:val="003A6EF9"/>
    <w:rsid w:val="003B060F"/>
    <w:rsid w:val="003B2763"/>
    <w:rsid w:val="003B5A3A"/>
    <w:rsid w:val="003D043D"/>
    <w:rsid w:val="003D2CF1"/>
    <w:rsid w:val="003E0A69"/>
    <w:rsid w:val="003E2106"/>
    <w:rsid w:val="003E5A19"/>
    <w:rsid w:val="003F3707"/>
    <w:rsid w:val="003F56DC"/>
    <w:rsid w:val="003F7063"/>
    <w:rsid w:val="00401DAF"/>
    <w:rsid w:val="00401E03"/>
    <w:rsid w:val="0040286E"/>
    <w:rsid w:val="00406CAB"/>
    <w:rsid w:val="00406E7A"/>
    <w:rsid w:val="00406EFB"/>
    <w:rsid w:val="004218C2"/>
    <w:rsid w:val="004222FD"/>
    <w:rsid w:val="00425729"/>
    <w:rsid w:val="004271B7"/>
    <w:rsid w:val="00433B42"/>
    <w:rsid w:val="00435523"/>
    <w:rsid w:val="00444F96"/>
    <w:rsid w:val="00461D23"/>
    <w:rsid w:val="00462FD5"/>
    <w:rsid w:val="004657E5"/>
    <w:rsid w:val="00472BF0"/>
    <w:rsid w:val="00472EAA"/>
    <w:rsid w:val="00472F34"/>
    <w:rsid w:val="00474FD1"/>
    <w:rsid w:val="00475EE6"/>
    <w:rsid w:val="004761A4"/>
    <w:rsid w:val="00476BFA"/>
    <w:rsid w:val="00481EFD"/>
    <w:rsid w:val="004951DF"/>
    <w:rsid w:val="004A23F0"/>
    <w:rsid w:val="004A52D0"/>
    <w:rsid w:val="004B188D"/>
    <w:rsid w:val="004B1DA0"/>
    <w:rsid w:val="004C1580"/>
    <w:rsid w:val="004C79A9"/>
    <w:rsid w:val="004C7A6F"/>
    <w:rsid w:val="004D4646"/>
    <w:rsid w:val="004E0381"/>
    <w:rsid w:val="004E497D"/>
    <w:rsid w:val="004E7AAB"/>
    <w:rsid w:val="004F6292"/>
    <w:rsid w:val="004F796B"/>
    <w:rsid w:val="005055CA"/>
    <w:rsid w:val="0050603B"/>
    <w:rsid w:val="0051726E"/>
    <w:rsid w:val="00524584"/>
    <w:rsid w:val="0052494E"/>
    <w:rsid w:val="00543EFD"/>
    <w:rsid w:val="005442C8"/>
    <w:rsid w:val="005468B9"/>
    <w:rsid w:val="00564489"/>
    <w:rsid w:val="005739D3"/>
    <w:rsid w:val="00574475"/>
    <w:rsid w:val="0058035B"/>
    <w:rsid w:val="00586744"/>
    <w:rsid w:val="00591CF6"/>
    <w:rsid w:val="00595A98"/>
    <w:rsid w:val="00596A36"/>
    <w:rsid w:val="005A2B9E"/>
    <w:rsid w:val="005A405C"/>
    <w:rsid w:val="005A6D8F"/>
    <w:rsid w:val="005A73CE"/>
    <w:rsid w:val="005B5669"/>
    <w:rsid w:val="005B7D2D"/>
    <w:rsid w:val="005C377C"/>
    <w:rsid w:val="005E31C0"/>
    <w:rsid w:val="005E7EE3"/>
    <w:rsid w:val="005F1A38"/>
    <w:rsid w:val="005F4ADB"/>
    <w:rsid w:val="005F5324"/>
    <w:rsid w:val="006006A3"/>
    <w:rsid w:val="00603123"/>
    <w:rsid w:val="00607F95"/>
    <w:rsid w:val="006223C1"/>
    <w:rsid w:val="00632649"/>
    <w:rsid w:val="00633C09"/>
    <w:rsid w:val="00641F89"/>
    <w:rsid w:val="006451D5"/>
    <w:rsid w:val="00645B17"/>
    <w:rsid w:val="00650BD7"/>
    <w:rsid w:val="0065287E"/>
    <w:rsid w:val="00661556"/>
    <w:rsid w:val="00666D11"/>
    <w:rsid w:val="00670693"/>
    <w:rsid w:val="0067167B"/>
    <w:rsid w:val="00671C60"/>
    <w:rsid w:val="00673B6C"/>
    <w:rsid w:val="00676153"/>
    <w:rsid w:val="00682F78"/>
    <w:rsid w:val="00685B29"/>
    <w:rsid w:val="00685B35"/>
    <w:rsid w:val="00687BE8"/>
    <w:rsid w:val="006903CB"/>
    <w:rsid w:val="00694870"/>
    <w:rsid w:val="00694E22"/>
    <w:rsid w:val="00696C96"/>
    <w:rsid w:val="00697327"/>
    <w:rsid w:val="006A0155"/>
    <w:rsid w:val="006A15DF"/>
    <w:rsid w:val="006B1570"/>
    <w:rsid w:val="006B6335"/>
    <w:rsid w:val="006B6786"/>
    <w:rsid w:val="006C01E3"/>
    <w:rsid w:val="006C49A5"/>
    <w:rsid w:val="006C5336"/>
    <w:rsid w:val="006D7861"/>
    <w:rsid w:val="006E2832"/>
    <w:rsid w:val="006E2BB8"/>
    <w:rsid w:val="006E2BEC"/>
    <w:rsid w:val="006E3806"/>
    <w:rsid w:val="006E5E71"/>
    <w:rsid w:val="006E6BF3"/>
    <w:rsid w:val="006F15D7"/>
    <w:rsid w:val="006F477B"/>
    <w:rsid w:val="006F63CB"/>
    <w:rsid w:val="00707DF1"/>
    <w:rsid w:val="00716416"/>
    <w:rsid w:val="0072089B"/>
    <w:rsid w:val="007226D5"/>
    <w:rsid w:val="00727F9C"/>
    <w:rsid w:val="00734599"/>
    <w:rsid w:val="00737A85"/>
    <w:rsid w:val="00744A0B"/>
    <w:rsid w:val="007450DE"/>
    <w:rsid w:val="007455C2"/>
    <w:rsid w:val="007502C8"/>
    <w:rsid w:val="0075177B"/>
    <w:rsid w:val="0075632A"/>
    <w:rsid w:val="00767FFC"/>
    <w:rsid w:val="0077182B"/>
    <w:rsid w:val="007776FA"/>
    <w:rsid w:val="007A1C22"/>
    <w:rsid w:val="007A6955"/>
    <w:rsid w:val="007B56CA"/>
    <w:rsid w:val="007B5D08"/>
    <w:rsid w:val="007B692F"/>
    <w:rsid w:val="007D4A4E"/>
    <w:rsid w:val="007D7412"/>
    <w:rsid w:val="007E25A2"/>
    <w:rsid w:val="007E41B6"/>
    <w:rsid w:val="007F1740"/>
    <w:rsid w:val="007F45EB"/>
    <w:rsid w:val="007F5CD8"/>
    <w:rsid w:val="00807311"/>
    <w:rsid w:val="00810E54"/>
    <w:rsid w:val="00811177"/>
    <w:rsid w:val="00822AAA"/>
    <w:rsid w:val="00827622"/>
    <w:rsid w:val="00830025"/>
    <w:rsid w:val="00831153"/>
    <w:rsid w:val="00842523"/>
    <w:rsid w:val="008429D2"/>
    <w:rsid w:val="00845C8F"/>
    <w:rsid w:val="008469BB"/>
    <w:rsid w:val="00851990"/>
    <w:rsid w:val="00857D41"/>
    <w:rsid w:val="008678BC"/>
    <w:rsid w:val="00872331"/>
    <w:rsid w:val="008834C4"/>
    <w:rsid w:val="008930E0"/>
    <w:rsid w:val="008B72DF"/>
    <w:rsid w:val="008B7A03"/>
    <w:rsid w:val="008C61ED"/>
    <w:rsid w:val="008D6E32"/>
    <w:rsid w:val="008D7F90"/>
    <w:rsid w:val="008E576F"/>
    <w:rsid w:val="008F1424"/>
    <w:rsid w:val="008F2BE7"/>
    <w:rsid w:val="0090140F"/>
    <w:rsid w:val="00904524"/>
    <w:rsid w:val="0090761D"/>
    <w:rsid w:val="00913E1C"/>
    <w:rsid w:val="0091419F"/>
    <w:rsid w:val="009142E7"/>
    <w:rsid w:val="00930793"/>
    <w:rsid w:val="00931A31"/>
    <w:rsid w:val="00940C53"/>
    <w:rsid w:val="00944D2B"/>
    <w:rsid w:val="0095079C"/>
    <w:rsid w:val="009561EB"/>
    <w:rsid w:val="009652B1"/>
    <w:rsid w:val="00973AB7"/>
    <w:rsid w:val="00985342"/>
    <w:rsid w:val="009935C7"/>
    <w:rsid w:val="00997E2E"/>
    <w:rsid w:val="009C147C"/>
    <w:rsid w:val="009C2554"/>
    <w:rsid w:val="009E38EA"/>
    <w:rsid w:val="00A02EFF"/>
    <w:rsid w:val="00A047FB"/>
    <w:rsid w:val="00A11970"/>
    <w:rsid w:val="00A178D2"/>
    <w:rsid w:val="00A268D7"/>
    <w:rsid w:val="00A30BFE"/>
    <w:rsid w:val="00A3340B"/>
    <w:rsid w:val="00A501F9"/>
    <w:rsid w:val="00A54BA8"/>
    <w:rsid w:val="00A61E1C"/>
    <w:rsid w:val="00A74F60"/>
    <w:rsid w:val="00A81030"/>
    <w:rsid w:val="00A91E65"/>
    <w:rsid w:val="00A942E3"/>
    <w:rsid w:val="00AA4714"/>
    <w:rsid w:val="00AA571C"/>
    <w:rsid w:val="00AA7758"/>
    <w:rsid w:val="00AA7DE2"/>
    <w:rsid w:val="00AB5075"/>
    <w:rsid w:val="00AC4349"/>
    <w:rsid w:val="00AC544E"/>
    <w:rsid w:val="00AD55CF"/>
    <w:rsid w:val="00AE2C16"/>
    <w:rsid w:val="00AE6312"/>
    <w:rsid w:val="00B02DE9"/>
    <w:rsid w:val="00B0687D"/>
    <w:rsid w:val="00B17410"/>
    <w:rsid w:val="00B23EC2"/>
    <w:rsid w:val="00B27D30"/>
    <w:rsid w:val="00B34961"/>
    <w:rsid w:val="00B34A72"/>
    <w:rsid w:val="00B4538A"/>
    <w:rsid w:val="00B54652"/>
    <w:rsid w:val="00B5675B"/>
    <w:rsid w:val="00B61771"/>
    <w:rsid w:val="00B61CEE"/>
    <w:rsid w:val="00B702DB"/>
    <w:rsid w:val="00B71E98"/>
    <w:rsid w:val="00B739E3"/>
    <w:rsid w:val="00B74FD6"/>
    <w:rsid w:val="00B7681A"/>
    <w:rsid w:val="00B83B0F"/>
    <w:rsid w:val="00B85B68"/>
    <w:rsid w:val="00B95CF3"/>
    <w:rsid w:val="00BA1543"/>
    <w:rsid w:val="00BA22B1"/>
    <w:rsid w:val="00BA50A7"/>
    <w:rsid w:val="00BA629E"/>
    <w:rsid w:val="00BA7362"/>
    <w:rsid w:val="00BB272E"/>
    <w:rsid w:val="00BB2ABF"/>
    <w:rsid w:val="00BB391B"/>
    <w:rsid w:val="00BB66B3"/>
    <w:rsid w:val="00BC034E"/>
    <w:rsid w:val="00BC0866"/>
    <w:rsid w:val="00BC2648"/>
    <w:rsid w:val="00BC3E60"/>
    <w:rsid w:val="00BC69D3"/>
    <w:rsid w:val="00BD1A3D"/>
    <w:rsid w:val="00BD5D37"/>
    <w:rsid w:val="00BD7AF3"/>
    <w:rsid w:val="00BE02BC"/>
    <w:rsid w:val="00BE0A8E"/>
    <w:rsid w:val="00BE57FF"/>
    <w:rsid w:val="00BE73B3"/>
    <w:rsid w:val="00BE7A75"/>
    <w:rsid w:val="00BF2F26"/>
    <w:rsid w:val="00BF47EB"/>
    <w:rsid w:val="00BF50AA"/>
    <w:rsid w:val="00C00604"/>
    <w:rsid w:val="00C119C9"/>
    <w:rsid w:val="00C126BF"/>
    <w:rsid w:val="00C20E9E"/>
    <w:rsid w:val="00C25C02"/>
    <w:rsid w:val="00C264CB"/>
    <w:rsid w:val="00C27D46"/>
    <w:rsid w:val="00C361E2"/>
    <w:rsid w:val="00C37361"/>
    <w:rsid w:val="00C37942"/>
    <w:rsid w:val="00C422F8"/>
    <w:rsid w:val="00C44923"/>
    <w:rsid w:val="00C45AD9"/>
    <w:rsid w:val="00C46397"/>
    <w:rsid w:val="00C5329C"/>
    <w:rsid w:val="00C57AFC"/>
    <w:rsid w:val="00C64A06"/>
    <w:rsid w:val="00C703A9"/>
    <w:rsid w:val="00C82822"/>
    <w:rsid w:val="00C86D02"/>
    <w:rsid w:val="00C965B5"/>
    <w:rsid w:val="00CA0734"/>
    <w:rsid w:val="00CA0E53"/>
    <w:rsid w:val="00CA2A93"/>
    <w:rsid w:val="00CA6454"/>
    <w:rsid w:val="00CA7324"/>
    <w:rsid w:val="00CB7A19"/>
    <w:rsid w:val="00CC3F88"/>
    <w:rsid w:val="00CC7F4E"/>
    <w:rsid w:val="00CD2DFF"/>
    <w:rsid w:val="00CE17D3"/>
    <w:rsid w:val="00CE2030"/>
    <w:rsid w:val="00CF5D3D"/>
    <w:rsid w:val="00D10EE4"/>
    <w:rsid w:val="00D14777"/>
    <w:rsid w:val="00D20661"/>
    <w:rsid w:val="00D206F3"/>
    <w:rsid w:val="00D22D03"/>
    <w:rsid w:val="00D23FCE"/>
    <w:rsid w:val="00D275D9"/>
    <w:rsid w:val="00D33112"/>
    <w:rsid w:val="00D3467D"/>
    <w:rsid w:val="00D44000"/>
    <w:rsid w:val="00D4694F"/>
    <w:rsid w:val="00D46F03"/>
    <w:rsid w:val="00D55B59"/>
    <w:rsid w:val="00D563D5"/>
    <w:rsid w:val="00D61787"/>
    <w:rsid w:val="00D62525"/>
    <w:rsid w:val="00D63666"/>
    <w:rsid w:val="00D64CE8"/>
    <w:rsid w:val="00D65698"/>
    <w:rsid w:val="00D91F4C"/>
    <w:rsid w:val="00D94D54"/>
    <w:rsid w:val="00DA3341"/>
    <w:rsid w:val="00DA60DC"/>
    <w:rsid w:val="00DB265E"/>
    <w:rsid w:val="00DB6F64"/>
    <w:rsid w:val="00DC7EFD"/>
    <w:rsid w:val="00DD29CA"/>
    <w:rsid w:val="00DD2B36"/>
    <w:rsid w:val="00DD7D2D"/>
    <w:rsid w:val="00DE02F1"/>
    <w:rsid w:val="00DE0A5B"/>
    <w:rsid w:val="00DE7681"/>
    <w:rsid w:val="00DF0F0F"/>
    <w:rsid w:val="00DF1A13"/>
    <w:rsid w:val="00DF247D"/>
    <w:rsid w:val="00DF33CC"/>
    <w:rsid w:val="00DF4C9C"/>
    <w:rsid w:val="00E0185F"/>
    <w:rsid w:val="00E06BC7"/>
    <w:rsid w:val="00E110D7"/>
    <w:rsid w:val="00E13DF2"/>
    <w:rsid w:val="00E15591"/>
    <w:rsid w:val="00E17B5D"/>
    <w:rsid w:val="00E203A6"/>
    <w:rsid w:val="00E20977"/>
    <w:rsid w:val="00E211D5"/>
    <w:rsid w:val="00E35429"/>
    <w:rsid w:val="00E42E42"/>
    <w:rsid w:val="00E45E83"/>
    <w:rsid w:val="00E4748E"/>
    <w:rsid w:val="00E61225"/>
    <w:rsid w:val="00E70464"/>
    <w:rsid w:val="00E708A6"/>
    <w:rsid w:val="00E730D2"/>
    <w:rsid w:val="00E76CC7"/>
    <w:rsid w:val="00E84E1A"/>
    <w:rsid w:val="00EA2B0E"/>
    <w:rsid w:val="00EA56CE"/>
    <w:rsid w:val="00EA5AB3"/>
    <w:rsid w:val="00EB03AF"/>
    <w:rsid w:val="00EB0C06"/>
    <w:rsid w:val="00EC37D8"/>
    <w:rsid w:val="00ED15EB"/>
    <w:rsid w:val="00ED3342"/>
    <w:rsid w:val="00ED4C8B"/>
    <w:rsid w:val="00EE40DE"/>
    <w:rsid w:val="00EF3B26"/>
    <w:rsid w:val="00EF7FAD"/>
    <w:rsid w:val="00F24184"/>
    <w:rsid w:val="00F248C2"/>
    <w:rsid w:val="00F2677C"/>
    <w:rsid w:val="00F30AD1"/>
    <w:rsid w:val="00F37595"/>
    <w:rsid w:val="00F37EC3"/>
    <w:rsid w:val="00F47AA9"/>
    <w:rsid w:val="00F52B68"/>
    <w:rsid w:val="00F5665B"/>
    <w:rsid w:val="00F71653"/>
    <w:rsid w:val="00F767DA"/>
    <w:rsid w:val="00F775A0"/>
    <w:rsid w:val="00F84F63"/>
    <w:rsid w:val="00F94C92"/>
    <w:rsid w:val="00F977B6"/>
    <w:rsid w:val="00FA062A"/>
    <w:rsid w:val="00FA4654"/>
    <w:rsid w:val="00FA5B41"/>
    <w:rsid w:val="00FB1609"/>
    <w:rsid w:val="00FB3F37"/>
    <w:rsid w:val="00FB4904"/>
    <w:rsid w:val="00FE123D"/>
    <w:rsid w:val="00FE4BD9"/>
    <w:rsid w:val="00FE71F2"/>
    <w:rsid w:val="00FF48E2"/>
    <w:rsid w:val="00FF5BAA"/>
    <w:rsid w:val="00FF6B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27BDD"/>
  <w15:docId w15:val="{2DC9D3AB-05EE-4CBF-9BF7-E1D661B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BF2F26"/>
    <w:pPr>
      <w:spacing w:after="0" w:line="240" w:lineRule="auto"/>
    </w:pPr>
  </w:style>
  <w:style w:type="character" w:customStyle="1" w:styleId="Char">
    <w:name w:val="간격 없음 Char"/>
    <w:basedOn w:val="a0"/>
    <w:link w:val="a3"/>
    <w:uiPriority w:val="1"/>
    <w:rsid w:val="00827622"/>
  </w:style>
  <w:style w:type="character" w:styleId="a4">
    <w:name w:val="Hyperlink"/>
    <w:basedOn w:val="a0"/>
    <w:uiPriority w:val="99"/>
    <w:unhideWhenUsed/>
    <w:rsid w:val="00DF33CC"/>
    <w:rPr>
      <w:color w:val="0563C1" w:themeColor="hyperlink"/>
      <w:u w:val="single"/>
    </w:rPr>
  </w:style>
  <w:style w:type="character" w:customStyle="1" w:styleId="1">
    <w:name w:val="확인되지 않은 멘션1"/>
    <w:basedOn w:val="a0"/>
    <w:uiPriority w:val="99"/>
    <w:semiHidden/>
    <w:unhideWhenUsed/>
    <w:rsid w:val="00DF33CC"/>
    <w:rPr>
      <w:color w:val="605E5C"/>
      <w:shd w:val="clear" w:color="auto" w:fill="E1DFDD"/>
    </w:rPr>
  </w:style>
  <w:style w:type="paragraph" w:customStyle="1" w:styleId="EndNoteBibliographyTitle">
    <w:name w:val="EndNote Bibliography Title"/>
    <w:basedOn w:val="a"/>
    <w:link w:val="EndNoteBibliographyTitleChar"/>
    <w:rsid w:val="004222FD"/>
    <w:pPr>
      <w:spacing w:after="0"/>
      <w:jc w:val="center"/>
    </w:pPr>
    <w:rPr>
      <w:rFonts w:ascii="Calibri" w:hAnsi="Calibri" w:cs="Calibri"/>
      <w:noProof/>
    </w:rPr>
  </w:style>
  <w:style w:type="character" w:customStyle="1" w:styleId="EndNoteBibliographyTitleChar">
    <w:name w:val="EndNote Bibliography Title Char"/>
    <w:basedOn w:val="Char"/>
    <w:link w:val="EndNoteBibliographyTitle"/>
    <w:rsid w:val="004222FD"/>
    <w:rPr>
      <w:rFonts w:ascii="Calibri" w:hAnsi="Calibri" w:cs="Calibri"/>
      <w:noProof/>
    </w:rPr>
  </w:style>
  <w:style w:type="paragraph" w:customStyle="1" w:styleId="EndNoteBibliography">
    <w:name w:val="EndNote Bibliography"/>
    <w:basedOn w:val="a"/>
    <w:link w:val="EndNoteBibliographyChar"/>
    <w:rsid w:val="004222FD"/>
    <w:pPr>
      <w:spacing w:line="240" w:lineRule="auto"/>
      <w:jc w:val="both"/>
    </w:pPr>
    <w:rPr>
      <w:rFonts w:ascii="Calibri" w:hAnsi="Calibri" w:cs="Calibri"/>
      <w:noProof/>
    </w:rPr>
  </w:style>
  <w:style w:type="character" w:customStyle="1" w:styleId="EndNoteBibliographyChar">
    <w:name w:val="EndNote Bibliography Char"/>
    <w:basedOn w:val="Char"/>
    <w:link w:val="EndNoteBibliography"/>
    <w:rsid w:val="004222FD"/>
    <w:rPr>
      <w:rFonts w:ascii="Calibri" w:hAnsi="Calibri" w:cs="Calibri"/>
      <w:noProof/>
    </w:rPr>
  </w:style>
  <w:style w:type="paragraph" w:styleId="a5">
    <w:name w:val="header"/>
    <w:basedOn w:val="a"/>
    <w:link w:val="Char0"/>
    <w:uiPriority w:val="99"/>
    <w:unhideWhenUsed/>
    <w:rsid w:val="00C27D46"/>
    <w:pPr>
      <w:tabs>
        <w:tab w:val="center" w:pos="4680"/>
        <w:tab w:val="right" w:pos="9360"/>
      </w:tabs>
      <w:spacing w:after="0" w:line="240" w:lineRule="auto"/>
    </w:pPr>
  </w:style>
  <w:style w:type="character" w:customStyle="1" w:styleId="Char0">
    <w:name w:val="머리글 Char"/>
    <w:basedOn w:val="a0"/>
    <w:link w:val="a5"/>
    <w:uiPriority w:val="99"/>
    <w:rsid w:val="00C27D46"/>
  </w:style>
  <w:style w:type="paragraph" w:styleId="a6">
    <w:name w:val="footer"/>
    <w:basedOn w:val="a"/>
    <w:link w:val="Char1"/>
    <w:uiPriority w:val="99"/>
    <w:unhideWhenUsed/>
    <w:rsid w:val="00C27D46"/>
    <w:pPr>
      <w:tabs>
        <w:tab w:val="center" w:pos="4680"/>
        <w:tab w:val="right" w:pos="9360"/>
      </w:tabs>
      <w:spacing w:after="0" w:line="240" w:lineRule="auto"/>
    </w:pPr>
  </w:style>
  <w:style w:type="character" w:customStyle="1" w:styleId="Char1">
    <w:name w:val="바닥글 Char"/>
    <w:basedOn w:val="a0"/>
    <w:link w:val="a6"/>
    <w:uiPriority w:val="99"/>
    <w:rsid w:val="00C27D46"/>
  </w:style>
  <w:style w:type="character" w:styleId="a7">
    <w:name w:val="line number"/>
    <w:basedOn w:val="a0"/>
    <w:uiPriority w:val="99"/>
    <w:semiHidden/>
    <w:unhideWhenUsed/>
    <w:rsid w:val="00C27D46"/>
  </w:style>
  <w:style w:type="character" w:styleId="a8">
    <w:name w:val="page number"/>
    <w:basedOn w:val="a0"/>
    <w:uiPriority w:val="99"/>
    <w:semiHidden/>
    <w:unhideWhenUsed/>
    <w:rsid w:val="0090140F"/>
  </w:style>
  <w:style w:type="character" w:styleId="a9">
    <w:name w:val="Emphasis"/>
    <w:basedOn w:val="a0"/>
    <w:uiPriority w:val="20"/>
    <w:qFormat/>
    <w:rsid w:val="00D147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A319F-DEB3-4441-BBB3-735EA8067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11</Pages>
  <Words>4331</Words>
  <Characters>24687</Characters>
  <Application>Microsoft Office Word</Application>
  <DocSecurity>0</DocSecurity>
  <Lines>205</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Hyeon Ho Kim</dc:creator>
  <cp:keywords/>
  <dc:description/>
  <cp:lastModifiedBy>Hyeon Ho Kim</cp:lastModifiedBy>
  <cp:revision>18</cp:revision>
  <dcterms:created xsi:type="dcterms:W3CDTF">2024-09-09T08:13:00Z</dcterms:created>
  <dcterms:modified xsi:type="dcterms:W3CDTF">2024-10-10T08:44:00Z</dcterms:modified>
</cp:coreProperties>
</file>