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CDE" w:rsidRPr="00F54CDE" w:rsidRDefault="00F54CDE" w:rsidP="00F54CD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S</w:t>
      </w:r>
      <w:r w:rsidRPr="00F54CD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upplementary figure and table legends</w:t>
      </w:r>
    </w:p>
    <w:bookmarkEnd w:id="0"/>
    <w:p w:rsidR="00F54CDE" w:rsidRDefault="00F54CDE" w:rsidP="00F54CDE">
      <w:pPr>
        <w:rPr>
          <w:rFonts w:ascii="Times New Roman" w:hAnsi="Times New Roman"/>
          <w:sz w:val="22"/>
        </w:rPr>
      </w:pPr>
    </w:p>
    <w:p w:rsidR="00F54CDE" w:rsidRPr="00F54CDE" w:rsidRDefault="00F54CDE" w:rsidP="00F54CDE">
      <w:pPr>
        <w:rPr>
          <w:rFonts w:ascii="Times New Roman" w:hAnsi="Times New Roman"/>
          <w:b/>
          <w:sz w:val="22"/>
        </w:rPr>
      </w:pPr>
      <w:r w:rsidRPr="00F54CDE">
        <w:rPr>
          <w:rFonts w:ascii="Times New Roman" w:hAnsi="Times New Roman"/>
          <w:b/>
          <w:sz w:val="22"/>
        </w:rPr>
        <w:t xml:space="preserve">Suppl. Figure 1. MAGI3 emerges as a novel prognostic marker in </w:t>
      </w:r>
      <w:proofErr w:type="spellStart"/>
      <w:r w:rsidRPr="00F54CDE">
        <w:rPr>
          <w:rFonts w:ascii="Times New Roman" w:hAnsi="Times New Roman"/>
          <w:b/>
          <w:sz w:val="22"/>
        </w:rPr>
        <w:t>ccRCC</w:t>
      </w:r>
      <w:proofErr w:type="spellEnd"/>
      <w:r w:rsidRPr="00F54CDE">
        <w:rPr>
          <w:rFonts w:ascii="Times New Roman" w:hAnsi="Times New Roman"/>
          <w:b/>
          <w:sz w:val="22"/>
        </w:rPr>
        <w:t xml:space="preserve"> and participates in MAPK signaling.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>A.</w:t>
      </w:r>
      <w:r w:rsidRPr="00F54CDE">
        <w:rPr>
          <w:rFonts w:ascii="Times New Roman" w:hAnsi="Times New Roman"/>
          <w:sz w:val="22"/>
        </w:rPr>
        <w:t xml:space="preserve"> Venn diagram illustrating common DEGs identified in four independent </w:t>
      </w:r>
      <w:proofErr w:type="spellStart"/>
      <w:r w:rsidRPr="00F54CDE">
        <w:rPr>
          <w:rFonts w:ascii="Times New Roman" w:hAnsi="Times New Roman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cohorts through mRNA expression profiling of tumor and normal renal tissue. 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>B.</w:t>
      </w:r>
      <w:r w:rsidRPr="00F54CDE">
        <w:rPr>
          <w:rFonts w:ascii="Times New Roman" w:hAnsi="Times New Roman"/>
          <w:sz w:val="22"/>
        </w:rPr>
        <w:t xml:space="preserve"> KEGG pathway enrichment analysis of the DEGs using the DAVID bioinformatics database. 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>C.</w:t>
      </w:r>
      <w:r w:rsidRPr="00F54CDE">
        <w:rPr>
          <w:rFonts w:ascii="Times New Roman" w:hAnsi="Times New Roman"/>
          <w:sz w:val="22"/>
        </w:rPr>
        <w:t xml:space="preserve"> Hazard ration of MAPK-related genes based on mRNA expression in </w:t>
      </w:r>
      <w:proofErr w:type="spellStart"/>
      <w:r w:rsidRPr="00F54CDE">
        <w:rPr>
          <w:rFonts w:ascii="Times New Roman" w:hAnsi="Times New Roman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patients from TCGA analyzed for overall survival (OS). 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 xml:space="preserve">D, E. </w:t>
      </w:r>
      <w:r w:rsidRPr="00F54CDE">
        <w:rPr>
          <w:rFonts w:ascii="Times New Roman" w:hAnsi="Times New Roman"/>
          <w:sz w:val="22"/>
        </w:rPr>
        <w:t xml:space="preserve">Comparison of MAGI3 mRNA expression levels in </w:t>
      </w:r>
      <w:proofErr w:type="spellStart"/>
      <w:r w:rsidRPr="00F54CDE">
        <w:rPr>
          <w:rFonts w:ascii="Times New Roman" w:hAnsi="Times New Roman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specimens to normal tissues from GSE16449 (D) and GSE53757 (E). 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 xml:space="preserve">F. </w:t>
      </w:r>
      <w:r w:rsidRPr="00F54CDE">
        <w:rPr>
          <w:rFonts w:ascii="Times New Roman" w:hAnsi="Times New Roman"/>
          <w:sz w:val="22"/>
        </w:rPr>
        <w:t xml:space="preserve">Evaluation of MAGI3 mRNA expression levels in </w:t>
      </w:r>
      <w:proofErr w:type="spellStart"/>
      <w:r w:rsidRPr="00F54CDE">
        <w:rPr>
          <w:rFonts w:ascii="Times New Roman" w:hAnsi="Times New Roman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specimens compared to paired normal tissues from GSE66271. </w:t>
      </w:r>
    </w:p>
    <w:p w:rsid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sz w:val="22"/>
        </w:rPr>
        <w:t>Data presented as mean ± SEM, with statistical significance calculated using the paired t-test. ***, P &lt; 0.001.</w:t>
      </w:r>
    </w:p>
    <w:p w:rsidR="00F54CDE" w:rsidRDefault="00F54CDE" w:rsidP="00F54CDE">
      <w:pPr>
        <w:rPr>
          <w:rFonts w:ascii="Times New Roman" w:hAnsi="Times New Roman"/>
          <w:sz w:val="22"/>
        </w:rPr>
      </w:pPr>
    </w:p>
    <w:p w:rsidR="00F54CDE" w:rsidRPr="00F54CDE" w:rsidRDefault="00F54CDE" w:rsidP="00F54CDE">
      <w:pPr>
        <w:rPr>
          <w:rFonts w:ascii="Times New Roman" w:hAnsi="Times New Roman"/>
          <w:b/>
          <w:sz w:val="22"/>
        </w:rPr>
      </w:pPr>
      <w:r w:rsidRPr="00F54CDE">
        <w:rPr>
          <w:rFonts w:ascii="Times New Roman" w:hAnsi="Times New Roman"/>
          <w:b/>
          <w:sz w:val="22"/>
        </w:rPr>
        <w:t xml:space="preserve">Suppl. Figure 2. The significant association of MAGI3 with tumor proliferation in </w:t>
      </w:r>
      <w:proofErr w:type="spellStart"/>
      <w:r w:rsidRPr="00F54CDE">
        <w:rPr>
          <w:rFonts w:ascii="Times New Roman" w:hAnsi="Times New Roman"/>
          <w:b/>
          <w:sz w:val="22"/>
        </w:rPr>
        <w:t>ccRCC</w:t>
      </w:r>
      <w:proofErr w:type="spellEnd"/>
      <w:r w:rsidRPr="00F54CDE">
        <w:rPr>
          <w:rFonts w:ascii="Times New Roman" w:hAnsi="Times New Roman"/>
          <w:b/>
          <w:sz w:val="22"/>
        </w:rPr>
        <w:t>.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>A.</w:t>
      </w:r>
      <w:r w:rsidRPr="00F54CDE">
        <w:rPr>
          <w:rFonts w:ascii="Times New Roman" w:hAnsi="Times New Roman"/>
          <w:sz w:val="22"/>
        </w:rPr>
        <w:t xml:space="preserve"> GSEA enrichment plots exhibit significant activation of epithelial cell proliferation pathways in </w:t>
      </w:r>
      <w:proofErr w:type="spellStart"/>
      <w:r w:rsidRPr="00F54CDE">
        <w:rPr>
          <w:rFonts w:ascii="Times New Roman" w:hAnsi="Times New Roman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specimens with middle-low (M/L) MAGI3 expression from the TCGA </w:t>
      </w:r>
      <w:proofErr w:type="spellStart"/>
      <w:r w:rsidRPr="00F54CDE">
        <w:rPr>
          <w:rFonts w:ascii="Times New Roman" w:hAnsi="Times New Roman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dataset. 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 xml:space="preserve">B. </w:t>
      </w:r>
      <w:r w:rsidRPr="00F54CDE">
        <w:rPr>
          <w:rFonts w:ascii="Times New Roman" w:hAnsi="Times New Roman"/>
          <w:sz w:val="22"/>
        </w:rPr>
        <w:t xml:space="preserve">Tumor lengths were notably different between TCGA </w:t>
      </w:r>
      <w:proofErr w:type="spellStart"/>
      <w:r w:rsidRPr="00F54CDE">
        <w:rPr>
          <w:rFonts w:ascii="Times New Roman" w:hAnsi="Times New Roman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patients with M/L and high MAGI3 expression, assessed through t-test analysis (****, P &lt; 0.0001). </w:t>
      </w:r>
    </w:p>
    <w:p w:rsid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>C.</w:t>
      </w:r>
      <w:r w:rsidRPr="00F54CDE">
        <w:rPr>
          <w:rFonts w:ascii="Times New Roman" w:hAnsi="Times New Roman"/>
          <w:sz w:val="22"/>
        </w:rPr>
        <w:t xml:space="preserve"> MAGI3 overexpression induces cell cycle arrest. Cell cycle arrest at the G1-S transition in 786-O cells is illustrated by flow cytometry assay following MAGI3 overexpression.</w:t>
      </w:r>
    </w:p>
    <w:p w:rsidR="00F54CDE" w:rsidRDefault="00F54CDE" w:rsidP="00F54CDE">
      <w:pPr>
        <w:rPr>
          <w:rFonts w:ascii="Times New Roman" w:hAnsi="Times New Roman"/>
          <w:sz w:val="22"/>
        </w:rPr>
      </w:pPr>
    </w:p>
    <w:p w:rsidR="00F54CDE" w:rsidRPr="00F54CDE" w:rsidRDefault="00F54CDE" w:rsidP="00F54CDE">
      <w:pPr>
        <w:rPr>
          <w:rFonts w:ascii="Times New Roman" w:hAnsi="Times New Roman"/>
          <w:b/>
          <w:sz w:val="22"/>
        </w:rPr>
      </w:pPr>
      <w:r w:rsidRPr="00F54CDE">
        <w:rPr>
          <w:rFonts w:ascii="Times New Roman" w:hAnsi="Times New Roman"/>
          <w:b/>
          <w:sz w:val="22"/>
        </w:rPr>
        <w:t>Suppl. Figure 3. MAGI3 inhibits the activation of the ERK pathway through its interaction with MAS.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>A.</w:t>
      </w:r>
      <w:r w:rsidRPr="00F54CDE">
        <w:rPr>
          <w:rFonts w:ascii="Times New Roman" w:hAnsi="Times New Roman"/>
          <w:sz w:val="22"/>
        </w:rPr>
        <w:t xml:space="preserve"> GSEA enrichment plots reveal significant activation of ERK pathways in </w:t>
      </w:r>
      <w:proofErr w:type="spellStart"/>
      <w:r w:rsidRPr="00F54CDE">
        <w:rPr>
          <w:rFonts w:ascii="Times New Roman" w:hAnsi="Times New Roman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specimens with middle-low (M/L) MAGI3 expression from the TCGA </w:t>
      </w:r>
      <w:proofErr w:type="spellStart"/>
      <w:r w:rsidRPr="00F54CDE">
        <w:rPr>
          <w:rFonts w:ascii="Times New Roman" w:hAnsi="Times New Roman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dataset. 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>B.</w:t>
      </w:r>
      <w:r w:rsidRPr="00F54CDE">
        <w:rPr>
          <w:rFonts w:ascii="Times New Roman" w:hAnsi="Times New Roman"/>
          <w:sz w:val="22"/>
        </w:rPr>
        <w:t xml:space="preserve"> Quantification of </w:t>
      </w:r>
      <w:proofErr w:type="spellStart"/>
      <w:r w:rsidRPr="00F54CDE">
        <w:rPr>
          <w:rFonts w:ascii="Times New Roman" w:hAnsi="Times New Roman"/>
          <w:sz w:val="22"/>
        </w:rPr>
        <w:t>pERK</w:t>
      </w:r>
      <w:proofErr w:type="spellEnd"/>
      <w:r w:rsidRPr="00F54CDE">
        <w:rPr>
          <w:rFonts w:ascii="Times New Roman" w:hAnsi="Times New Roman"/>
          <w:sz w:val="22"/>
        </w:rPr>
        <w:t>/GAPDH in Figure 4A.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>C.</w:t>
      </w:r>
      <w:r w:rsidRPr="00F54CDE">
        <w:rPr>
          <w:rFonts w:ascii="Times New Roman" w:hAnsi="Times New Roman"/>
          <w:sz w:val="22"/>
        </w:rPr>
        <w:t xml:space="preserve"> Quantification of </w:t>
      </w:r>
      <w:proofErr w:type="spellStart"/>
      <w:r w:rsidRPr="00F54CDE">
        <w:rPr>
          <w:rFonts w:ascii="Times New Roman" w:hAnsi="Times New Roman"/>
          <w:sz w:val="22"/>
        </w:rPr>
        <w:t>pERK</w:t>
      </w:r>
      <w:proofErr w:type="spellEnd"/>
      <w:r w:rsidRPr="00F54CDE">
        <w:rPr>
          <w:rFonts w:ascii="Times New Roman" w:hAnsi="Times New Roman"/>
          <w:sz w:val="22"/>
        </w:rPr>
        <w:t>/GAPDH in Figure 4B.</w:t>
      </w:r>
    </w:p>
    <w:p w:rsid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>D.</w:t>
      </w:r>
      <w:r w:rsidRPr="00F54CDE">
        <w:rPr>
          <w:rFonts w:ascii="Times New Roman" w:hAnsi="Times New Roman"/>
          <w:sz w:val="22"/>
        </w:rPr>
        <w:t xml:space="preserve"> Overexpression of MAGI3 reduced phospho-ERK levels in cells transfected with the MAS WT but not the MAS V325A mutant. </w:t>
      </w:r>
    </w:p>
    <w:p w:rsid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sz w:val="22"/>
        </w:rPr>
        <w:t>Data is presented as mean ± SEM, with statistical significance determined using an unpaired t-test. ** indicates significance at P &lt; 0.01; NS indicates non-significance.</w:t>
      </w:r>
    </w:p>
    <w:p w:rsidR="00F54CDE" w:rsidRDefault="00F54CDE" w:rsidP="00F54CDE">
      <w:pPr>
        <w:rPr>
          <w:rFonts w:ascii="Times New Roman" w:hAnsi="Times New Roman"/>
          <w:sz w:val="22"/>
        </w:rPr>
      </w:pPr>
    </w:p>
    <w:p w:rsidR="00F54CDE" w:rsidRPr="00F54CDE" w:rsidRDefault="00F54CDE" w:rsidP="00F54CDE">
      <w:pPr>
        <w:rPr>
          <w:rFonts w:ascii="Times New Roman" w:hAnsi="Times New Roman"/>
          <w:b/>
          <w:sz w:val="22"/>
        </w:rPr>
      </w:pPr>
      <w:r w:rsidRPr="00F54CDE">
        <w:rPr>
          <w:rFonts w:ascii="Times New Roman" w:hAnsi="Times New Roman"/>
          <w:b/>
          <w:sz w:val="22"/>
        </w:rPr>
        <w:t xml:space="preserve">Suppl. Figure 4. MAGI3 is downregulated in Sunitinib-resistant renal clear cell carcinoma cell lines, and has no prognostic significance for other subtypes of renal cancer patients. 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 xml:space="preserve">A. </w:t>
      </w:r>
      <w:r w:rsidRPr="00F54CDE">
        <w:rPr>
          <w:rFonts w:ascii="Times New Roman" w:hAnsi="Times New Roman"/>
          <w:sz w:val="22"/>
        </w:rPr>
        <w:t xml:space="preserve">Significant downregulation of MAGI3 mRNA in sunitinib-resistant </w:t>
      </w:r>
      <w:proofErr w:type="spellStart"/>
      <w:r w:rsidRPr="00F54CDE">
        <w:rPr>
          <w:rFonts w:ascii="Times New Roman" w:hAnsi="Times New Roman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786-O cell line (GSE64052). Mean ± SEM. Two-tailed unpaired t-test. ***p &lt; 0.001.</w:t>
      </w:r>
    </w:p>
    <w:p w:rsid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b/>
          <w:sz w:val="22"/>
        </w:rPr>
        <w:t>B.</w:t>
      </w:r>
      <w:r w:rsidRPr="00F54CDE">
        <w:rPr>
          <w:rFonts w:ascii="Times New Roman" w:hAnsi="Times New Roman"/>
          <w:sz w:val="22"/>
        </w:rPr>
        <w:t xml:space="preserve"> KM survival plots for overall survival (OS) based on MAGI3 mRNA expression in kidney renal papillary cell carcinoma (KIRP) and Kidney Chromophobe (KICH) patients from TCGA dataset (p &gt; 0.05, log-rank test).</w:t>
      </w:r>
    </w:p>
    <w:p w:rsidR="00F54CDE" w:rsidRDefault="00F54CDE" w:rsidP="00F54CDE">
      <w:pPr>
        <w:rPr>
          <w:rFonts w:ascii="Times New Roman" w:hAnsi="Times New Roman"/>
          <w:sz w:val="22"/>
        </w:rPr>
      </w:pPr>
    </w:p>
    <w:p w:rsidR="00F54CDE" w:rsidRDefault="00F54CDE" w:rsidP="00F54CDE">
      <w:pPr>
        <w:rPr>
          <w:rFonts w:ascii="Times New Roman" w:hAnsi="Times New Roman" w:hint="eastAsia"/>
          <w:sz w:val="22"/>
        </w:rPr>
      </w:pPr>
    </w:p>
    <w:p w:rsidR="00F07F8B" w:rsidRDefault="00F07F8B" w:rsidP="00F54CDE">
      <w:pPr>
        <w:rPr>
          <w:rFonts w:ascii="Times New Roman" w:hAnsi="Times New Roman"/>
          <w:sz w:val="22"/>
        </w:rPr>
      </w:pPr>
      <w:r w:rsidRPr="00567508">
        <w:rPr>
          <w:rFonts w:ascii="Times New Roman" w:hAnsi="Times New Roman"/>
          <w:sz w:val="22"/>
        </w:rPr>
        <w:t>Supplemen</w:t>
      </w:r>
      <w:r w:rsidRPr="00B552B5">
        <w:rPr>
          <w:rFonts w:ascii="Times New Roman" w:hAnsi="Times New Roman"/>
          <w:sz w:val="22"/>
        </w:rPr>
        <w:t xml:space="preserve">tal Table 1. </w:t>
      </w:r>
      <w:bookmarkStart w:id="1" w:name="_Hlk181452203"/>
      <w:r w:rsidRPr="00B552B5">
        <w:rPr>
          <w:rFonts w:ascii="Times New Roman" w:hAnsi="Times New Roman"/>
          <w:sz w:val="22"/>
        </w:rPr>
        <w:t>Analysis of MAGI3 and clinical pathological factors in patients</w:t>
      </w:r>
      <w:r w:rsidR="00F54CDE">
        <w:rPr>
          <w:rFonts w:ascii="Times New Roman" w:hAnsi="Times New Roman"/>
          <w:sz w:val="22"/>
        </w:rPr>
        <w:t xml:space="preserve"> </w:t>
      </w:r>
      <w:r w:rsidRPr="00B552B5">
        <w:rPr>
          <w:rFonts w:ascii="Times New Roman" w:hAnsi="Times New Roman"/>
          <w:sz w:val="22"/>
        </w:rPr>
        <w:t xml:space="preserve">with stage Ⅰ-Ⅳ </w:t>
      </w:r>
      <w:proofErr w:type="spellStart"/>
      <w:r w:rsidRPr="00B552B5">
        <w:rPr>
          <w:rFonts w:ascii="Times New Roman" w:hAnsi="Times New Roman"/>
          <w:sz w:val="22"/>
        </w:rPr>
        <w:t>ccRCC</w:t>
      </w:r>
      <w:proofErr w:type="spellEnd"/>
      <w:r w:rsidRPr="00B552B5">
        <w:rPr>
          <w:rFonts w:ascii="Times New Roman" w:hAnsi="Times New Roman"/>
          <w:sz w:val="22"/>
        </w:rPr>
        <w:t xml:space="preserve"> in T</w:t>
      </w:r>
      <w:r w:rsidRPr="002D31C8">
        <w:rPr>
          <w:rFonts w:ascii="Times New Roman" w:hAnsi="Times New Roman"/>
          <w:sz w:val="22"/>
        </w:rPr>
        <w:t>CGA database who did not receive adjuvant therapy</w:t>
      </w:r>
    </w:p>
    <w:p w:rsidR="00F54CDE" w:rsidRDefault="00F54CDE" w:rsidP="00F54CDE">
      <w:pPr>
        <w:rPr>
          <w:rFonts w:ascii="Times New Roman" w:hAnsi="Times New Roman"/>
          <w:sz w:val="22"/>
        </w:rPr>
      </w:pP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/>
          <w:sz w:val="22"/>
        </w:rPr>
        <w:t>Supplemental Table 2. Analysis of MAGI3 and clinical pathological factors in patients</w:t>
      </w:r>
      <w:r>
        <w:rPr>
          <w:rFonts w:ascii="Times New Roman" w:hAnsi="Times New Roman"/>
          <w:sz w:val="22"/>
        </w:rPr>
        <w:t xml:space="preserve"> </w:t>
      </w:r>
      <w:r w:rsidRPr="00F54CDE">
        <w:rPr>
          <w:rFonts w:ascii="Times New Roman" w:hAnsi="Times New Roman" w:hint="eastAsia"/>
          <w:sz w:val="22"/>
        </w:rPr>
        <w:t>with stage</w:t>
      </w:r>
      <w:r w:rsidRPr="00F54CDE">
        <w:rPr>
          <w:rFonts w:ascii="Times New Roman" w:hAnsi="Times New Roman" w:hint="eastAsia"/>
          <w:sz w:val="22"/>
        </w:rPr>
        <w:t>Ⅰ</w:t>
      </w:r>
      <w:proofErr w:type="spellStart"/>
      <w:r w:rsidRPr="00F54CDE">
        <w:rPr>
          <w:rFonts w:ascii="Times New Roman" w:hAnsi="Times New Roman" w:hint="eastAsia"/>
          <w:sz w:val="22"/>
        </w:rPr>
        <w:t>ccRCC</w:t>
      </w:r>
      <w:proofErr w:type="spellEnd"/>
      <w:r w:rsidRPr="00F54CDE">
        <w:rPr>
          <w:rFonts w:ascii="Times New Roman" w:hAnsi="Times New Roman" w:hint="eastAsia"/>
          <w:sz w:val="22"/>
        </w:rPr>
        <w:t xml:space="preserve"> in TCGA database who did not receive adjuvant therapy</w:t>
      </w:r>
    </w:p>
    <w:p w:rsidR="00F54CDE" w:rsidRDefault="00F54CDE" w:rsidP="00F54CDE">
      <w:pPr>
        <w:rPr>
          <w:rFonts w:ascii="Times New Roman" w:hAnsi="Times New Roman"/>
          <w:sz w:val="22"/>
        </w:rPr>
      </w:pPr>
    </w:p>
    <w:p w:rsidR="00F54CDE" w:rsidRPr="00F54CDE" w:rsidRDefault="00F54CDE" w:rsidP="00F54CDE">
      <w:pPr>
        <w:rPr>
          <w:rFonts w:ascii="Times New Roman" w:eastAsiaTheme="minorEastAsia" w:hAnsi="Times New Roman"/>
          <w:snapToGrid w:val="0"/>
          <w:kern w:val="0"/>
          <w:sz w:val="22"/>
        </w:rPr>
      </w:pPr>
      <w:bookmarkStart w:id="2" w:name="_Hlk180017449"/>
      <w:r w:rsidRPr="00F54CDE">
        <w:rPr>
          <w:rFonts w:ascii="Times New Roman" w:eastAsiaTheme="minorEastAsia" w:hAnsi="Times New Roman"/>
          <w:sz w:val="22"/>
        </w:rPr>
        <w:t xml:space="preserve">Supplementary Table 3. Univariate and multivariate Cox regression analyses of potential poor prognostic factors in </w:t>
      </w:r>
      <w:r w:rsidRPr="00F54CDE">
        <w:rPr>
          <w:rFonts w:ascii="Times New Roman" w:eastAsiaTheme="minorEastAsia" w:hAnsi="Times New Roman"/>
          <w:snapToGrid w:val="0"/>
          <w:kern w:val="0"/>
          <w:sz w:val="22"/>
        </w:rPr>
        <w:t xml:space="preserve">stage </w:t>
      </w:r>
      <w:r w:rsidRPr="00F54CDE">
        <w:rPr>
          <w:rFonts w:ascii="Times New Roman" w:eastAsia="等线" w:hAnsi="Times New Roman"/>
          <w:snapToGrid w:val="0"/>
          <w:kern w:val="0"/>
          <w:sz w:val="22"/>
        </w:rPr>
        <w:t>I</w:t>
      </w:r>
      <w:r w:rsidRPr="00F54CDE">
        <w:rPr>
          <w:rFonts w:ascii="Times New Roman" w:eastAsiaTheme="minorEastAsia" w:hAnsi="Times New Roman"/>
          <w:snapToGrid w:val="0"/>
          <w:kern w:val="0"/>
          <w:sz w:val="22"/>
        </w:rPr>
        <w:t xml:space="preserve"> clear cell renal cell carcinoma</w:t>
      </w:r>
    </w:p>
    <w:p w:rsidR="00F54CDE" w:rsidRPr="00F54CDE" w:rsidRDefault="00F54CDE" w:rsidP="00F54CDE">
      <w:pPr>
        <w:rPr>
          <w:rFonts w:ascii="Times New Roman" w:eastAsiaTheme="minorEastAsia" w:hAnsi="Times New Roman" w:hint="eastAsia"/>
          <w:snapToGrid w:val="0"/>
          <w:kern w:val="0"/>
          <w:sz w:val="22"/>
        </w:rPr>
      </w:pPr>
    </w:p>
    <w:p w:rsidR="00F54CDE" w:rsidRPr="00F54CDE" w:rsidRDefault="00F54CDE" w:rsidP="00F54CDE">
      <w:pPr>
        <w:rPr>
          <w:rFonts w:ascii="Times New Roman" w:eastAsiaTheme="minorEastAsia" w:hAnsi="Times New Roman"/>
          <w:sz w:val="22"/>
        </w:rPr>
      </w:pPr>
      <w:bookmarkStart w:id="3" w:name="OLE_LINK4"/>
      <w:bookmarkStart w:id="4" w:name="OLE_LINK5"/>
      <w:bookmarkEnd w:id="2"/>
      <w:r w:rsidRPr="00F54CDE">
        <w:rPr>
          <w:rFonts w:ascii="Times New Roman" w:eastAsiaTheme="minorEastAsia" w:hAnsi="Times New Roman"/>
          <w:sz w:val="22"/>
        </w:rPr>
        <w:t>Supplemental Table 4. Docking energy table between MAGI3-PDZ1 domain</w:t>
      </w:r>
      <w:r>
        <w:rPr>
          <w:rFonts w:ascii="Times New Roman" w:eastAsiaTheme="minorEastAsia" w:hAnsi="Times New Roman"/>
          <w:sz w:val="22"/>
        </w:rPr>
        <w:t xml:space="preserve"> </w:t>
      </w:r>
      <w:r w:rsidRPr="00F54CDE">
        <w:rPr>
          <w:rFonts w:ascii="Times New Roman" w:eastAsiaTheme="minorEastAsia" w:hAnsi="Times New Roman"/>
          <w:sz w:val="22"/>
        </w:rPr>
        <w:t>and MAS carboxy terminal ETVV sequence</w:t>
      </w:r>
    </w:p>
    <w:p w:rsidR="00F54CDE" w:rsidRPr="00F54CDE" w:rsidRDefault="00F54CDE" w:rsidP="00F54CDE">
      <w:pPr>
        <w:rPr>
          <w:rFonts w:ascii="Times New Roman" w:eastAsiaTheme="minorEastAsia" w:hAnsi="Times New Roman" w:hint="eastAsia"/>
          <w:sz w:val="22"/>
        </w:rPr>
      </w:pPr>
    </w:p>
    <w:bookmarkEnd w:id="3"/>
    <w:bookmarkEnd w:id="4"/>
    <w:p w:rsidR="00F54CDE" w:rsidRPr="00F54CDE" w:rsidRDefault="00F54CDE" w:rsidP="00F54CDE">
      <w:pPr>
        <w:rPr>
          <w:rFonts w:ascii="Times New Roman" w:eastAsiaTheme="minorEastAsia" w:hAnsi="Times New Roman"/>
          <w:sz w:val="22"/>
        </w:rPr>
      </w:pPr>
      <w:r w:rsidRPr="00F54CDE">
        <w:rPr>
          <w:rFonts w:ascii="Times New Roman" w:eastAsiaTheme="minorEastAsia" w:hAnsi="Times New Roman"/>
          <w:sz w:val="22"/>
        </w:rPr>
        <w:t>Supplemental Table</w:t>
      </w:r>
      <w:r>
        <w:rPr>
          <w:rFonts w:ascii="Times New Roman" w:eastAsiaTheme="minorEastAsia" w:hAnsi="Times New Roman"/>
          <w:sz w:val="22"/>
        </w:rPr>
        <w:t xml:space="preserve"> </w:t>
      </w:r>
      <w:r w:rsidRPr="00F54CDE">
        <w:rPr>
          <w:rFonts w:ascii="Times New Roman" w:eastAsiaTheme="minorEastAsia" w:hAnsi="Times New Roman"/>
          <w:sz w:val="22"/>
        </w:rPr>
        <w:t>5</w:t>
      </w:r>
      <w:r>
        <w:rPr>
          <w:rFonts w:ascii="Times New Roman" w:eastAsiaTheme="minorEastAsia" w:hAnsi="Times New Roman"/>
          <w:sz w:val="22"/>
        </w:rPr>
        <w:t>.</w:t>
      </w:r>
      <w:r w:rsidRPr="00F54CDE">
        <w:rPr>
          <w:rFonts w:ascii="Times New Roman" w:eastAsiaTheme="minorEastAsia" w:hAnsi="Times New Roman"/>
          <w:sz w:val="22"/>
        </w:rPr>
        <w:t xml:space="preserve"> </w:t>
      </w:r>
      <w:bookmarkStart w:id="5" w:name="OLE_LINK210"/>
      <w:bookmarkStart w:id="6" w:name="OLE_LINK211"/>
      <w:r w:rsidRPr="00F54CDE">
        <w:rPr>
          <w:rFonts w:ascii="Times New Roman" w:eastAsiaTheme="minorEastAsia" w:hAnsi="Times New Roman"/>
          <w:sz w:val="22"/>
        </w:rPr>
        <w:t>Multi-sequence alignment of the intracellular loop 2 (ICL2) of MRGPRX2 and MAS</w:t>
      </w:r>
      <w:bookmarkEnd w:id="5"/>
      <w:bookmarkEnd w:id="6"/>
    </w:p>
    <w:p w:rsidR="00F54CDE" w:rsidRPr="00F54CDE" w:rsidRDefault="00F54CDE" w:rsidP="00F54CDE">
      <w:pPr>
        <w:rPr>
          <w:rFonts w:ascii="Times New Roman" w:eastAsiaTheme="minorEastAsia" w:hAnsi="Times New Roman" w:hint="eastAsia"/>
          <w:sz w:val="22"/>
        </w:rPr>
      </w:pP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bookmarkStart w:id="7" w:name="_Hlk186900663"/>
      <w:r w:rsidRPr="00F54CDE">
        <w:rPr>
          <w:rFonts w:ascii="Times New Roman" w:hAnsi="Times New Roman"/>
          <w:sz w:val="22"/>
        </w:rPr>
        <w:t xml:space="preserve">Supplemental Table 6. Analysis of MAGI3 and clinical pathological factors in </w:t>
      </w:r>
      <w:proofErr w:type="spellStart"/>
      <w:r w:rsidRPr="00F54CDE">
        <w:rPr>
          <w:rFonts w:ascii="Times New Roman" w:hAnsi="Times New Roman" w:hint="eastAsia"/>
          <w:sz w:val="22"/>
        </w:rPr>
        <w:t>ccRCC</w:t>
      </w:r>
      <w:proofErr w:type="spellEnd"/>
      <w:r w:rsidRPr="00F54CDE">
        <w:rPr>
          <w:rFonts w:ascii="Times New Roman" w:hAnsi="Times New Roman"/>
          <w:sz w:val="22"/>
        </w:rPr>
        <w:t xml:space="preserve"> patients </w:t>
      </w:r>
    </w:p>
    <w:p w:rsidR="00F54CDE" w:rsidRPr="00F54CDE" w:rsidRDefault="00F54CDE" w:rsidP="00F54CDE">
      <w:pPr>
        <w:rPr>
          <w:rFonts w:ascii="Times New Roman" w:hAnsi="Times New Roman"/>
          <w:sz w:val="22"/>
        </w:rPr>
      </w:pPr>
      <w:r w:rsidRPr="00F54CDE">
        <w:rPr>
          <w:rFonts w:ascii="Times New Roman" w:hAnsi="Times New Roman" w:hint="eastAsia"/>
          <w:sz w:val="22"/>
        </w:rPr>
        <w:t>in TCGA database who receive</w:t>
      </w:r>
      <w:r w:rsidRPr="00F54CDE">
        <w:rPr>
          <w:rFonts w:ascii="Times New Roman" w:hAnsi="Times New Roman"/>
          <w:sz w:val="22"/>
        </w:rPr>
        <w:t>d</w:t>
      </w:r>
      <w:r w:rsidRPr="00F54CDE">
        <w:rPr>
          <w:rFonts w:ascii="Times New Roman" w:hAnsi="Times New Roman" w:hint="eastAsia"/>
          <w:sz w:val="22"/>
        </w:rPr>
        <w:t xml:space="preserve"> </w:t>
      </w:r>
      <w:r w:rsidRPr="00F54CDE">
        <w:rPr>
          <w:rFonts w:ascii="Times New Roman" w:hAnsi="Times New Roman"/>
          <w:sz w:val="22"/>
        </w:rPr>
        <w:t>Sunitinib</w:t>
      </w:r>
      <w:r w:rsidRPr="00F54CDE">
        <w:rPr>
          <w:rFonts w:ascii="Times New Roman" w:hAnsi="Times New Roman" w:hint="eastAsia"/>
          <w:sz w:val="22"/>
        </w:rPr>
        <w:t xml:space="preserve"> therapy</w:t>
      </w:r>
    </w:p>
    <w:bookmarkEnd w:id="7"/>
    <w:p w:rsidR="00F54CDE" w:rsidRDefault="00F54CDE" w:rsidP="00F54CDE">
      <w:pPr>
        <w:rPr>
          <w:rFonts w:ascii="Times New Roman" w:hAnsi="Times New Roman"/>
          <w:sz w:val="22"/>
        </w:rPr>
      </w:pPr>
    </w:p>
    <w:p w:rsidR="00F54CDE" w:rsidRDefault="00F54CDE" w:rsidP="00F54CDE">
      <w:pPr>
        <w:rPr>
          <w:rFonts w:ascii="Times New Roman" w:hAnsi="Times New Roman"/>
          <w:sz w:val="22"/>
        </w:rPr>
      </w:pPr>
    </w:p>
    <w:bookmarkEnd w:id="1"/>
    <w:p w:rsidR="00F54CDE" w:rsidRPr="00F54CDE" w:rsidRDefault="00F54CDE" w:rsidP="00F54CDE">
      <w:pPr>
        <w:rPr>
          <w:rFonts w:ascii="Times New Roman" w:hAnsi="Times New Roman" w:hint="eastAsia"/>
          <w:sz w:val="22"/>
        </w:rPr>
      </w:pPr>
    </w:p>
    <w:sectPr w:rsidR="00F54CDE" w:rsidRPr="00F54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8B"/>
    <w:rsid w:val="00664950"/>
    <w:rsid w:val="00F07F8B"/>
    <w:rsid w:val="00F5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1CFFC"/>
  <w15:chartTrackingRefBased/>
  <w15:docId w15:val="{4953BBCB-1BC3-47DB-B7A2-583E2558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7F8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1</cp:revision>
  <dcterms:created xsi:type="dcterms:W3CDTF">2025-01-04T08:27:00Z</dcterms:created>
  <dcterms:modified xsi:type="dcterms:W3CDTF">2025-01-04T08:41:00Z</dcterms:modified>
</cp:coreProperties>
</file>