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6CC7D">
      <w:pPr>
        <w:spacing w:line="360" w:lineRule="auto"/>
        <w:rPr>
          <w:rFonts w:ascii="Times New Roman" w:hAnsi="Times New Roman" w:cs="Times New Roman"/>
          <w:b/>
          <w:bCs/>
          <w:sz w:val="22"/>
        </w:rPr>
      </w:pPr>
      <w:r>
        <w:rPr>
          <w:rFonts w:ascii="Times New Roman" w:hAnsi="Times New Roman" w:cs="Times New Roman"/>
          <w:b/>
          <w:bCs/>
          <w:sz w:val="22"/>
        </w:rPr>
        <w:t>Supplementary figures and figure legends</w:t>
      </w:r>
    </w:p>
    <w:p w14:paraId="55A829C9">
      <w:pPr>
        <w:spacing w:line="340" w:lineRule="exac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1. Expression of KIFC1 protein was detected by microarray in cervical cancer during survival.</w:t>
      </w:r>
    </w:p>
    <w:p w14:paraId="4C87A472">
      <w:pPr>
        <w:spacing w:line="340" w:lineRule="exact"/>
        <w:rPr>
          <w:rFonts w:ascii="Times New Roman" w:hAnsi="Times New Roman" w:cs="Times New Roman"/>
          <w:sz w:val="22"/>
        </w:rPr>
      </w:pPr>
      <w:r>
        <w:rPr>
          <w:rFonts w:ascii="Times New Roman" w:hAnsi="Times New Roman" w:cs="Times New Roman"/>
          <w:sz w:val="22"/>
        </w:rPr>
        <w:t>The survival time of 99 cases of cervical cancer, 111 points, mainly squamous cell carcinoma: 99 points of cancer/12 points paracancerous, red box near cancer, other tumor tissue.</w:t>
      </w:r>
    </w:p>
    <w:p w14:paraId="072BDE45">
      <w:pPr>
        <w:spacing w:line="240" w:lineRule="auto"/>
        <w:rPr>
          <w:rFonts w:hint="eastAsia" w:ascii="Times New Roman" w:hAnsi="Times New Roman" w:cs="Times New Roman" w:eastAsiaTheme="minorEastAsia"/>
          <w:sz w:val="22"/>
          <w:lang w:eastAsia="zh-CN"/>
        </w:rPr>
      </w:pPr>
    </w:p>
    <w:p w14:paraId="5DA1B6C9">
      <w:pPr>
        <w:spacing w:line="340" w:lineRule="exac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2. Expression of KIFC1 in different cervical cancer cells.</w:t>
      </w:r>
    </w:p>
    <w:p w14:paraId="58575B3C">
      <w:pPr>
        <w:spacing w:line="340" w:lineRule="exact"/>
        <w:rPr>
          <w:rFonts w:ascii="Times New Roman" w:hAnsi="Times New Roman" w:cs="Times New Roman"/>
          <w:sz w:val="22"/>
        </w:rPr>
      </w:pPr>
      <w:r>
        <w:rPr>
          <w:rFonts w:ascii="Times New Roman" w:hAnsi="Times New Roman" w:cs="Times New Roman"/>
          <w:sz w:val="22"/>
        </w:rPr>
        <w:t>The expression of KIFC1 protein and mRNA in 7 cervical cancer cells was detected by RT-qPCR</w:t>
      </w:r>
      <w:r>
        <w:rPr>
          <w:rFonts w:hint="eastAsia" w:ascii="Times New Roman" w:hAnsi="Times New Roman" w:cs="Times New Roman"/>
          <w:sz w:val="22"/>
        </w:rPr>
        <w:t xml:space="preserve"> </w:t>
      </w:r>
      <w:r>
        <w:rPr>
          <w:rFonts w:ascii="Times New Roman" w:hAnsi="Times New Roman" w:cs="Times New Roman"/>
          <w:sz w:val="22"/>
        </w:rPr>
        <w:t>(A) and immunoblotting</w:t>
      </w:r>
      <w:r>
        <w:rPr>
          <w:rFonts w:hint="eastAsia" w:ascii="Times New Roman" w:hAnsi="Times New Roman" w:cs="Times New Roman"/>
          <w:sz w:val="22"/>
        </w:rPr>
        <w:t xml:space="preserve"> </w:t>
      </w:r>
      <w:r>
        <w:rPr>
          <w:rFonts w:ascii="Times New Roman" w:hAnsi="Times New Roman" w:cs="Times New Roman"/>
          <w:sz w:val="22"/>
        </w:rPr>
        <w:t>(B), and normal cervical epithelial cells HCerEpiC as the control.</w:t>
      </w:r>
      <w:r>
        <w:rPr>
          <w:rFonts w:hint="eastAsia" w:ascii="Times New Roman" w:hAnsi="Times New Roman" w:cs="Times New Roman"/>
          <w:sz w:val="22"/>
        </w:rPr>
        <w:t xml:space="preserve"> </w:t>
      </w:r>
      <w:r>
        <w:rPr>
          <w:rFonts w:ascii="Times New Roman" w:hAnsi="Times New Roman" w:cs="Times New Roman"/>
          <w:sz w:val="22"/>
        </w:rPr>
        <w:t>*p&lt;0.05,</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****p&lt;0.0001 by Student’s unpaired two-sided t-test.</w:t>
      </w:r>
    </w:p>
    <w:p w14:paraId="719DCB21">
      <w:pPr>
        <w:spacing w:line="240" w:lineRule="auto"/>
        <w:rPr>
          <w:rFonts w:hint="eastAsia" w:ascii="Times New Roman" w:hAnsi="Times New Roman" w:cs="Times New Roman" w:eastAsiaTheme="minorEastAsia"/>
          <w:sz w:val="22"/>
          <w:lang w:eastAsia="zh-CN"/>
        </w:rPr>
      </w:pPr>
    </w:p>
    <w:p w14:paraId="1C7C96BB">
      <w:pPr>
        <w:widowControl/>
        <w:spacing w:line="340" w:lineRule="exact"/>
        <w:jc w:val="lef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3. Overexpression of KIFC1 by CCa cells after KIFC1 knockout promotes malignant progression of the tumor.</w:t>
      </w:r>
    </w:p>
    <w:p w14:paraId="70564D21">
      <w:pPr>
        <w:numPr>
          <w:ilvl w:val="0"/>
          <w:numId w:val="1"/>
        </w:numPr>
        <w:spacing w:line="340" w:lineRule="exact"/>
        <w:rPr>
          <w:rFonts w:ascii="Times New Roman" w:hAnsi="Times New Roman" w:cs="Times New Roman"/>
          <w:sz w:val="22"/>
        </w:rPr>
      </w:pPr>
      <w:r>
        <w:rPr>
          <w:rFonts w:ascii="Times New Roman" w:hAnsi="Times New Roman" w:cs="Times New Roman"/>
          <w:sz w:val="22"/>
        </w:rPr>
        <w:t>Immunoblotting detects the delivery of exogenous overexpression of KIFC1 by pLVX vector in HeLa</w:t>
      </w:r>
      <w:r>
        <w:rPr>
          <w:rFonts w:ascii="Times New Roman" w:hAnsi="Times New Roman" w:cs="Times New Roman"/>
          <w:i/>
          <w:iCs/>
          <w:sz w:val="22"/>
          <w:vertAlign w:val="superscript"/>
        </w:rPr>
        <w:t>KIFC1-/-</w:t>
      </w:r>
      <w:r>
        <w:rPr>
          <w:rFonts w:ascii="Times New Roman" w:hAnsi="Times New Roman" w:cs="Times New Roman"/>
          <w:sz w:val="22"/>
        </w:rPr>
        <w:t xml:space="preserve"> and SiHa</w:t>
      </w:r>
      <w:r>
        <w:rPr>
          <w:rFonts w:ascii="Times New Roman" w:hAnsi="Times New Roman" w:cs="Times New Roman"/>
          <w:i/>
          <w:iCs/>
          <w:sz w:val="22"/>
          <w:vertAlign w:val="superscript"/>
        </w:rPr>
        <w:t xml:space="preserve">KIFC1-/- </w:t>
      </w:r>
      <w:r>
        <w:rPr>
          <w:rFonts w:ascii="Times New Roman" w:hAnsi="Times New Roman" w:cs="Times New Roman"/>
          <w:sz w:val="22"/>
        </w:rPr>
        <w:t>cells.</w:t>
      </w:r>
      <w:r>
        <w:rPr>
          <w:rFonts w:hint="eastAsia" w:ascii="Times New Roman" w:hAnsi="Times New Roman" w:cs="Times New Roman"/>
          <w:sz w:val="22"/>
        </w:rPr>
        <w:t xml:space="preserve"> </w:t>
      </w:r>
      <w:r>
        <w:rPr>
          <w:rFonts w:ascii="Times New Roman" w:hAnsi="Times New Roman" w:cs="Times New Roman"/>
          <w:sz w:val="22"/>
        </w:rPr>
        <w:t>(B-C) CCK-8 (B) and colony formation (C) assays were performed using KIFC1-overexpressing in HeLa</w:t>
      </w:r>
      <w:r>
        <w:rPr>
          <w:rFonts w:ascii="Times New Roman" w:hAnsi="Times New Roman" w:cs="Times New Roman"/>
          <w:i/>
          <w:iCs/>
          <w:sz w:val="22"/>
          <w:vertAlign w:val="superscript"/>
        </w:rPr>
        <w:t>KIFC1-/-</w:t>
      </w:r>
      <w:r>
        <w:rPr>
          <w:rFonts w:ascii="Times New Roman" w:hAnsi="Times New Roman" w:cs="Times New Roman"/>
          <w:sz w:val="22"/>
        </w:rPr>
        <w:t xml:space="preserve"> and SiHa</w:t>
      </w:r>
      <w:r>
        <w:rPr>
          <w:rFonts w:ascii="Times New Roman" w:hAnsi="Times New Roman" w:cs="Times New Roman"/>
          <w:i/>
          <w:iCs/>
          <w:sz w:val="22"/>
          <w:vertAlign w:val="superscript"/>
        </w:rPr>
        <w:t>KIFC1-/-</w:t>
      </w:r>
      <w:r>
        <w:rPr>
          <w:rFonts w:hint="eastAsia" w:ascii="Times New Roman" w:hAnsi="Times New Roman" w:cs="Times New Roman"/>
          <w:i/>
          <w:iCs/>
          <w:sz w:val="22"/>
          <w:vertAlign w:val="superscript"/>
        </w:rPr>
        <w:t xml:space="preserve"> </w:t>
      </w:r>
      <w:r>
        <w:rPr>
          <w:rFonts w:ascii="Times New Roman" w:hAnsi="Times New Roman" w:cs="Times New Roman"/>
          <w:sz w:val="22"/>
        </w:rPr>
        <w:t>cells. Representative images of colonies and relevant quantification are displayed in C,</w:t>
      </w:r>
      <w:r>
        <w:rPr>
          <w:rFonts w:hint="eastAsia" w:ascii="Times New Roman" w:hAnsi="Times New Roman" w:cs="Times New Roman"/>
          <w:sz w:val="22"/>
        </w:rPr>
        <w:t xml:space="preserve"> </w:t>
      </w:r>
      <w:r>
        <w:rPr>
          <w:rFonts w:ascii="Times New Roman" w:hAnsi="Times New Roman" w:cs="Times New Roman"/>
          <w:sz w:val="22"/>
        </w:rPr>
        <w:t>respectively. (D-E) KIFC1-overexpressing in HeLa</w:t>
      </w:r>
      <w:r>
        <w:rPr>
          <w:rFonts w:ascii="Times New Roman" w:hAnsi="Times New Roman" w:cs="Times New Roman"/>
          <w:i/>
          <w:iCs/>
          <w:sz w:val="22"/>
          <w:vertAlign w:val="superscript"/>
        </w:rPr>
        <w:t>KIFC1-/-</w:t>
      </w:r>
      <w:r>
        <w:rPr>
          <w:rFonts w:ascii="Times New Roman" w:hAnsi="Times New Roman" w:cs="Times New Roman"/>
          <w:sz w:val="22"/>
        </w:rPr>
        <w:t xml:space="preserve"> and SiHa</w:t>
      </w:r>
      <w:r>
        <w:rPr>
          <w:rFonts w:ascii="Times New Roman" w:hAnsi="Times New Roman" w:cs="Times New Roman"/>
          <w:i/>
          <w:iCs/>
          <w:sz w:val="22"/>
          <w:vertAlign w:val="superscript"/>
        </w:rPr>
        <w:t xml:space="preserve">KIFC1-/- </w:t>
      </w:r>
      <w:r>
        <w:rPr>
          <w:rFonts w:ascii="Times New Roman" w:hAnsi="Times New Roman" w:cs="Times New Roman"/>
          <w:sz w:val="22"/>
        </w:rPr>
        <w:t>cells，the cell cycle (D) and apoptosis (E) were detected by flow cytometry. (F-G) Transwell migration and invasion assays were conducted with KIFC1-overexpressing in HeLa</w:t>
      </w:r>
      <w:r>
        <w:rPr>
          <w:rFonts w:ascii="Times New Roman" w:hAnsi="Times New Roman" w:cs="Times New Roman"/>
          <w:i/>
          <w:iCs/>
          <w:sz w:val="22"/>
          <w:vertAlign w:val="superscript"/>
        </w:rPr>
        <w:t>KIFC1-/-</w:t>
      </w:r>
      <w:r>
        <w:rPr>
          <w:rFonts w:ascii="Times New Roman" w:hAnsi="Times New Roman" w:cs="Times New Roman"/>
          <w:sz w:val="22"/>
        </w:rPr>
        <w:t xml:space="preserve"> and SiHa</w:t>
      </w:r>
      <w:r>
        <w:rPr>
          <w:rFonts w:ascii="Times New Roman" w:hAnsi="Times New Roman" w:cs="Times New Roman"/>
          <w:i/>
          <w:iCs/>
          <w:sz w:val="22"/>
          <w:vertAlign w:val="superscript"/>
        </w:rPr>
        <w:t xml:space="preserve">KIFC1-/- </w:t>
      </w:r>
      <w:r>
        <w:rPr>
          <w:rFonts w:ascii="Times New Roman" w:hAnsi="Times New Roman" w:cs="Times New Roman"/>
          <w:sz w:val="22"/>
        </w:rPr>
        <w:t>cells. Representative images and the quantitative results of migrated or invaded cells are displayed in</w:t>
      </w:r>
      <w:r>
        <w:rPr>
          <w:rFonts w:hint="eastAsia" w:ascii="Times New Roman" w:hAnsi="Times New Roman" w:cs="Times New Roman"/>
          <w:sz w:val="22"/>
        </w:rPr>
        <w:t xml:space="preserve"> </w:t>
      </w:r>
      <w:r>
        <w:rPr>
          <w:rFonts w:ascii="Times New Roman" w:hAnsi="Times New Roman" w:cs="Times New Roman"/>
          <w:sz w:val="22"/>
        </w:rPr>
        <w:t>(F) and</w:t>
      </w:r>
      <w:r>
        <w:rPr>
          <w:rFonts w:hint="eastAsia" w:ascii="Times New Roman" w:hAnsi="Times New Roman" w:cs="Times New Roman"/>
          <w:sz w:val="22"/>
        </w:rPr>
        <w:t xml:space="preserve"> </w:t>
      </w:r>
      <w:r>
        <w:rPr>
          <w:rFonts w:ascii="Times New Roman" w:hAnsi="Times New Roman" w:cs="Times New Roman"/>
          <w:sz w:val="22"/>
        </w:rPr>
        <w:t>(G), respectively.</w:t>
      </w:r>
      <w:r>
        <w:rPr>
          <w:rFonts w:hint="eastAsia" w:ascii="Times New Roman" w:hAnsi="Times New Roman" w:cs="Times New Roman"/>
          <w:sz w:val="22"/>
        </w:rPr>
        <w:t xml:space="preserve"> </w:t>
      </w:r>
      <w:r>
        <w:rPr>
          <w:rFonts w:ascii="Times New Roman" w:hAnsi="Times New Roman" w:cs="Times New Roman"/>
          <w:sz w:val="22"/>
        </w:rPr>
        <w:t>Scale bar, 200</w:t>
      </w:r>
      <w:r>
        <w:rPr>
          <w:rFonts w:hint="eastAsia" w:ascii="Times New Roman" w:hAnsi="Times New Roman" w:cs="Times New Roman"/>
          <w:sz w:val="22"/>
        </w:rPr>
        <w:t xml:space="preserve"> </w:t>
      </w:r>
      <w:r>
        <w:rPr>
          <w:rFonts w:ascii="Times New Roman" w:hAnsi="Times New Roman" w:cs="Times New Roman"/>
          <w:sz w:val="22"/>
        </w:rPr>
        <w:t>μm. *p&lt;0.05,**p&lt;0.001,***p&lt;0.001,</w:t>
      </w:r>
    </w:p>
    <w:p w14:paraId="315C0D17">
      <w:pPr>
        <w:spacing w:line="340" w:lineRule="exact"/>
        <w:rPr>
          <w:rFonts w:ascii="Times New Roman" w:hAnsi="Times New Roman" w:cs="Times New Roman"/>
          <w:sz w:val="22"/>
        </w:rPr>
      </w:pPr>
      <w:r>
        <w:rPr>
          <w:rFonts w:ascii="Times New Roman" w:hAnsi="Times New Roman" w:cs="Times New Roman"/>
          <w:sz w:val="22"/>
        </w:rPr>
        <w:t>****p&lt;0.0001 by Student’s unpaired two-sided t-test.</w:t>
      </w:r>
    </w:p>
    <w:p w14:paraId="6FD87E3D">
      <w:pPr>
        <w:widowControl/>
        <w:spacing w:line="340" w:lineRule="exact"/>
        <w:jc w:val="left"/>
        <w:rPr>
          <w:rFonts w:ascii="Times New Roman" w:hAnsi="Times New Roman" w:cs="Times New Roman"/>
          <w:sz w:val="22"/>
        </w:rPr>
      </w:pPr>
    </w:p>
    <w:p w14:paraId="124CB738">
      <w:pPr>
        <w:widowControl/>
        <w:spacing w:line="240" w:lineRule="auto"/>
        <w:jc w:val="left"/>
        <w:rPr>
          <w:rFonts w:hint="eastAsia" w:ascii="Times New Roman" w:hAnsi="Times New Roman" w:cs="Times New Roman" w:eastAsiaTheme="minorEastAsia"/>
          <w:sz w:val="22"/>
          <w:lang w:eastAsia="zh-CN"/>
        </w:rPr>
      </w:pPr>
    </w:p>
    <w:p w14:paraId="13B7F6A1">
      <w:pPr>
        <w:widowControl/>
        <w:spacing w:line="340" w:lineRule="exact"/>
        <w:jc w:val="lef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4. Histogram of fluorescence intensity of KIFC1 combined with USPs</w:t>
      </w:r>
    </w:p>
    <w:p w14:paraId="2070B189">
      <w:pPr>
        <w:widowControl/>
        <w:spacing w:line="240" w:lineRule="auto"/>
        <w:jc w:val="left"/>
        <w:rPr>
          <w:rFonts w:hint="eastAsia" w:ascii="Times New Roman" w:hAnsi="Times New Roman" w:cs="Times New Roman" w:eastAsiaTheme="minorEastAsia"/>
          <w:b/>
          <w:bCs/>
          <w:sz w:val="22"/>
          <w:lang w:eastAsia="zh-CN"/>
        </w:rPr>
      </w:pPr>
    </w:p>
    <w:p w14:paraId="630E591C">
      <w:pPr>
        <w:widowControl/>
        <w:spacing w:line="340" w:lineRule="exact"/>
        <w:jc w:val="lef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5. Knocking down USP25 inhibited the invasion and metastasis of CCa cells i</w:t>
      </w:r>
      <w:r>
        <w:rPr>
          <w:rFonts w:ascii="Times New Roman" w:hAnsi="Times New Roman" w:cs="Times New Roman"/>
          <w:b/>
          <w:bCs/>
          <w:i/>
          <w:iCs/>
          <w:sz w:val="22"/>
        </w:rPr>
        <w:t xml:space="preserve">n vitro </w:t>
      </w:r>
      <w:r>
        <w:rPr>
          <w:rFonts w:ascii="Times New Roman" w:hAnsi="Times New Roman" w:cs="Times New Roman"/>
          <w:b/>
          <w:bCs/>
          <w:sz w:val="22"/>
        </w:rPr>
        <w:t xml:space="preserve">and tumor formation </w:t>
      </w:r>
      <w:r>
        <w:rPr>
          <w:rFonts w:ascii="Times New Roman" w:hAnsi="Times New Roman" w:cs="Times New Roman"/>
          <w:b/>
          <w:bCs/>
          <w:i/>
          <w:iCs/>
          <w:sz w:val="22"/>
        </w:rPr>
        <w:t>in vivo</w:t>
      </w:r>
      <w:r>
        <w:rPr>
          <w:rFonts w:ascii="Times New Roman" w:hAnsi="Times New Roman" w:cs="Times New Roman"/>
          <w:b/>
          <w:bCs/>
          <w:sz w:val="22"/>
        </w:rPr>
        <w:t>.</w:t>
      </w:r>
    </w:p>
    <w:p w14:paraId="6AB682BA">
      <w:pPr>
        <w:numPr>
          <w:ilvl w:val="0"/>
          <w:numId w:val="2"/>
        </w:numPr>
        <w:spacing w:line="340" w:lineRule="exact"/>
        <w:rPr>
          <w:rFonts w:ascii="Times New Roman" w:hAnsi="Times New Roman" w:cs="Times New Roman"/>
          <w:sz w:val="22"/>
        </w:rPr>
      </w:pPr>
      <w:r>
        <w:rPr>
          <w:rFonts w:ascii="Times New Roman" w:hAnsi="Times New Roman" w:cs="Times New Roman"/>
          <w:sz w:val="22"/>
        </w:rPr>
        <w:t xml:space="preserve">B) Transwell migration and invasion assays were conducted with </w:t>
      </w:r>
      <w:r>
        <w:rPr>
          <w:rFonts w:ascii="Times New Roman" w:hAnsi="Times New Roman" w:cs="Times New Roman"/>
        </w:rPr>
        <w:t>USP2</w:t>
      </w:r>
      <w:r>
        <w:rPr>
          <w:rFonts w:ascii="Times New Roman" w:hAnsi="Times New Roman" w:cs="Times New Roman"/>
          <w:b w:val="0"/>
          <w:bCs w:val="0"/>
        </w:rPr>
        <w:t>5-limited</w:t>
      </w:r>
      <w:r>
        <w:rPr>
          <w:rFonts w:ascii="Times New Roman" w:hAnsi="Times New Roman" w:cs="Times New Roman"/>
          <w:b w:val="0"/>
          <w:bCs w:val="0"/>
          <w:sz w:val="22"/>
        </w:rPr>
        <w:t xml:space="preserve"> </w:t>
      </w:r>
      <w:r>
        <w:rPr>
          <w:rFonts w:ascii="Times New Roman" w:hAnsi="Times New Roman" w:cs="Times New Roman"/>
          <w:sz w:val="22"/>
        </w:rPr>
        <w:t>CCa cells.</w:t>
      </w:r>
      <w:r>
        <w:rPr>
          <w:rFonts w:hint="eastAsia" w:ascii="Times New Roman" w:hAnsi="Times New Roman" w:cs="Times New Roman"/>
          <w:sz w:val="22"/>
        </w:rPr>
        <w:t xml:space="preserve"> </w:t>
      </w:r>
      <w:r>
        <w:rPr>
          <w:rFonts w:ascii="Times New Roman" w:hAnsi="Times New Roman" w:cs="Times New Roman"/>
          <w:sz w:val="22"/>
        </w:rPr>
        <w:t>Representative images and the quantitative results of migrated or invaded cells are displayed in (A) and (B), respectively.</w:t>
      </w:r>
      <w:r>
        <w:rPr>
          <w:rFonts w:hint="eastAsia" w:ascii="Times New Roman" w:hAnsi="Times New Roman" w:cs="Times New Roman"/>
          <w:sz w:val="22"/>
        </w:rPr>
        <w:t xml:space="preserve"> </w:t>
      </w:r>
      <w:r>
        <w:rPr>
          <w:rFonts w:ascii="Times New Roman" w:hAnsi="Times New Roman" w:cs="Times New Roman"/>
          <w:sz w:val="22"/>
        </w:rPr>
        <w:t>Scale bar, 200</w:t>
      </w:r>
      <w:r>
        <w:rPr>
          <w:rFonts w:hint="eastAsia" w:ascii="Times New Roman" w:hAnsi="Times New Roman" w:cs="Times New Roman"/>
          <w:sz w:val="22"/>
        </w:rPr>
        <w:t xml:space="preserve"> </w:t>
      </w:r>
      <w:r>
        <w:rPr>
          <w:rFonts w:ascii="Times New Roman" w:hAnsi="Times New Roman" w:cs="Times New Roman"/>
          <w:sz w:val="22"/>
        </w:rPr>
        <w:t>μm. (C-E) HeLa cells with stable expression of shNC and shUSP25 were implanted subcutaneously in the back of nude mice (n=5), and</w:t>
      </w:r>
      <w:bookmarkStart w:id="0" w:name="OLE_LINK13"/>
      <w:r>
        <w:rPr>
          <w:rFonts w:ascii="Times New Roman" w:hAnsi="Times New Roman" w:cs="Times New Roman"/>
          <w:sz w:val="22"/>
        </w:rPr>
        <w:t xml:space="preserve"> the tumor volume was measured every 3 days when the tumor reached a certain size (about 7</w:t>
      </w:r>
      <w:r>
        <w:rPr>
          <w:rFonts w:hint="eastAsia" w:ascii="Times New Roman" w:hAnsi="Times New Roman" w:cs="Times New Roman"/>
          <w:sz w:val="22"/>
        </w:rPr>
        <w:t xml:space="preserve"> days</w:t>
      </w:r>
      <w:r>
        <w:rPr>
          <w:rFonts w:ascii="Times New Roman" w:hAnsi="Times New Roman" w:cs="Times New Roman"/>
          <w:sz w:val="22"/>
        </w:rPr>
        <w:t>). On the 19th day, all mice were killed and underwent immunohistochemical staining. The size of the tumor was shown in (C), and the growth time of the xenograft was shown in (D). Immunohistochemical detection was performed to detect USP25 and ki-67 protein expression in the tumor tissue (E).</w:t>
      </w:r>
      <w:bookmarkEnd w:id="0"/>
      <w:r>
        <w:rPr>
          <w:rFonts w:ascii="Times New Roman" w:hAnsi="Times New Roman" w:cs="Times New Roman"/>
          <w:sz w:val="22"/>
        </w:rPr>
        <w:t xml:space="preserve"> Scale bar, 75</w:t>
      </w:r>
      <w:r>
        <w:rPr>
          <w:rFonts w:hint="eastAsia" w:ascii="Times New Roman" w:hAnsi="Times New Roman" w:cs="Times New Roman"/>
          <w:sz w:val="22"/>
        </w:rPr>
        <w:t xml:space="preserve"> </w:t>
      </w:r>
      <w:r>
        <w:rPr>
          <w:rFonts w:ascii="Times New Roman" w:hAnsi="Times New Roman" w:cs="Times New Roman"/>
          <w:sz w:val="22"/>
        </w:rPr>
        <w:t>μm. *p&lt;0.05,</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****p&lt;0.0001 by Student’s unpaired two-sided t-test.</w:t>
      </w:r>
    </w:p>
    <w:p w14:paraId="04A3908F">
      <w:pPr>
        <w:spacing w:line="240" w:lineRule="auto"/>
        <w:rPr>
          <w:rFonts w:hint="eastAsia" w:ascii="Times New Roman" w:hAnsi="Times New Roman" w:cs="Times New Roman" w:eastAsiaTheme="minorEastAsia"/>
          <w:sz w:val="22"/>
          <w:lang w:eastAsia="zh-CN"/>
        </w:rPr>
      </w:pPr>
    </w:p>
    <w:p w14:paraId="3A79A895">
      <w:pPr>
        <w:widowControl/>
        <w:spacing w:line="340" w:lineRule="exact"/>
        <w:jc w:val="lef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6.</w:t>
      </w:r>
      <w:r>
        <w:rPr>
          <w:rFonts w:hint="eastAsia" w:ascii="Times New Roman" w:hAnsi="Times New Roman" w:cs="Times New Roman"/>
          <w:b/>
          <w:bCs/>
          <w:sz w:val="22"/>
        </w:rPr>
        <w:t xml:space="preserve"> </w:t>
      </w:r>
      <w:r>
        <w:rPr>
          <w:rFonts w:ascii="Times New Roman" w:hAnsi="Times New Roman" w:cs="Times New Roman"/>
          <w:b/>
          <w:bCs/>
          <w:sz w:val="22"/>
        </w:rPr>
        <w:t>After SiHa cells inhibited USP25, overexpression of KIFC1 rescued malignant progression of cells</w:t>
      </w:r>
    </w:p>
    <w:p w14:paraId="1BC7D928">
      <w:pPr>
        <w:numPr>
          <w:ilvl w:val="0"/>
          <w:numId w:val="3"/>
        </w:numPr>
        <w:spacing w:line="340" w:lineRule="exact"/>
        <w:rPr>
          <w:rFonts w:ascii="Times New Roman" w:hAnsi="Times New Roman" w:cs="Times New Roman"/>
          <w:sz w:val="22"/>
        </w:rPr>
      </w:pPr>
      <w:r>
        <w:rPr>
          <w:rFonts w:ascii="Times New Roman" w:hAnsi="Times New Roman" w:cs="Times New Roman"/>
          <w:sz w:val="22"/>
        </w:rPr>
        <w:t>B) CCK-8 (A) and colony formation (B) assays were performed using KIFC1-overexpressing SiHa</w:t>
      </w:r>
      <w:r>
        <w:rPr>
          <w:rFonts w:ascii="Times New Roman" w:hAnsi="Times New Roman" w:cs="Times New Roman"/>
          <w:i/>
          <w:iCs/>
          <w:sz w:val="22"/>
          <w:vertAlign w:val="superscript"/>
        </w:rPr>
        <w:t>shUSP25</w:t>
      </w:r>
      <w:r>
        <w:rPr>
          <w:rFonts w:ascii="Times New Roman" w:hAnsi="Times New Roman" w:cs="Times New Roman"/>
          <w:sz w:val="22"/>
        </w:rPr>
        <w:t xml:space="preserve"> cells.</w:t>
      </w:r>
      <w:r>
        <w:rPr>
          <w:rFonts w:hint="eastAsia" w:ascii="Times New Roman" w:hAnsi="Times New Roman" w:cs="Times New Roman"/>
          <w:sz w:val="22"/>
        </w:rPr>
        <w:t xml:space="preserve"> </w:t>
      </w:r>
      <w:r>
        <w:rPr>
          <w:rFonts w:ascii="Times New Roman" w:hAnsi="Times New Roman" w:cs="Times New Roman"/>
          <w:sz w:val="22"/>
        </w:rPr>
        <w:t>Representative images of colonies and relevant quantification are displayed in B,</w:t>
      </w:r>
      <w:r>
        <w:rPr>
          <w:rFonts w:hint="eastAsia" w:ascii="Times New Roman" w:hAnsi="Times New Roman" w:cs="Times New Roman"/>
          <w:sz w:val="22"/>
        </w:rPr>
        <w:t xml:space="preserve"> </w:t>
      </w:r>
      <w:r>
        <w:rPr>
          <w:rFonts w:ascii="Times New Roman" w:hAnsi="Times New Roman" w:cs="Times New Roman"/>
          <w:sz w:val="22"/>
        </w:rPr>
        <w:t>respectively.</w:t>
      </w:r>
      <w:r>
        <w:rPr>
          <w:rFonts w:hint="eastAsia" w:ascii="Times New Roman" w:hAnsi="Times New Roman" w:cs="Times New Roman"/>
          <w:sz w:val="22"/>
        </w:rPr>
        <w:t xml:space="preserve"> </w:t>
      </w:r>
      <w:r>
        <w:rPr>
          <w:rFonts w:ascii="Times New Roman" w:hAnsi="Times New Roman" w:cs="Times New Roman"/>
          <w:sz w:val="22"/>
        </w:rPr>
        <w:t>(C-D) The cell cycle (C) and apoptosis (D) of KIFC1-overexpressing SiHa</w:t>
      </w:r>
      <w:r>
        <w:rPr>
          <w:rFonts w:ascii="Times New Roman" w:hAnsi="Times New Roman" w:cs="Times New Roman"/>
          <w:i/>
          <w:iCs/>
          <w:sz w:val="22"/>
          <w:vertAlign w:val="superscript"/>
        </w:rPr>
        <w:t xml:space="preserve">shUSP25 </w:t>
      </w:r>
      <w:r>
        <w:rPr>
          <w:rFonts w:ascii="Times New Roman" w:hAnsi="Times New Roman" w:cs="Times New Roman"/>
          <w:sz w:val="22"/>
        </w:rPr>
        <w:t>cells were detected by flow cytometry,</w:t>
      </w:r>
      <w:r>
        <w:rPr>
          <w:rFonts w:hint="eastAsia" w:ascii="Times New Roman" w:hAnsi="Times New Roman" w:cs="Times New Roman"/>
          <w:sz w:val="22"/>
        </w:rPr>
        <w:t xml:space="preserve"> </w:t>
      </w:r>
      <w:r>
        <w:rPr>
          <w:rFonts w:ascii="Times New Roman" w:hAnsi="Times New Roman" w:cs="Times New Roman"/>
          <w:sz w:val="22"/>
        </w:rPr>
        <w:t>the corresponding data statistics are shown in the figure.(E) Transwell migration and invasion assays were conducted with KIFC1-overexpressing SiHa</w:t>
      </w:r>
      <w:r>
        <w:rPr>
          <w:rFonts w:ascii="Times New Roman" w:hAnsi="Times New Roman" w:cs="Times New Roman"/>
          <w:i/>
          <w:iCs/>
          <w:sz w:val="22"/>
          <w:vertAlign w:val="superscript"/>
        </w:rPr>
        <w:t xml:space="preserve">shUSP25 </w:t>
      </w:r>
      <w:r>
        <w:rPr>
          <w:rFonts w:ascii="Times New Roman" w:hAnsi="Times New Roman" w:cs="Times New Roman"/>
          <w:sz w:val="22"/>
        </w:rPr>
        <w:t>cells.</w:t>
      </w:r>
      <w:r>
        <w:rPr>
          <w:rFonts w:hint="eastAsia" w:ascii="Times New Roman" w:hAnsi="Times New Roman" w:cs="Times New Roman"/>
          <w:sz w:val="22"/>
        </w:rPr>
        <w:t xml:space="preserve"> </w:t>
      </w:r>
      <w:r>
        <w:rPr>
          <w:rFonts w:ascii="Times New Roman" w:hAnsi="Times New Roman" w:cs="Times New Roman"/>
          <w:sz w:val="22"/>
        </w:rPr>
        <w:t>Representative images and the quantitative results of migrated or invaded cells are displayed in E, respectively. Scale bar, 200</w:t>
      </w:r>
      <w:r>
        <w:rPr>
          <w:rFonts w:hint="eastAsia" w:ascii="Times New Roman" w:hAnsi="Times New Roman" w:cs="Times New Roman"/>
          <w:sz w:val="22"/>
        </w:rPr>
        <w:t xml:space="preserve"> </w:t>
      </w:r>
      <w:r>
        <w:rPr>
          <w:rFonts w:ascii="Times New Roman" w:hAnsi="Times New Roman" w:cs="Times New Roman"/>
          <w:sz w:val="22"/>
        </w:rPr>
        <w:t>μm. (F-G) Total ATP production of KIFC1-overexpressing SiHa</w:t>
      </w:r>
      <w:r>
        <w:rPr>
          <w:rFonts w:ascii="Times New Roman" w:hAnsi="Times New Roman" w:cs="Times New Roman"/>
          <w:i/>
          <w:iCs/>
          <w:sz w:val="22"/>
          <w:vertAlign w:val="superscript"/>
        </w:rPr>
        <w:t xml:space="preserve">shUSP25 </w:t>
      </w:r>
      <w:r>
        <w:rPr>
          <w:rFonts w:ascii="Times New Roman" w:hAnsi="Times New Roman" w:cs="Times New Roman"/>
          <w:sz w:val="22"/>
        </w:rPr>
        <w:t>cells (F) and extracellular acidification rate</w:t>
      </w:r>
      <w:r>
        <w:rPr>
          <w:rFonts w:hint="eastAsia" w:ascii="Times New Roman" w:hAnsi="Times New Roman" w:cs="Times New Roman"/>
          <w:sz w:val="22"/>
          <w:lang w:val="en-US" w:eastAsia="zh-CN"/>
        </w:rPr>
        <w:t xml:space="preserve"> </w:t>
      </w:r>
      <w:r>
        <w:rPr>
          <w:rFonts w:hint="eastAsia" w:ascii="Times New Roman" w:hAnsi="Times New Roman" w:cs="Times New Roman"/>
          <w:lang w:val="en-US" w:eastAsia="zh-CN"/>
        </w:rPr>
        <w:t xml:space="preserve">(ECAR) </w:t>
      </w:r>
      <w:r>
        <w:rPr>
          <w:rFonts w:ascii="Times New Roman" w:hAnsi="Times New Roman" w:cs="Times New Roman"/>
          <w:sz w:val="22"/>
        </w:rPr>
        <w:t>of aerobic glycolysis cells were measured by energy metabolism</w:t>
      </w:r>
      <w:r>
        <w:rPr>
          <w:rFonts w:hint="eastAsia" w:ascii="Times New Roman" w:hAnsi="Times New Roman" w:cs="Times New Roman"/>
          <w:sz w:val="22"/>
          <w:lang w:val="en-US" w:eastAsia="zh-CN"/>
        </w:rPr>
        <w:t xml:space="preserve"> (G)</w:t>
      </w:r>
      <w:r>
        <w:rPr>
          <w:rFonts w:ascii="Times New Roman" w:hAnsi="Times New Roman" w:cs="Times New Roman"/>
          <w:sz w:val="22"/>
        </w:rPr>
        <w:t>. (H-I) SiHa</w:t>
      </w:r>
      <w:r>
        <w:rPr>
          <w:rFonts w:ascii="Times New Roman" w:hAnsi="Times New Roman" w:cs="Times New Roman"/>
          <w:i/>
          <w:iCs/>
          <w:sz w:val="22"/>
          <w:vertAlign w:val="superscript"/>
        </w:rPr>
        <w:t xml:space="preserve">shUSP25 +Vector </w:t>
      </w:r>
      <w:r>
        <w:rPr>
          <w:rFonts w:ascii="Times New Roman" w:hAnsi="Times New Roman" w:cs="Times New Roman"/>
          <w:sz w:val="22"/>
        </w:rPr>
        <w:t>and SiHa</w:t>
      </w:r>
      <w:r>
        <w:rPr>
          <w:rFonts w:ascii="Times New Roman" w:hAnsi="Times New Roman" w:cs="Times New Roman"/>
          <w:i/>
          <w:iCs/>
          <w:sz w:val="22"/>
          <w:vertAlign w:val="superscript"/>
        </w:rPr>
        <w:t xml:space="preserve">shUSP25 +KIFC1 OE </w:t>
      </w:r>
      <w:r>
        <w:rPr>
          <w:rFonts w:ascii="Times New Roman" w:hAnsi="Times New Roman" w:cs="Times New Roman"/>
          <w:sz w:val="22"/>
        </w:rPr>
        <w:t>cells</w:t>
      </w:r>
      <w:r>
        <w:rPr>
          <w:rFonts w:ascii="Times New Roman" w:hAnsi="Times New Roman" w:cs="Times New Roman"/>
          <w:i/>
          <w:iCs/>
          <w:sz w:val="22"/>
          <w:vertAlign w:val="superscript"/>
        </w:rPr>
        <w:t xml:space="preserve"> </w:t>
      </w:r>
      <w:r>
        <w:rPr>
          <w:rFonts w:ascii="Times New Roman" w:hAnsi="Times New Roman" w:cs="Times New Roman"/>
          <w:sz w:val="22"/>
        </w:rPr>
        <w:t xml:space="preserve">were subjected to various analyses to measure the expression levels of </w:t>
      </w:r>
      <w:r>
        <w:rPr>
          <w:rFonts w:hint="eastAsia" w:ascii="Times New Roman" w:hAnsi="Times New Roman" w:cs="Times New Roman"/>
          <w:sz w:val="22"/>
        </w:rPr>
        <w:t xml:space="preserve">GLUT1, HK2 and LDH-A </w:t>
      </w:r>
      <w:r>
        <w:rPr>
          <w:rFonts w:ascii="Times New Roman" w:hAnsi="Times New Roman" w:cs="Times New Roman"/>
          <w:sz w:val="22"/>
        </w:rPr>
        <w:t>involved in glucose metabolism by Immunoblotting (H) and real-time PCR (I). *p&lt;0.05,</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****p&lt;0.0001 by Student’s unpaired two-sided t-test.</w:t>
      </w:r>
    </w:p>
    <w:p w14:paraId="37DBEAFC">
      <w:pPr>
        <w:widowControl/>
        <w:spacing w:line="240" w:lineRule="auto"/>
        <w:jc w:val="left"/>
        <w:rPr>
          <w:rFonts w:hint="eastAsia" w:ascii="Times New Roman" w:hAnsi="Times New Roman" w:cs="Times New Roman" w:eastAsiaTheme="minorEastAsia"/>
          <w:sz w:val="22"/>
          <w:lang w:eastAsia="zh-CN"/>
        </w:rPr>
      </w:pPr>
    </w:p>
    <w:p w14:paraId="42AFF2D3">
      <w:pPr>
        <w:widowControl/>
        <w:spacing w:line="340" w:lineRule="exact"/>
        <w:jc w:val="lef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7.</w:t>
      </w:r>
      <w:r>
        <w:rPr>
          <w:rFonts w:hint="eastAsia" w:ascii="Times New Roman" w:hAnsi="Times New Roman" w:cs="Times New Roman"/>
          <w:b/>
          <w:bCs/>
          <w:sz w:val="22"/>
        </w:rPr>
        <w:t xml:space="preserve"> </w:t>
      </w:r>
      <w:r>
        <w:rPr>
          <w:rFonts w:ascii="Times New Roman" w:hAnsi="Times New Roman" w:cs="Times New Roman"/>
          <w:b/>
          <w:bCs/>
          <w:sz w:val="22"/>
        </w:rPr>
        <w:t>Inhibition of MYCBP led to apoptosis and cycle arrest of CCa cells and impaired invasion and metastasis ability.</w:t>
      </w:r>
    </w:p>
    <w:p w14:paraId="239D8064">
      <w:pPr>
        <w:widowControl/>
        <w:spacing w:line="340" w:lineRule="exact"/>
        <w:rPr>
          <w:rFonts w:ascii="Times New Roman" w:hAnsi="Times New Roman" w:cs="Times New Roman"/>
          <w:sz w:val="22"/>
        </w:rPr>
      </w:pPr>
      <w:r>
        <w:rPr>
          <w:rFonts w:ascii="Times New Roman" w:hAnsi="Times New Roman" w:cs="Times New Roman"/>
          <w:sz w:val="22"/>
        </w:rPr>
        <w:t>(A-B) The cell cycle (A) and apoptosis (B) of MYCBP-depleted CCa cells were detected by flow cytometry,</w:t>
      </w:r>
      <w:r>
        <w:rPr>
          <w:rFonts w:hint="eastAsia" w:ascii="Times New Roman" w:hAnsi="Times New Roman" w:cs="Times New Roman"/>
          <w:sz w:val="22"/>
        </w:rPr>
        <w:t xml:space="preserve"> </w:t>
      </w:r>
      <w:r>
        <w:rPr>
          <w:rFonts w:ascii="Times New Roman" w:hAnsi="Times New Roman" w:cs="Times New Roman"/>
          <w:sz w:val="22"/>
        </w:rPr>
        <w:t>the corresponding data statistics are shown in the figure.</w:t>
      </w:r>
      <w:r>
        <w:rPr>
          <w:rFonts w:hint="eastAsia" w:ascii="Times New Roman" w:hAnsi="Times New Roman" w:cs="Times New Roman"/>
          <w:sz w:val="22"/>
        </w:rPr>
        <w:t xml:space="preserve"> </w:t>
      </w:r>
      <w:r>
        <w:rPr>
          <w:rFonts w:ascii="Times New Roman" w:hAnsi="Times New Roman" w:cs="Times New Roman"/>
          <w:sz w:val="22"/>
        </w:rPr>
        <w:t>(C-D) Transwell migration and invasion assays were conducted with KIFC1-depleted CCa cells.</w:t>
      </w:r>
      <w:r>
        <w:rPr>
          <w:rFonts w:hint="eastAsia" w:ascii="Times New Roman" w:hAnsi="Times New Roman" w:cs="Times New Roman"/>
          <w:sz w:val="22"/>
        </w:rPr>
        <w:t xml:space="preserve"> </w:t>
      </w:r>
      <w:r>
        <w:rPr>
          <w:rFonts w:ascii="Times New Roman" w:hAnsi="Times New Roman" w:cs="Times New Roman"/>
          <w:sz w:val="22"/>
        </w:rPr>
        <w:t>Representative images and the quantitative results of migrated or invaded cells are displayed in (C) and (D), respectively. Scale bar, 200μm.*p&lt;0.05,</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****p&lt;0.0001 by Student’s unpaired two-sided t-test.</w:t>
      </w:r>
    </w:p>
    <w:p w14:paraId="51954E02">
      <w:pPr>
        <w:spacing w:line="240" w:lineRule="auto"/>
        <w:rPr>
          <w:rFonts w:hint="eastAsia" w:ascii="Times New Roman" w:hAnsi="Times New Roman" w:cs="Times New Roman" w:eastAsiaTheme="minorEastAsia"/>
          <w:sz w:val="22"/>
          <w:lang w:eastAsia="zh-CN"/>
        </w:rPr>
      </w:pPr>
    </w:p>
    <w:p w14:paraId="478322FA">
      <w:pPr>
        <w:spacing w:line="340" w:lineRule="exac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ascii="Times New Roman" w:hAnsi="Times New Roman" w:cs="Times New Roman"/>
          <w:b/>
          <w:bCs/>
          <w:sz w:val="22"/>
        </w:rPr>
        <w:t>Figure 8.</w:t>
      </w:r>
      <w:r>
        <w:rPr>
          <w:rFonts w:hint="eastAsia" w:ascii="Times New Roman" w:hAnsi="Times New Roman" w:cs="Times New Roman"/>
          <w:b/>
          <w:bCs/>
          <w:sz w:val="22"/>
        </w:rPr>
        <w:t xml:space="preserve"> </w:t>
      </w:r>
      <w:r>
        <w:rPr>
          <w:rFonts w:ascii="Times New Roman" w:hAnsi="Times New Roman" w:cs="Times New Roman"/>
          <w:b/>
          <w:bCs/>
          <w:sz w:val="22"/>
        </w:rPr>
        <w:t>USP25/KIFC1/MYCBP cascade regulates CCa tumor growth in vivo.</w:t>
      </w:r>
    </w:p>
    <w:p w14:paraId="6E026C9B">
      <w:pPr>
        <w:numPr>
          <w:ilvl w:val="0"/>
          <w:numId w:val="4"/>
        </w:numPr>
        <w:spacing w:line="300" w:lineRule="exact"/>
        <w:rPr>
          <w:rFonts w:ascii="Times New Roman" w:hAnsi="Times New Roman" w:cs="Times New Roman"/>
          <w:sz w:val="22"/>
        </w:rPr>
      </w:pPr>
      <w:r>
        <w:rPr>
          <w:rFonts w:ascii="Times New Roman" w:hAnsi="Times New Roman" w:cs="Times New Roman"/>
          <w:sz w:val="22"/>
        </w:rPr>
        <w:t>B) Hela</w:t>
      </w:r>
      <w:r>
        <w:rPr>
          <w:rFonts w:ascii="Times New Roman" w:hAnsi="Times New Roman" w:cs="Times New Roman"/>
          <w:i/>
          <w:iCs/>
          <w:sz w:val="22"/>
          <w:vertAlign w:val="superscript"/>
        </w:rPr>
        <w:t>kIFC1-/-+Vector</w:t>
      </w:r>
      <w:r>
        <w:rPr>
          <w:rFonts w:ascii="Times New Roman" w:hAnsi="Times New Roman" w:cs="Times New Roman"/>
          <w:sz w:val="22"/>
        </w:rPr>
        <w:t xml:space="preserve"> and HeLa</w:t>
      </w:r>
      <w:r>
        <w:rPr>
          <w:rFonts w:ascii="Times New Roman" w:hAnsi="Times New Roman" w:cs="Times New Roman"/>
          <w:i/>
          <w:iCs/>
          <w:sz w:val="22"/>
          <w:vertAlign w:val="superscript"/>
        </w:rPr>
        <w:t>KIFC1-/-+MYCBP OE</w:t>
      </w:r>
      <w:r>
        <w:rPr>
          <w:rFonts w:ascii="Times New Roman" w:hAnsi="Times New Roman" w:cs="Times New Roman"/>
          <w:sz w:val="22"/>
        </w:rPr>
        <w:t xml:space="preserve"> were used to conduct tumor formation experiments in nude mice. </w:t>
      </w:r>
      <w:r>
        <w:rPr>
          <w:rFonts w:hint="eastAsia" w:ascii="Times New Roman" w:hAnsi="Times New Roman" w:cs="Times New Roman"/>
          <w:sz w:val="22"/>
          <w:lang w:val="en-US" w:eastAsia="zh-CN"/>
        </w:rPr>
        <w:t>T</w:t>
      </w:r>
      <w:r>
        <w:rPr>
          <w:rFonts w:ascii="Times New Roman" w:hAnsi="Times New Roman" w:cs="Times New Roman"/>
          <w:sz w:val="22"/>
        </w:rPr>
        <w:t>umor tissue (A) was taken from the mice on the 19th day.Tumor growth size (B) was recorded every two days</w:t>
      </w:r>
      <w:r>
        <w:rPr>
          <w:rFonts w:hint="eastAsia" w:ascii="Times New Roman" w:hAnsi="Times New Roman" w:cs="Times New Roman"/>
          <w:sz w:val="22"/>
          <w:lang w:val="en-US" w:eastAsia="zh-CN"/>
        </w:rPr>
        <w:t xml:space="preserve">. </w:t>
      </w:r>
      <w:r>
        <w:rPr>
          <w:rFonts w:ascii="Times New Roman" w:hAnsi="Times New Roman" w:cs="Times New Roman"/>
          <w:sz w:val="22"/>
        </w:rPr>
        <w:t>(C-D) Hela</w:t>
      </w:r>
      <w:r>
        <w:rPr>
          <w:rFonts w:ascii="Times New Roman" w:hAnsi="Times New Roman" w:cs="Times New Roman"/>
          <w:i/>
          <w:iCs/>
          <w:sz w:val="22"/>
          <w:vertAlign w:val="superscript"/>
        </w:rPr>
        <w:t>shUSP5+Vector</w:t>
      </w:r>
      <w:r>
        <w:rPr>
          <w:rFonts w:ascii="Times New Roman" w:hAnsi="Times New Roman" w:cs="Times New Roman"/>
          <w:sz w:val="22"/>
        </w:rPr>
        <w:t xml:space="preserve"> and HeLa</w:t>
      </w:r>
      <w:r>
        <w:rPr>
          <w:rFonts w:ascii="Times New Roman" w:hAnsi="Times New Roman" w:cs="Times New Roman"/>
          <w:i/>
          <w:iCs/>
          <w:sz w:val="22"/>
          <w:vertAlign w:val="superscript"/>
        </w:rPr>
        <w:t>shUSP5+KIFC1 OE</w:t>
      </w:r>
      <w:r>
        <w:rPr>
          <w:rFonts w:ascii="Times New Roman" w:hAnsi="Times New Roman" w:cs="Times New Roman"/>
          <w:sz w:val="22"/>
        </w:rPr>
        <w:t xml:space="preserve"> and HeLa</w:t>
      </w:r>
      <w:r>
        <w:rPr>
          <w:rFonts w:ascii="Times New Roman" w:hAnsi="Times New Roman" w:cs="Times New Roman"/>
          <w:i/>
          <w:iCs/>
          <w:sz w:val="22"/>
          <w:vertAlign w:val="superscript"/>
        </w:rPr>
        <w:t xml:space="preserve">shUSP5+MYCBP OE </w:t>
      </w:r>
      <w:r>
        <w:rPr>
          <w:rFonts w:ascii="Times New Roman" w:hAnsi="Times New Roman" w:cs="Times New Roman"/>
          <w:sz w:val="22"/>
        </w:rPr>
        <w:t xml:space="preserve">cells were used to conduct tumor formation experiments in nude mice.  </w:t>
      </w:r>
      <w:r>
        <w:rPr>
          <w:rFonts w:hint="eastAsia" w:ascii="Times New Roman" w:hAnsi="Times New Roman" w:cs="Times New Roman"/>
          <w:sz w:val="22"/>
          <w:lang w:val="en-US" w:eastAsia="zh-CN"/>
        </w:rPr>
        <w:t>T</w:t>
      </w:r>
      <w:r>
        <w:rPr>
          <w:rFonts w:ascii="Times New Roman" w:hAnsi="Times New Roman" w:cs="Times New Roman"/>
          <w:sz w:val="22"/>
        </w:rPr>
        <w:t>umor tissue (</w:t>
      </w:r>
      <w:r>
        <w:rPr>
          <w:rFonts w:hint="eastAsia" w:ascii="Times New Roman" w:hAnsi="Times New Roman" w:cs="Times New Roman"/>
          <w:sz w:val="22"/>
          <w:lang w:val="en-US" w:eastAsia="zh-CN"/>
        </w:rPr>
        <w:t>C</w:t>
      </w:r>
      <w:r>
        <w:rPr>
          <w:rFonts w:ascii="Times New Roman" w:hAnsi="Times New Roman" w:cs="Times New Roman"/>
          <w:sz w:val="22"/>
        </w:rPr>
        <w:t>) was taken from the mice on the 15th day</w:t>
      </w:r>
      <w:r>
        <w:rPr>
          <w:rFonts w:hint="eastAsia" w:ascii="Times New Roman" w:hAnsi="Times New Roman" w:cs="Times New Roman"/>
          <w:sz w:val="22"/>
          <w:lang w:val="en-US" w:eastAsia="zh-CN"/>
        </w:rPr>
        <w:t xml:space="preserve">, </w:t>
      </w:r>
      <w:r>
        <w:rPr>
          <w:rFonts w:ascii="Times New Roman" w:hAnsi="Times New Roman" w:cs="Times New Roman"/>
          <w:sz w:val="22"/>
        </w:rPr>
        <w:t>and</w:t>
      </w:r>
      <w:r>
        <w:rPr>
          <w:rFonts w:hint="eastAsia" w:ascii="Times New Roman" w:hAnsi="Times New Roman" w:cs="Times New Roman"/>
          <w:sz w:val="22"/>
          <w:lang w:val="en-US" w:eastAsia="zh-CN"/>
        </w:rPr>
        <w:t xml:space="preserve"> t</w:t>
      </w:r>
      <w:r>
        <w:rPr>
          <w:rFonts w:ascii="Times New Roman" w:hAnsi="Times New Roman" w:cs="Times New Roman"/>
          <w:sz w:val="22"/>
        </w:rPr>
        <w:t>umor growth size (</w:t>
      </w:r>
      <w:r>
        <w:rPr>
          <w:rFonts w:hint="eastAsia" w:ascii="Times New Roman" w:hAnsi="Times New Roman" w:cs="Times New Roman"/>
          <w:sz w:val="22"/>
          <w:lang w:val="en-US" w:eastAsia="zh-CN"/>
        </w:rPr>
        <w:t>D</w:t>
      </w:r>
      <w:r>
        <w:rPr>
          <w:rFonts w:ascii="Times New Roman" w:hAnsi="Times New Roman" w:cs="Times New Roman"/>
          <w:sz w:val="22"/>
        </w:rPr>
        <w:t>) was recorded every two days.</w:t>
      </w:r>
      <w:r>
        <w:rPr>
          <w:rFonts w:hint="eastAsia" w:ascii="Times New Roman" w:hAnsi="Times New Roman" w:cs="Times New Roman"/>
          <w:sz w:val="22"/>
        </w:rPr>
        <w:t xml:space="preserve"> </w:t>
      </w:r>
      <w:r>
        <w:rPr>
          <w:rFonts w:ascii="Times New Roman" w:hAnsi="Times New Roman" w:cs="Times New Roman"/>
          <w:sz w:val="22"/>
        </w:rPr>
        <w:t>(E) The expression of KIFC1,</w:t>
      </w:r>
      <w:r>
        <w:rPr>
          <w:rFonts w:hint="eastAsia" w:ascii="Times New Roman" w:hAnsi="Times New Roman" w:cs="Times New Roman"/>
          <w:sz w:val="22"/>
          <w:lang w:val="en-US" w:eastAsia="zh-CN"/>
        </w:rPr>
        <w:t xml:space="preserve"> </w:t>
      </w:r>
      <w:r>
        <w:rPr>
          <w:rFonts w:ascii="Times New Roman" w:hAnsi="Times New Roman" w:cs="Times New Roman"/>
          <w:sz w:val="22"/>
        </w:rPr>
        <w:t>ki-67 and MYCBP proteins in Hela</w:t>
      </w:r>
      <w:r>
        <w:rPr>
          <w:rFonts w:ascii="Times New Roman" w:hAnsi="Times New Roman" w:cs="Times New Roman"/>
          <w:i/>
          <w:iCs/>
          <w:sz w:val="22"/>
          <w:vertAlign w:val="superscript"/>
        </w:rPr>
        <w:t>kIFC1-/-+Vector</w:t>
      </w:r>
      <w:r>
        <w:rPr>
          <w:rFonts w:ascii="Times New Roman" w:hAnsi="Times New Roman" w:cs="Times New Roman"/>
          <w:sz w:val="22"/>
        </w:rPr>
        <w:t xml:space="preserve"> and HeLa</w:t>
      </w:r>
      <w:r>
        <w:rPr>
          <w:rFonts w:ascii="Times New Roman" w:hAnsi="Times New Roman" w:cs="Times New Roman"/>
          <w:i/>
          <w:iCs/>
          <w:sz w:val="22"/>
          <w:vertAlign w:val="superscript"/>
        </w:rPr>
        <w:t>KIFC1-/-+MYCBP OE</w:t>
      </w:r>
      <w:r>
        <w:rPr>
          <w:rFonts w:ascii="Times New Roman" w:hAnsi="Times New Roman" w:cs="Times New Roman"/>
          <w:sz w:val="22"/>
        </w:rPr>
        <w:t xml:space="preserve"> tumor tissues was detected, and the expression differences were analyzed. Scale bar, 75μm. (F) The expression of KIFC1,</w:t>
      </w:r>
      <w:r>
        <w:rPr>
          <w:rFonts w:hint="eastAsia" w:ascii="Times New Roman" w:hAnsi="Times New Roman" w:cs="Times New Roman"/>
          <w:sz w:val="22"/>
        </w:rPr>
        <w:t xml:space="preserve"> </w:t>
      </w:r>
      <w:r>
        <w:rPr>
          <w:rFonts w:ascii="Times New Roman" w:hAnsi="Times New Roman" w:cs="Times New Roman"/>
          <w:sz w:val="22"/>
        </w:rPr>
        <w:t>ki-67 and MYCBP proteins in Hela</w:t>
      </w:r>
      <w:r>
        <w:rPr>
          <w:rFonts w:ascii="Times New Roman" w:hAnsi="Times New Roman" w:cs="Times New Roman"/>
          <w:i/>
          <w:iCs/>
          <w:sz w:val="22"/>
          <w:vertAlign w:val="superscript"/>
        </w:rPr>
        <w:t>shUSP5+Vector</w:t>
      </w:r>
      <w:r>
        <w:rPr>
          <w:rFonts w:ascii="Times New Roman" w:hAnsi="Times New Roman" w:cs="Times New Roman"/>
          <w:sz w:val="22"/>
        </w:rPr>
        <w:t xml:space="preserve"> and HeLa</w:t>
      </w:r>
      <w:r>
        <w:rPr>
          <w:rFonts w:ascii="Times New Roman" w:hAnsi="Times New Roman" w:cs="Times New Roman"/>
          <w:i/>
          <w:iCs/>
          <w:sz w:val="22"/>
          <w:vertAlign w:val="superscript"/>
        </w:rPr>
        <w:t>shUSP5+KIFC1 OE</w:t>
      </w:r>
      <w:r>
        <w:rPr>
          <w:rFonts w:ascii="Times New Roman" w:hAnsi="Times New Roman" w:cs="Times New Roman"/>
          <w:sz w:val="22"/>
        </w:rPr>
        <w:t xml:space="preserve"> and HeLa</w:t>
      </w:r>
      <w:r>
        <w:rPr>
          <w:rFonts w:ascii="Times New Roman" w:hAnsi="Times New Roman" w:cs="Times New Roman"/>
          <w:i/>
          <w:iCs/>
          <w:sz w:val="22"/>
          <w:vertAlign w:val="superscript"/>
        </w:rPr>
        <w:t xml:space="preserve">shUSP5+MYCBP OE </w:t>
      </w:r>
      <w:r>
        <w:rPr>
          <w:rFonts w:ascii="Times New Roman" w:hAnsi="Times New Roman" w:cs="Times New Roman"/>
          <w:sz w:val="22"/>
        </w:rPr>
        <w:t>tumor tissues was detected, and the expression differences were analyzed. Scale bar, 75</w:t>
      </w:r>
      <w:r>
        <w:rPr>
          <w:rFonts w:hint="eastAsia" w:ascii="Times New Roman" w:hAnsi="Times New Roman" w:cs="Times New Roman"/>
          <w:sz w:val="22"/>
        </w:rPr>
        <w:t xml:space="preserve"> </w:t>
      </w:r>
      <w:r>
        <w:rPr>
          <w:rFonts w:ascii="Times New Roman" w:hAnsi="Times New Roman" w:cs="Times New Roman"/>
          <w:sz w:val="22"/>
        </w:rPr>
        <w:t>μm. *p&lt;0.05,</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***p&lt;0.001,</w:t>
      </w:r>
      <w:r>
        <w:rPr>
          <w:rFonts w:hint="eastAsia" w:ascii="Times New Roman" w:hAnsi="Times New Roman" w:cs="Times New Roman"/>
          <w:sz w:val="22"/>
        </w:rPr>
        <w:t xml:space="preserve"> </w:t>
      </w:r>
      <w:r>
        <w:rPr>
          <w:rFonts w:ascii="Times New Roman" w:hAnsi="Times New Roman" w:cs="Times New Roman"/>
          <w:sz w:val="22"/>
        </w:rPr>
        <w:t>****p&lt;0.0001 by Student’s unpaired two-sided t-test.</w:t>
      </w:r>
    </w:p>
    <w:p w14:paraId="4E1111A2">
      <w:pPr>
        <w:spacing w:line="240" w:lineRule="auto"/>
        <w:rPr>
          <w:rFonts w:hint="eastAsia" w:ascii="Times New Roman" w:hAnsi="Times New Roman" w:cs="Times New Roman" w:eastAsiaTheme="minorEastAsia"/>
          <w:sz w:val="22"/>
          <w:lang w:eastAsia="zh-CN"/>
        </w:rPr>
      </w:pPr>
    </w:p>
    <w:p w14:paraId="46E97D89">
      <w:pPr>
        <w:spacing w:line="300" w:lineRule="exact"/>
        <w:rPr>
          <w:rFonts w:ascii="Times New Roman" w:hAnsi="Times New Roman" w:cs="Times New Roman"/>
          <w:b/>
          <w:bCs/>
          <w:sz w:val="22"/>
        </w:rPr>
      </w:pPr>
      <w:r>
        <w:rPr>
          <w:rFonts w:ascii="Times New Roman" w:hAnsi="Times New Roman" w:cs="Times New Roman"/>
          <w:b/>
          <w:bCs/>
          <w:sz w:val="22"/>
        </w:rPr>
        <w:t>Supplementary</w:t>
      </w:r>
      <w:r>
        <w:rPr>
          <w:rFonts w:hint="eastAsia" w:ascii="Times New Roman" w:hAnsi="Times New Roman" w:cs="Times New Roman"/>
          <w:b/>
          <w:bCs/>
          <w:sz w:val="22"/>
          <w:lang w:val="en-US" w:eastAsia="zh-CN"/>
        </w:rPr>
        <w:t xml:space="preserve"> </w:t>
      </w:r>
      <w:r>
        <w:rPr>
          <w:rFonts w:hint="eastAsia" w:ascii="Times New Roman" w:hAnsi="Times New Roman" w:cs="Times New Roman"/>
          <w:b/>
          <w:bCs/>
          <w:sz w:val="22"/>
        </w:rPr>
        <w:t>Figure 9. USP25/KIFC1/MYCBP a</w:t>
      </w:r>
      <w:bookmarkStart w:id="8" w:name="_GoBack"/>
      <w:bookmarkEnd w:id="8"/>
      <w:r>
        <w:rPr>
          <w:rFonts w:hint="eastAsia" w:ascii="Times New Roman" w:hAnsi="Times New Roman" w:cs="Times New Roman"/>
          <w:b/>
          <w:bCs/>
          <w:sz w:val="22"/>
        </w:rPr>
        <w:t>xis affect the expression of c-MYC transcriptional targets.</w:t>
      </w:r>
    </w:p>
    <w:p w14:paraId="1A5590B6">
      <w:pPr>
        <w:numPr>
          <w:ilvl w:val="0"/>
          <w:numId w:val="5"/>
        </w:numPr>
        <w:spacing w:line="300" w:lineRule="exact"/>
        <w:rPr>
          <w:rFonts w:ascii="Times New Roman" w:hAnsi="Times New Roman" w:cs="Times New Roman"/>
          <w:sz w:val="22"/>
        </w:rPr>
      </w:pPr>
      <w:r>
        <w:rPr>
          <w:rFonts w:hint="eastAsia" w:ascii="Times New Roman" w:hAnsi="Times New Roman" w:cs="Times New Roman"/>
          <w:sz w:val="22"/>
        </w:rPr>
        <w:t>KIFC1 and MYCBP were overexpressed in USP25-</w:t>
      </w:r>
      <w:r>
        <w:rPr>
          <w:rFonts w:hint="eastAsia" w:ascii="Times New Roman" w:hAnsi="Times New Roman" w:cs="Times New Roman"/>
          <w:sz w:val="22"/>
          <w:lang w:val="en-US" w:eastAsia="zh-CN"/>
        </w:rPr>
        <w:t>limited</w:t>
      </w:r>
      <w:r>
        <w:rPr>
          <w:rFonts w:hint="eastAsia" w:ascii="Times New Roman" w:hAnsi="Times New Roman" w:cs="Times New Roman"/>
          <w:sz w:val="22"/>
        </w:rPr>
        <w:t xml:space="preserve"> CCa cells, and MYCBP was overexpressed in KifC1-deletion CCa cells by RT-PCR to identify gene expression.</w:t>
      </w:r>
      <w:r>
        <w:rPr>
          <w:rFonts w:hint="eastAsia" w:ascii="Times New Roman" w:hAnsi="Times New Roman" w:cs="Times New Roman"/>
          <w:sz w:val="22"/>
          <w:lang w:val="en-US" w:eastAsia="zh-CN"/>
        </w:rPr>
        <w:t xml:space="preserve"> </w:t>
      </w:r>
      <w:r>
        <w:rPr>
          <w:rFonts w:hint="eastAsia" w:ascii="Times New Roman" w:hAnsi="Times New Roman" w:cs="Times New Roman"/>
          <w:sz w:val="22"/>
        </w:rPr>
        <w:t>(B) The expression difference of KIFC1 and MYCBP did not affect the expression level of c-MYC mRNA.(C) The expression difference between KIFC1 and MYCBP affects the mRNA expression levels of CDK4, CDK2, cyclin D1, cyclin E which regulated by c-MYC transcription.*p&lt;0.05,**p&lt;0.001,***p&lt;0.001,****p&lt;0.0001 by Student’s unpaired two-sided t-test.</w:t>
      </w:r>
    </w:p>
    <w:p w14:paraId="2A620E98">
      <w:pPr>
        <w:spacing w:line="300" w:lineRule="exact"/>
        <w:rPr>
          <w:rFonts w:ascii="Times New Roman" w:hAnsi="Times New Roman" w:cs="Times New Roman"/>
          <w:sz w:val="22"/>
        </w:rPr>
      </w:pPr>
    </w:p>
    <w:p w14:paraId="3DA15769">
      <w:pPr>
        <w:jc w:val="left"/>
        <w:rPr>
          <w:rFonts w:ascii="Times New Roman" w:hAnsi="Times New Roman" w:cs="Times New Roman"/>
        </w:rPr>
      </w:pPr>
      <w:r>
        <w:rPr>
          <w:rFonts w:ascii="Times New Roman" w:hAnsi="Times New Roman" w:cs="Times New Roman"/>
        </w:rPr>
        <w:t>Table S1.</w:t>
      </w:r>
      <w:r>
        <w:rPr>
          <w:rFonts w:hint="eastAsia" w:ascii="Times New Roman" w:hAnsi="Times New Roman" w:cs="Times New Roman"/>
        </w:rPr>
        <w:t xml:space="preserve"> </w:t>
      </w:r>
      <w:r>
        <w:rPr>
          <w:rFonts w:ascii="Times New Roman" w:hAnsi="Times New Roman" w:cs="Times New Roman"/>
        </w:rPr>
        <w:t>KIFC1 sgRNA sequence</w:t>
      </w:r>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67"/>
        <w:gridCol w:w="964"/>
        <w:gridCol w:w="4532"/>
      </w:tblGrid>
      <w:tr w14:paraId="2AE59C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1" w:type="dxa"/>
            <w:gridSpan w:val="2"/>
            <w:tcBorders>
              <w:bottom w:val="single" w:color="auto" w:sz="4" w:space="0"/>
            </w:tcBorders>
          </w:tcPr>
          <w:p w14:paraId="3125C65B">
            <w:pPr>
              <w:jc w:val="center"/>
              <w:rPr>
                <w:rFonts w:ascii="Times New Roman" w:hAnsi="Times New Roman" w:cs="Times New Roman"/>
              </w:rPr>
            </w:pPr>
            <w:bookmarkStart w:id="1" w:name="OLE_LINK5"/>
            <w:r>
              <w:rPr>
                <w:rFonts w:ascii="Times New Roman" w:hAnsi="Times New Roman" w:cs="Times New Roman"/>
              </w:rPr>
              <w:t>Gene Name</w:t>
            </w:r>
            <w:bookmarkEnd w:id="1"/>
          </w:p>
        </w:tc>
        <w:tc>
          <w:tcPr>
            <w:tcW w:w="4532" w:type="dxa"/>
            <w:tcBorders>
              <w:bottom w:val="single" w:color="auto" w:sz="4" w:space="0"/>
            </w:tcBorders>
          </w:tcPr>
          <w:p w14:paraId="028F301E">
            <w:pPr>
              <w:rPr>
                <w:rFonts w:ascii="Times New Roman" w:hAnsi="Times New Roman" w:cs="Times New Roman"/>
              </w:rPr>
            </w:pPr>
            <w:r>
              <w:rPr>
                <w:rFonts w:ascii="Times New Roman" w:hAnsi="Times New Roman" w:cs="Times New Roman"/>
                <w:sz w:val="22"/>
              </w:rPr>
              <w:t>Targeting sequences (5`-3`)</w:t>
            </w:r>
          </w:p>
        </w:tc>
      </w:tr>
      <w:tr w14:paraId="16A1F9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67" w:type="dxa"/>
            <w:vMerge w:val="restart"/>
            <w:tcBorders>
              <w:top w:val="single" w:color="auto" w:sz="4" w:space="0"/>
              <w:tl2br w:val="nil"/>
              <w:tr2bl w:val="nil"/>
            </w:tcBorders>
          </w:tcPr>
          <w:p w14:paraId="31533CF6">
            <w:pPr>
              <w:spacing w:line="480" w:lineRule="auto"/>
              <w:jc w:val="center"/>
              <w:rPr>
                <w:rFonts w:ascii="Times New Roman" w:hAnsi="Times New Roman" w:cs="Times New Roman"/>
              </w:rPr>
            </w:pPr>
            <w:bookmarkStart w:id="2" w:name="OLE_LINK3"/>
            <w:r>
              <w:rPr>
                <w:rFonts w:ascii="Times New Roman" w:hAnsi="Times New Roman" w:cs="Times New Roman"/>
              </w:rPr>
              <w:t>KIFC1 sgRNA 1</w:t>
            </w:r>
            <w:bookmarkEnd w:id="2"/>
          </w:p>
        </w:tc>
        <w:tc>
          <w:tcPr>
            <w:tcW w:w="964" w:type="dxa"/>
            <w:tcBorders>
              <w:top w:val="single" w:color="auto" w:sz="4" w:space="0"/>
              <w:tl2br w:val="nil"/>
              <w:tr2bl w:val="nil"/>
            </w:tcBorders>
          </w:tcPr>
          <w:p w14:paraId="00515612">
            <w:pPr>
              <w:jc w:val="center"/>
              <w:rPr>
                <w:rFonts w:ascii="Times New Roman" w:hAnsi="Times New Roman" w:cs="Times New Roman"/>
              </w:rPr>
            </w:pPr>
            <w:bookmarkStart w:id="3" w:name="OLE_LINK4"/>
            <w:r>
              <w:rPr>
                <w:rFonts w:ascii="Times New Roman" w:hAnsi="Times New Roman" w:cs="Times New Roman"/>
              </w:rPr>
              <w:t>Forward</w:t>
            </w:r>
            <w:bookmarkEnd w:id="3"/>
          </w:p>
        </w:tc>
        <w:tc>
          <w:tcPr>
            <w:tcW w:w="4532" w:type="dxa"/>
            <w:tcBorders>
              <w:top w:val="single" w:color="auto" w:sz="4" w:space="0"/>
              <w:tl2br w:val="nil"/>
              <w:tr2bl w:val="nil"/>
            </w:tcBorders>
          </w:tcPr>
          <w:p w14:paraId="15B641F6">
            <w:pPr>
              <w:rPr>
                <w:rFonts w:ascii="Times New Roman" w:hAnsi="Times New Roman" w:cs="Times New Roman"/>
              </w:rPr>
            </w:pPr>
            <w:r>
              <w:rPr>
                <w:rFonts w:ascii="Times New Roman" w:hAnsi="Times New Roman" w:cs="Times New Roman"/>
              </w:rPr>
              <w:t>caccGAACTAAAACGGTGCCGTGAG</w:t>
            </w:r>
          </w:p>
        </w:tc>
      </w:tr>
      <w:tr w14:paraId="4DEF47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67" w:type="dxa"/>
            <w:vMerge w:val="continue"/>
            <w:tcBorders>
              <w:tl2br w:val="nil"/>
              <w:tr2bl w:val="nil"/>
            </w:tcBorders>
          </w:tcPr>
          <w:p w14:paraId="075AD651">
            <w:pPr>
              <w:jc w:val="center"/>
              <w:rPr>
                <w:rFonts w:ascii="Times New Roman" w:hAnsi="Times New Roman" w:cs="Times New Roman"/>
              </w:rPr>
            </w:pPr>
          </w:p>
        </w:tc>
        <w:tc>
          <w:tcPr>
            <w:tcW w:w="964" w:type="dxa"/>
            <w:tcBorders>
              <w:tl2br w:val="nil"/>
              <w:tr2bl w:val="nil"/>
            </w:tcBorders>
          </w:tcPr>
          <w:p w14:paraId="14B5BB04">
            <w:pPr>
              <w:jc w:val="center"/>
              <w:rPr>
                <w:rFonts w:ascii="Times New Roman" w:hAnsi="Times New Roman" w:cs="Times New Roman"/>
              </w:rPr>
            </w:pPr>
            <w:r>
              <w:rPr>
                <w:rFonts w:ascii="Times New Roman" w:hAnsi="Times New Roman" w:cs="Times New Roman"/>
              </w:rPr>
              <w:t>Reverse</w:t>
            </w:r>
          </w:p>
        </w:tc>
        <w:tc>
          <w:tcPr>
            <w:tcW w:w="4532" w:type="dxa"/>
            <w:tcBorders>
              <w:tl2br w:val="nil"/>
              <w:tr2bl w:val="nil"/>
            </w:tcBorders>
          </w:tcPr>
          <w:p w14:paraId="27D49F48">
            <w:pPr>
              <w:rPr>
                <w:rFonts w:ascii="Times New Roman" w:hAnsi="Times New Roman" w:cs="Times New Roman"/>
              </w:rPr>
            </w:pPr>
            <w:r>
              <w:rPr>
                <w:rFonts w:ascii="Times New Roman" w:hAnsi="Times New Roman" w:cs="Times New Roman"/>
              </w:rPr>
              <w:t>aaacCTCACGGCACCGTTTTAGTTC</w:t>
            </w:r>
          </w:p>
        </w:tc>
      </w:tr>
      <w:tr w14:paraId="2D1C3A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67" w:type="dxa"/>
            <w:vMerge w:val="restart"/>
            <w:tcBorders>
              <w:tl2br w:val="nil"/>
              <w:tr2bl w:val="nil"/>
            </w:tcBorders>
          </w:tcPr>
          <w:p w14:paraId="46052F29">
            <w:pPr>
              <w:spacing w:line="480" w:lineRule="auto"/>
              <w:jc w:val="center"/>
              <w:rPr>
                <w:rFonts w:ascii="Times New Roman" w:hAnsi="Times New Roman" w:cs="Times New Roman"/>
              </w:rPr>
            </w:pPr>
            <w:r>
              <w:rPr>
                <w:rFonts w:ascii="Times New Roman" w:hAnsi="Times New Roman" w:cs="Times New Roman"/>
              </w:rPr>
              <w:t>KIFC1 sgRNA 2</w:t>
            </w:r>
          </w:p>
        </w:tc>
        <w:tc>
          <w:tcPr>
            <w:tcW w:w="964" w:type="dxa"/>
            <w:tcBorders>
              <w:tl2br w:val="nil"/>
              <w:tr2bl w:val="nil"/>
            </w:tcBorders>
          </w:tcPr>
          <w:p w14:paraId="737B622A">
            <w:pPr>
              <w:jc w:val="center"/>
              <w:rPr>
                <w:rFonts w:ascii="Times New Roman" w:hAnsi="Times New Roman" w:cs="Times New Roman"/>
              </w:rPr>
            </w:pPr>
            <w:r>
              <w:rPr>
                <w:rFonts w:ascii="Times New Roman" w:hAnsi="Times New Roman" w:cs="Times New Roman"/>
              </w:rPr>
              <w:t>Forward</w:t>
            </w:r>
          </w:p>
        </w:tc>
        <w:tc>
          <w:tcPr>
            <w:tcW w:w="4532" w:type="dxa"/>
            <w:tcBorders>
              <w:tl2br w:val="nil"/>
              <w:tr2bl w:val="nil"/>
            </w:tcBorders>
          </w:tcPr>
          <w:p w14:paraId="2C58E951">
            <w:pPr>
              <w:rPr>
                <w:rFonts w:ascii="Times New Roman" w:hAnsi="Times New Roman" w:cs="Times New Roman"/>
              </w:rPr>
            </w:pPr>
            <w:r>
              <w:rPr>
                <w:rFonts w:ascii="Times New Roman" w:hAnsi="Times New Roman" w:cs="Times New Roman"/>
              </w:rPr>
              <w:t>caccGGAACTTGCGTGCTTGTGTCC</w:t>
            </w:r>
          </w:p>
        </w:tc>
      </w:tr>
      <w:tr w14:paraId="45A362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867" w:type="dxa"/>
            <w:vMerge w:val="continue"/>
            <w:tcBorders>
              <w:tl2br w:val="nil"/>
              <w:tr2bl w:val="nil"/>
            </w:tcBorders>
          </w:tcPr>
          <w:p w14:paraId="384459A6">
            <w:pPr>
              <w:rPr>
                <w:rFonts w:ascii="Times New Roman" w:hAnsi="Times New Roman" w:cs="Times New Roman"/>
              </w:rPr>
            </w:pPr>
          </w:p>
        </w:tc>
        <w:tc>
          <w:tcPr>
            <w:tcW w:w="964" w:type="dxa"/>
            <w:tcBorders>
              <w:tl2br w:val="nil"/>
              <w:tr2bl w:val="nil"/>
            </w:tcBorders>
          </w:tcPr>
          <w:p w14:paraId="2B78DDE7">
            <w:pPr>
              <w:jc w:val="center"/>
              <w:rPr>
                <w:rFonts w:ascii="Times New Roman" w:hAnsi="Times New Roman" w:cs="Times New Roman"/>
              </w:rPr>
            </w:pPr>
            <w:r>
              <w:rPr>
                <w:rFonts w:ascii="Times New Roman" w:hAnsi="Times New Roman" w:cs="Times New Roman"/>
              </w:rPr>
              <w:t>Reverse</w:t>
            </w:r>
          </w:p>
        </w:tc>
        <w:tc>
          <w:tcPr>
            <w:tcW w:w="4532" w:type="dxa"/>
            <w:tcBorders>
              <w:tl2br w:val="nil"/>
              <w:tr2bl w:val="nil"/>
            </w:tcBorders>
          </w:tcPr>
          <w:p w14:paraId="2A77EE7C">
            <w:pPr>
              <w:rPr>
                <w:rFonts w:ascii="Times New Roman" w:hAnsi="Times New Roman" w:cs="Times New Roman"/>
              </w:rPr>
            </w:pPr>
            <w:r>
              <w:rPr>
                <w:rFonts w:ascii="Times New Roman" w:hAnsi="Times New Roman" w:cs="Times New Roman"/>
              </w:rPr>
              <w:t>aaacGGACACAAGCACGCAAGTTCC</w:t>
            </w:r>
          </w:p>
        </w:tc>
      </w:tr>
    </w:tbl>
    <w:p w14:paraId="5AFC42F2">
      <w:pPr>
        <w:rPr>
          <w:rFonts w:ascii="Times New Roman" w:hAnsi="Times New Roman" w:cs="Times New Roman"/>
        </w:rPr>
      </w:pPr>
    </w:p>
    <w:p w14:paraId="65320648">
      <w:pPr>
        <w:rPr>
          <w:rFonts w:ascii="Times New Roman" w:hAnsi="Times New Roman" w:cs="Times New Roman"/>
        </w:rPr>
      </w:pPr>
      <w:r>
        <w:rPr>
          <w:rFonts w:ascii="Times New Roman" w:hAnsi="Times New Roman" w:cs="Times New Roman"/>
        </w:rPr>
        <w:t>Table S2.</w:t>
      </w:r>
      <w:r>
        <w:rPr>
          <w:rFonts w:hint="eastAsia" w:ascii="Times New Roman" w:hAnsi="Times New Roman" w:cs="Times New Roman"/>
        </w:rPr>
        <w:t xml:space="preserve"> </w:t>
      </w:r>
      <w:r>
        <w:rPr>
          <w:rFonts w:ascii="Times New Roman" w:hAnsi="Times New Roman" w:cs="Times New Roman"/>
        </w:rPr>
        <w:t>MYCBP and USP25 s</w:t>
      </w:r>
      <w:r>
        <w:rPr>
          <w:rFonts w:hint="eastAsia" w:ascii="Times New Roman" w:hAnsi="Times New Roman" w:cs="Times New Roman"/>
          <w:lang w:val="en-US" w:eastAsia="zh-CN"/>
        </w:rPr>
        <w:t>h</w:t>
      </w:r>
      <w:r>
        <w:rPr>
          <w:rFonts w:ascii="Times New Roman" w:hAnsi="Times New Roman" w:cs="Times New Roman"/>
        </w:rPr>
        <w:t>RNA sequence</w:t>
      </w:r>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6"/>
        <w:gridCol w:w="5656"/>
      </w:tblGrid>
      <w:tr w14:paraId="415452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Borders>
              <w:top w:val="single" w:color="auto" w:sz="4" w:space="0"/>
              <w:bottom w:val="single" w:color="auto" w:sz="4" w:space="0"/>
            </w:tcBorders>
          </w:tcPr>
          <w:p w14:paraId="4F436EFB">
            <w:pPr>
              <w:jc w:val="center"/>
              <w:rPr>
                <w:rFonts w:ascii="Times New Roman" w:hAnsi="Times New Roman" w:cs="Times New Roman"/>
                <w:sz w:val="22"/>
              </w:rPr>
            </w:pPr>
            <w:r>
              <w:rPr>
                <w:rFonts w:ascii="Times New Roman" w:hAnsi="Times New Roman" w:cs="Times New Roman"/>
                <w:sz w:val="22"/>
              </w:rPr>
              <w:t>siRNA/shRNA</w:t>
            </w:r>
          </w:p>
        </w:tc>
        <w:tc>
          <w:tcPr>
            <w:tcW w:w="5656" w:type="dxa"/>
            <w:tcBorders>
              <w:top w:val="single" w:color="auto" w:sz="4" w:space="0"/>
              <w:bottom w:val="single" w:color="auto" w:sz="4" w:space="0"/>
            </w:tcBorders>
          </w:tcPr>
          <w:p w14:paraId="0AE6337C">
            <w:pPr>
              <w:rPr>
                <w:rFonts w:ascii="Times New Roman" w:hAnsi="Times New Roman" w:cs="Times New Roman"/>
                <w:sz w:val="22"/>
              </w:rPr>
            </w:pPr>
            <w:r>
              <w:rPr>
                <w:rFonts w:ascii="Times New Roman" w:hAnsi="Times New Roman" w:cs="Times New Roman"/>
                <w:sz w:val="22"/>
              </w:rPr>
              <w:t>Targeting sequences (5`-3`)</w:t>
            </w:r>
          </w:p>
        </w:tc>
      </w:tr>
      <w:tr w14:paraId="2376CC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Borders>
              <w:top w:val="single" w:color="auto" w:sz="4" w:space="0"/>
            </w:tcBorders>
          </w:tcPr>
          <w:p w14:paraId="0B940C19">
            <w:pPr>
              <w:jc w:val="center"/>
              <w:rPr>
                <w:rFonts w:ascii="Times New Roman" w:hAnsi="Times New Roman" w:cs="Times New Roman"/>
                <w:sz w:val="22"/>
              </w:rPr>
            </w:pPr>
            <w:r>
              <w:rPr>
                <w:rFonts w:ascii="Times New Roman" w:hAnsi="Times New Roman" w:cs="Times New Roman"/>
                <w:sz w:val="22"/>
              </w:rPr>
              <w:t>MYCBP#1</w:t>
            </w:r>
          </w:p>
        </w:tc>
        <w:tc>
          <w:tcPr>
            <w:tcW w:w="5656" w:type="dxa"/>
            <w:tcBorders>
              <w:top w:val="single" w:color="auto" w:sz="4" w:space="0"/>
            </w:tcBorders>
          </w:tcPr>
          <w:p w14:paraId="7C7046DF">
            <w:pPr>
              <w:rPr>
                <w:rFonts w:ascii="Times New Roman" w:hAnsi="Times New Roman" w:cs="Times New Roman"/>
                <w:sz w:val="22"/>
              </w:rPr>
            </w:pPr>
            <w:r>
              <w:rPr>
                <w:rFonts w:ascii="Times New Roman" w:hAnsi="Times New Roman" w:cs="Times New Roman"/>
                <w:sz w:val="22"/>
              </w:rPr>
              <w:t>ATGGCCCATTACAAAGCCGCC</w:t>
            </w:r>
          </w:p>
        </w:tc>
      </w:tr>
      <w:tr w14:paraId="01054F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Pr>
          <w:p w14:paraId="1458E455">
            <w:pPr>
              <w:jc w:val="center"/>
              <w:rPr>
                <w:rFonts w:ascii="Times New Roman" w:hAnsi="Times New Roman" w:cs="Times New Roman"/>
                <w:sz w:val="22"/>
              </w:rPr>
            </w:pPr>
            <w:r>
              <w:rPr>
                <w:rFonts w:ascii="Times New Roman" w:hAnsi="Times New Roman" w:cs="Times New Roman"/>
                <w:sz w:val="22"/>
              </w:rPr>
              <w:t>MYCBP#2</w:t>
            </w:r>
          </w:p>
        </w:tc>
        <w:tc>
          <w:tcPr>
            <w:tcW w:w="5656" w:type="dxa"/>
          </w:tcPr>
          <w:p w14:paraId="066AB10A">
            <w:pPr>
              <w:rPr>
                <w:rFonts w:ascii="Times New Roman" w:hAnsi="Times New Roman" w:cs="Times New Roman"/>
                <w:sz w:val="22"/>
              </w:rPr>
            </w:pPr>
            <w:r>
              <w:rPr>
                <w:rFonts w:ascii="Times New Roman" w:hAnsi="Times New Roman" w:cs="Times New Roman"/>
                <w:sz w:val="22"/>
              </w:rPr>
              <w:t>TAGAACTGGCCGAAATGAAAG</w:t>
            </w:r>
          </w:p>
        </w:tc>
      </w:tr>
      <w:tr w14:paraId="093472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Pr>
          <w:p w14:paraId="32FFDFB5">
            <w:pPr>
              <w:jc w:val="center"/>
              <w:rPr>
                <w:rFonts w:ascii="Times New Roman" w:hAnsi="Times New Roman" w:cs="Times New Roman"/>
                <w:sz w:val="22"/>
              </w:rPr>
            </w:pPr>
            <w:r>
              <w:rPr>
                <w:rFonts w:ascii="Times New Roman" w:hAnsi="Times New Roman" w:cs="Times New Roman"/>
                <w:sz w:val="22"/>
              </w:rPr>
              <w:t>MYCBP#3</w:t>
            </w:r>
          </w:p>
        </w:tc>
        <w:tc>
          <w:tcPr>
            <w:tcW w:w="5656" w:type="dxa"/>
          </w:tcPr>
          <w:p w14:paraId="1634BFE1">
            <w:pPr>
              <w:rPr>
                <w:rFonts w:ascii="Times New Roman" w:hAnsi="Times New Roman" w:cs="Times New Roman"/>
                <w:sz w:val="22"/>
              </w:rPr>
            </w:pPr>
            <w:r>
              <w:rPr>
                <w:rFonts w:ascii="Times New Roman" w:hAnsi="Times New Roman" w:cs="Times New Roman"/>
                <w:sz w:val="22"/>
              </w:rPr>
              <w:t>TAGAACTGGCCGAAATGAAAG</w:t>
            </w:r>
          </w:p>
        </w:tc>
      </w:tr>
      <w:tr w14:paraId="331531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Pr>
          <w:p w14:paraId="4B088830">
            <w:pPr>
              <w:jc w:val="center"/>
              <w:rPr>
                <w:rFonts w:ascii="Times New Roman" w:hAnsi="Times New Roman" w:cs="Times New Roman"/>
                <w:sz w:val="22"/>
              </w:rPr>
            </w:pPr>
            <w:r>
              <w:rPr>
                <w:rFonts w:ascii="Times New Roman" w:hAnsi="Times New Roman" w:cs="Times New Roman"/>
                <w:sz w:val="22"/>
              </w:rPr>
              <w:t>USP25#1</w:t>
            </w:r>
          </w:p>
        </w:tc>
        <w:tc>
          <w:tcPr>
            <w:tcW w:w="5656" w:type="dxa"/>
          </w:tcPr>
          <w:p w14:paraId="383E977B">
            <w:pPr>
              <w:rPr>
                <w:rFonts w:ascii="Times New Roman" w:hAnsi="Times New Roman" w:cs="Times New Roman"/>
                <w:sz w:val="22"/>
              </w:rPr>
            </w:pPr>
            <w:r>
              <w:rPr>
                <w:rFonts w:ascii="Times New Roman" w:hAnsi="Times New Roman" w:cs="Times New Roman"/>
                <w:sz w:val="22"/>
              </w:rPr>
              <w:t>TCCATCGAACAATTGAATTAA</w:t>
            </w:r>
          </w:p>
        </w:tc>
      </w:tr>
      <w:tr w14:paraId="3E9D9E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Pr>
          <w:p w14:paraId="09D0D2C1">
            <w:pPr>
              <w:jc w:val="center"/>
              <w:rPr>
                <w:rFonts w:ascii="Times New Roman" w:hAnsi="Times New Roman" w:cs="Times New Roman"/>
                <w:sz w:val="22"/>
              </w:rPr>
            </w:pPr>
            <w:r>
              <w:rPr>
                <w:rFonts w:ascii="Times New Roman" w:hAnsi="Times New Roman" w:cs="Times New Roman"/>
                <w:sz w:val="22"/>
              </w:rPr>
              <w:t>USP25#2</w:t>
            </w:r>
          </w:p>
        </w:tc>
        <w:tc>
          <w:tcPr>
            <w:tcW w:w="5656" w:type="dxa"/>
          </w:tcPr>
          <w:p w14:paraId="5290A5DD">
            <w:pPr>
              <w:rPr>
                <w:rFonts w:ascii="Times New Roman" w:hAnsi="Times New Roman" w:cs="Times New Roman"/>
                <w:sz w:val="22"/>
              </w:rPr>
            </w:pPr>
            <w:r>
              <w:rPr>
                <w:rFonts w:ascii="Times New Roman" w:hAnsi="Times New Roman" w:cs="Times New Roman"/>
                <w:sz w:val="22"/>
              </w:rPr>
              <w:t>TCCATCGAACAATTGAATTAA</w:t>
            </w:r>
          </w:p>
        </w:tc>
      </w:tr>
      <w:tr w14:paraId="52B5266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6" w:type="dxa"/>
          </w:tcPr>
          <w:p w14:paraId="68310748">
            <w:pPr>
              <w:jc w:val="center"/>
              <w:rPr>
                <w:rFonts w:ascii="Times New Roman" w:hAnsi="Times New Roman" w:cs="Times New Roman"/>
                <w:sz w:val="22"/>
              </w:rPr>
            </w:pPr>
            <w:r>
              <w:rPr>
                <w:rFonts w:ascii="Times New Roman" w:hAnsi="Times New Roman" w:cs="Times New Roman"/>
                <w:sz w:val="22"/>
              </w:rPr>
              <w:t>USP25#3</w:t>
            </w:r>
          </w:p>
        </w:tc>
        <w:tc>
          <w:tcPr>
            <w:tcW w:w="5656" w:type="dxa"/>
          </w:tcPr>
          <w:p w14:paraId="19657D4B">
            <w:pPr>
              <w:rPr>
                <w:rFonts w:ascii="Times New Roman" w:hAnsi="Times New Roman" w:cs="Times New Roman"/>
                <w:sz w:val="22"/>
              </w:rPr>
            </w:pPr>
            <w:r>
              <w:rPr>
                <w:rFonts w:ascii="Times New Roman" w:hAnsi="Times New Roman" w:cs="Times New Roman"/>
                <w:sz w:val="22"/>
              </w:rPr>
              <w:t>CAAGCCTTGAAGGATAGTAAT</w:t>
            </w:r>
          </w:p>
        </w:tc>
      </w:tr>
    </w:tbl>
    <w:p w14:paraId="2188BEE5">
      <w:pPr>
        <w:jc w:val="left"/>
        <w:rPr>
          <w:rFonts w:ascii="Times New Roman" w:hAnsi="Times New Roman" w:cs="Times New Roman"/>
        </w:rPr>
      </w:pPr>
    </w:p>
    <w:p w14:paraId="7812D233">
      <w:pPr>
        <w:jc w:val="left"/>
        <w:rPr>
          <w:rFonts w:ascii="Times New Roman" w:hAnsi="Times New Roman" w:cs="Times New Roman"/>
        </w:rPr>
      </w:pPr>
      <w:r>
        <w:rPr>
          <w:rFonts w:ascii="Times New Roman" w:hAnsi="Times New Roman" w:cs="Times New Roman"/>
        </w:rPr>
        <w:t>Table S3.</w:t>
      </w:r>
      <w:r>
        <w:rPr>
          <w:rFonts w:hint="eastAsia" w:ascii="Times New Roman" w:hAnsi="Times New Roman" w:cs="Times New Roman"/>
        </w:rPr>
        <w:t xml:space="preserve"> </w:t>
      </w:r>
      <w:r>
        <w:rPr>
          <w:rFonts w:ascii="Times New Roman" w:hAnsi="Times New Roman" w:cs="Times New Roman"/>
        </w:rPr>
        <w:t>KIFC1 knockout genomic RT-PCR validation primer</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5485"/>
      </w:tblGrid>
      <w:tr w14:paraId="3679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Borders>
              <w:left w:val="nil"/>
              <w:bottom w:val="single" w:color="auto" w:sz="4" w:space="0"/>
              <w:right w:val="nil"/>
            </w:tcBorders>
          </w:tcPr>
          <w:p w14:paraId="51FD64A7">
            <w:pPr>
              <w:jc w:val="center"/>
              <w:rPr>
                <w:rFonts w:ascii="Times New Roman" w:hAnsi="Times New Roman" w:cs="Times New Roman"/>
              </w:rPr>
            </w:pPr>
            <w:r>
              <w:rPr>
                <w:rFonts w:ascii="Times New Roman" w:hAnsi="Times New Roman" w:cs="Times New Roman"/>
              </w:rPr>
              <w:t>Primer</w:t>
            </w:r>
          </w:p>
        </w:tc>
        <w:tc>
          <w:tcPr>
            <w:tcW w:w="5485" w:type="dxa"/>
            <w:tcBorders>
              <w:left w:val="nil"/>
              <w:bottom w:val="single" w:color="auto" w:sz="4" w:space="0"/>
              <w:right w:val="nil"/>
            </w:tcBorders>
          </w:tcPr>
          <w:p w14:paraId="3D37D960">
            <w:pPr>
              <w:jc w:val="left"/>
              <w:rPr>
                <w:rFonts w:ascii="Times New Roman" w:hAnsi="Times New Roman" w:cs="Times New Roman"/>
              </w:rPr>
            </w:pPr>
            <w:bookmarkStart w:id="4" w:name="OLE_LINK6"/>
            <w:r>
              <w:rPr>
                <w:rFonts w:ascii="Times New Roman" w:hAnsi="Times New Roman" w:cs="Times New Roman"/>
                <w:sz w:val="22"/>
              </w:rPr>
              <w:t>Targeting sequences (5`-3`)</w:t>
            </w:r>
            <w:bookmarkEnd w:id="4"/>
          </w:p>
        </w:tc>
      </w:tr>
      <w:tr w14:paraId="25C1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Borders>
              <w:top w:val="single" w:color="auto" w:sz="4" w:space="0"/>
              <w:left w:val="nil"/>
              <w:bottom w:val="nil"/>
              <w:right w:val="nil"/>
            </w:tcBorders>
          </w:tcPr>
          <w:p w14:paraId="2F747F9E">
            <w:pPr>
              <w:jc w:val="center"/>
              <w:rPr>
                <w:rFonts w:ascii="Times New Roman" w:hAnsi="Times New Roman" w:cs="Times New Roman"/>
              </w:rPr>
            </w:pPr>
            <w:r>
              <w:rPr>
                <w:rFonts w:ascii="Times New Roman" w:hAnsi="Times New Roman" w:cs="Times New Roman"/>
              </w:rPr>
              <w:t>Forward</w:t>
            </w:r>
          </w:p>
        </w:tc>
        <w:tc>
          <w:tcPr>
            <w:tcW w:w="5485" w:type="dxa"/>
            <w:tcBorders>
              <w:top w:val="single" w:color="auto" w:sz="4" w:space="0"/>
              <w:left w:val="nil"/>
              <w:bottom w:val="nil"/>
              <w:right w:val="nil"/>
            </w:tcBorders>
          </w:tcPr>
          <w:p w14:paraId="0EF602C1">
            <w:pPr>
              <w:jc w:val="left"/>
              <w:rPr>
                <w:rFonts w:ascii="Times New Roman" w:hAnsi="Times New Roman" w:cs="Times New Roman"/>
              </w:rPr>
            </w:pPr>
            <w:r>
              <w:rPr>
                <w:rFonts w:ascii="Times New Roman" w:hAnsi="Times New Roman" w:cs="Times New Roman"/>
              </w:rPr>
              <w:t>AGAAGCCAGTTCCTGCTGTTCCTGT</w:t>
            </w:r>
          </w:p>
        </w:tc>
      </w:tr>
      <w:tr w14:paraId="7FDA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Borders>
              <w:top w:val="nil"/>
              <w:left w:val="nil"/>
              <w:right w:val="nil"/>
            </w:tcBorders>
          </w:tcPr>
          <w:p w14:paraId="61661B32">
            <w:pPr>
              <w:jc w:val="center"/>
              <w:rPr>
                <w:rFonts w:ascii="Times New Roman" w:hAnsi="Times New Roman" w:cs="Times New Roman"/>
              </w:rPr>
            </w:pPr>
            <w:r>
              <w:rPr>
                <w:rFonts w:ascii="Times New Roman" w:hAnsi="Times New Roman" w:cs="Times New Roman"/>
              </w:rPr>
              <w:t>Reverse</w:t>
            </w:r>
          </w:p>
        </w:tc>
        <w:tc>
          <w:tcPr>
            <w:tcW w:w="5485" w:type="dxa"/>
            <w:tcBorders>
              <w:top w:val="nil"/>
              <w:left w:val="nil"/>
              <w:right w:val="nil"/>
            </w:tcBorders>
          </w:tcPr>
          <w:p w14:paraId="346286D4">
            <w:pPr>
              <w:jc w:val="left"/>
              <w:rPr>
                <w:rFonts w:ascii="Times New Roman" w:hAnsi="Times New Roman" w:cs="Times New Roman"/>
              </w:rPr>
            </w:pPr>
            <w:r>
              <w:rPr>
                <w:rFonts w:ascii="Times New Roman" w:hAnsi="Times New Roman" w:cs="Times New Roman"/>
              </w:rPr>
              <w:t>AGAAGCCAGTTCCTGCTGTTCCTGT</w:t>
            </w:r>
          </w:p>
        </w:tc>
      </w:tr>
    </w:tbl>
    <w:p w14:paraId="0D3EA04D">
      <w:pPr>
        <w:jc w:val="left"/>
        <w:rPr>
          <w:rFonts w:ascii="Times New Roman" w:hAnsi="Times New Roman" w:cs="Times New Roman"/>
        </w:rPr>
      </w:pPr>
    </w:p>
    <w:p w14:paraId="4F3A9899">
      <w:pPr>
        <w:jc w:val="left"/>
        <w:rPr>
          <w:rFonts w:ascii="Times New Roman" w:hAnsi="Times New Roman" w:cs="Times New Roman"/>
        </w:rPr>
      </w:pPr>
      <w:r>
        <w:rPr>
          <w:rFonts w:ascii="Times New Roman" w:hAnsi="Times New Roman" w:cs="Times New Roman"/>
        </w:rPr>
        <w:t>Table S4.</w:t>
      </w:r>
      <w:r>
        <w:rPr>
          <w:rFonts w:hint="eastAsia" w:ascii="Times New Roman" w:hAnsi="Times New Roman" w:cs="Times New Roman"/>
        </w:rPr>
        <w:t xml:space="preserve"> </w:t>
      </w:r>
      <w:r>
        <w:rPr>
          <w:rFonts w:ascii="Times New Roman" w:hAnsi="Times New Roman" w:cs="Times New Roman"/>
        </w:rPr>
        <w:t>RT-qPCR series primers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964"/>
        <w:gridCol w:w="4521"/>
      </w:tblGrid>
      <w:tr w14:paraId="29E4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1" w:type="dxa"/>
            <w:gridSpan w:val="2"/>
            <w:tcBorders>
              <w:left w:val="nil"/>
              <w:bottom w:val="single" w:color="auto" w:sz="4" w:space="0"/>
              <w:right w:val="nil"/>
            </w:tcBorders>
          </w:tcPr>
          <w:p w14:paraId="7C98F3F5">
            <w:pPr>
              <w:jc w:val="center"/>
              <w:rPr>
                <w:rFonts w:ascii="Times New Roman" w:hAnsi="Times New Roman" w:cs="Times New Roman"/>
              </w:rPr>
            </w:pPr>
            <w:r>
              <w:rPr>
                <w:rFonts w:ascii="Times New Roman" w:hAnsi="Times New Roman" w:cs="Times New Roman"/>
              </w:rPr>
              <w:t>Gene Name</w:t>
            </w:r>
          </w:p>
        </w:tc>
        <w:tc>
          <w:tcPr>
            <w:tcW w:w="4521" w:type="dxa"/>
            <w:tcBorders>
              <w:left w:val="nil"/>
              <w:bottom w:val="single" w:color="auto" w:sz="4" w:space="0"/>
              <w:right w:val="nil"/>
            </w:tcBorders>
          </w:tcPr>
          <w:p w14:paraId="1B644F12">
            <w:pPr>
              <w:rPr>
                <w:rFonts w:ascii="Times New Roman" w:hAnsi="Times New Roman" w:cs="Times New Roman"/>
              </w:rPr>
            </w:pPr>
            <w:r>
              <w:rPr>
                <w:rFonts w:ascii="Times New Roman" w:hAnsi="Times New Roman" w:cs="Times New Roman"/>
                <w:sz w:val="22"/>
              </w:rPr>
              <w:t>Targeting sequences (5`-3`)</w:t>
            </w:r>
          </w:p>
        </w:tc>
      </w:tr>
      <w:tr w14:paraId="1D4F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top w:val="nil"/>
              <w:left w:val="nil"/>
              <w:right w:val="nil"/>
            </w:tcBorders>
          </w:tcPr>
          <w:p w14:paraId="6C98C687">
            <w:pPr>
              <w:spacing w:line="480" w:lineRule="auto"/>
              <w:jc w:val="center"/>
              <w:rPr>
                <w:rFonts w:ascii="Times New Roman" w:hAnsi="Times New Roman" w:cs="Times New Roman"/>
              </w:rPr>
            </w:pPr>
            <w:bookmarkStart w:id="5" w:name="OLE_LINK7" w:colFirst="1" w:colLast="1"/>
            <w:r>
              <w:rPr>
                <w:rFonts w:ascii="Times New Roman" w:hAnsi="Times New Roman" w:cs="Times New Roman"/>
              </w:rPr>
              <w:t>KIFC1</w:t>
            </w:r>
          </w:p>
        </w:tc>
        <w:tc>
          <w:tcPr>
            <w:tcW w:w="964" w:type="dxa"/>
            <w:tcBorders>
              <w:top w:val="single" w:color="auto" w:sz="4" w:space="0"/>
              <w:left w:val="nil"/>
              <w:bottom w:val="nil"/>
              <w:right w:val="nil"/>
            </w:tcBorders>
          </w:tcPr>
          <w:p w14:paraId="7007896B">
            <w:pPr>
              <w:rPr>
                <w:rFonts w:ascii="Times New Roman" w:hAnsi="Times New Roman" w:cs="Times New Roman"/>
              </w:rPr>
            </w:pPr>
            <w:r>
              <w:rPr>
                <w:rFonts w:ascii="Times New Roman" w:hAnsi="Times New Roman" w:cs="Times New Roman"/>
              </w:rPr>
              <w:t>Forward</w:t>
            </w:r>
          </w:p>
        </w:tc>
        <w:tc>
          <w:tcPr>
            <w:tcW w:w="4521" w:type="dxa"/>
            <w:tcBorders>
              <w:top w:val="single" w:color="auto" w:sz="4" w:space="0"/>
              <w:left w:val="nil"/>
              <w:bottom w:val="nil"/>
              <w:right w:val="nil"/>
            </w:tcBorders>
          </w:tcPr>
          <w:p w14:paraId="5A4BD042">
            <w:pPr>
              <w:rPr>
                <w:rFonts w:ascii="Times New Roman" w:hAnsi="Times New Roman" w:cs="Times New Roman"/>
              </w:rPr>
            </w:pPr>
            <w:r>
              <w:rPr>
                <w:rFonts w:ascii="Times New Roman" w:hAnsi="Times New Roman" w:cs="Times New Roman"/>
                <w:sz w:val="22"/>
              </w:rPr>
              <w:t>GGTGCAACGACCAAAATTACC</w:t>
            </w:r>
            <w:r>
              <w:rPr>
                <w:rFonts w:ascii="Times New Roman" w:hAnsi="Times New Roman" w:cs="Times New Roman"/>
                <w:sz w:val="22"/>
              </w:rPr>
              <w:tab/>
            </w:r>
          </w:p>
        </w:tc>
      </w:tr>
      <w:tr w14:paraId="5424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bottom w:val="single" w:color="auto" w:sz="4" w:space="0"/>
              <w:right w:val="nil"/>
            </w:tcBorders>
          </w:tcPr>
          <w:p w14:paraId="178AFDA7">
            <w:pPr>
              <w:spacing w:line="480" w:lineRule="auto"/>
              <w:jc w:val="center"/>
              <w:rPr>
                <w:rFonts w:ascii="Times New Roman" w:hAnsi="Times New Roman" w:cs="Times New Roman"/>
              </w:rPr>
            </w:pPr>
          </w:p>
        </w:tc>
        <w:tc>
          <w:tcPr>
            <w:tcW w:w="964" w:type="dxa"/>
            <w:tcBorders>
              <w:top w:val="nil"/>
              <w:left w:val="nil"/>
              <w:bottom w:val="nil"/>
              <w:right w:val="nil"/>
            </w:tcBorders>
          </w:tcPr>
          <w:p w14:paraId="3BC299B2">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64E67121">
            <w:pPr>
              <w:rPr>
                <w:rFonts w:ascii="Times New Roman" w:hAnsi="Times New Roman" w:cs="Times New Roman"/>
              </w:rPr>
            </w:pPr>
            <w:r>
              <w:rPr>
                <w:rFonts w:ascii="Times New Roman" w:hAnsi="Times New Roman" w:cs="Times New Roman"/>
              </w:rPr>
              <w:t>GGGTCCTGTCTTCTTGGAAAC</w:t>
            </w:r>
          </w:p>
        </w:tc>
      </w:tr>
      <w:bookmarkEnd w:id="5"/>
      <w:tr w14:paraId="6C2CB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top w:val="nil"/>
              <w:left w:val="nil"/>
              <w:right w:val="nil"/>
            </w:tcBorders>
          </w:tcPr>
          <w:p w14:paraId="5E11FA85">
            <w:pPr>
              <w:spacing w:line="480" w:lineRule="auto"/>
              <w:jc w:val="center"/>
              <w:rPr>
                <w:rFonts w:ascii="Times New Roman" w:hAnsi="Times New Roman" w:cs="Times New Roman"/>
              </w:rPr>
            </w:pPr>
            <w:bookmarkStart w:id="6" w:name="OLE_LINK11" w:colFirst="1" w:colLast="1"/>
            <w:r>
              <w:rPr>
                <w:rFonts w:ascii="Times New Roman" w:hAnsi="Times New Roman" w:cs="Times New Roman"/>
              </w:rPr>
              <w:t>USP25</w:t>
            </w:r>
          </w:p>
        </w:tc>
        <w:tc>
          <w:tcPr>
            <w:tcW w:w="964" w:type="dxa"/>
            <w:tcBorders>
              <w:top w:val="nil"/>
              <w:left w:val="nil"/>
              <w:bottom w:val="nil"/>
              <w:right w:val="nil"/>
            </w:tcBorders>
          </w:tcPr>
          <w:p w14:paraId="047B02B4">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7864D4B9">
            <w:pPr>
              <w:rPr>
                <w:rFonts w:ascii="Times New Roman" w:hAnsi="Times New Roman" w:cs="Times New Roman"/>
              </w:rPr>
            </w:pPr>
            <w:r>
              <w:rPr>
                <w:rFonts w:ascii="Times New Roman" w:hAnsi="Times New Roman" w:cs="Times New Roman"/>
              </w:rPr>
              <w:t>GCACCAGCAGACGTTTTTGAA</w:t>
            </w:r>
          </w:p>
        </w:tc>
      </w:tr>
      <w:tr w14:paraId="7514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bottom w:val="single" w:color="auto" w:sz="4" w:space="0"/>
              <w:right w:val="nil"/>
            </w:tcBorders>
          </w:tcPr>
          <w:p w14:paraId="7EDBA422">
            <w:pPr>
              <w:spacing w:line="480" w:lineRule="auto"/>
              <w:jc w:val="center"/>
              <w:rPr>
                <w:rFonts w:ascii="Times New Roman" w:hAnsi="Times New Roman" w:cs="Times New Roman"/>
              </w:rPr>
            </w:pPr>
          </w:p>
        </w:tc>
        <w:tc>
          <w:tcPr>
            <w:tcW w:w="964" w:type="dxa"/>
            <w:tcBorders>
              <w:top w:val="nil"/>
              <w:left w:val="nil"/>
              <w:bottom w:val="nil"/>
              <w:right w:val="nil"/>
            </w:tcBorders>
          </w:tcPr>
          <w:p w14:paraId="60336C45">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26DF5EA7">
            <w:pPr>
              <w:rPr>
                <w:rFonts w:ascii="Times New Roman" w:hAnsi="Times New Roman" w:cs="Times New Roman"/>
              </w:rPr>
            </w:pPr>
            <w:r>
              <w:rPr>
                <w:rFonts w:ascii="Times New Roman" w:hAnsi="Times New Roman" w:cs="Times New Roman"/>
              </w:rPr>
              <w:t>AGCATTCTTCGCAGTAAGGAAA</w:t>
            </w:r>
          </w:p>
        </w:tc>
      </w:tr>
      <w:bookmarkEnd w:id="6"/>
      <w:tr w14:paraId="582B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top w:val="nil"/>
              <w:left w:val="nil"/>
              <w:right w:val="nil"/>
            </w:tcBorders>
          </w:tcPr>
          <w:p w14:paraId="02A032E8">
            <w:pPr>
              <w:spacing w:line="480" w:lineRule="auto"/>
              <w:jc w:val="center"/>
              <w:rPr>
                <w:rFonts w:ascii="Times New Roman" w:hAnsi="Times New Roman" w:cs="Times New Roman"/>
              </w:rPr>
            </w:pPr>
            <w:bookmarkStart w:id="7" w:name="OLE_LINK12" w:colFirst="1" w:colLast="1"/>
            <w:r>
              <w:rPr>
                <w:rFonts w:ascii="Times New Roman" w:hAnsi="Times New Roman" w:cs="Times New Roman"/>
              </w:rPr>
              <w:t>MYCBP</w:t>
            </w:r>
          </w:p>
        </w:tc>
        <w:tc>
          <w:tcPr>
            <w:tcW w:w="964" w:type="dxa"/>
            <w:tcBorders>
              <w:top w:val="nil"/>
              <w:left w:val="nil"/>
              <w:bottom w:val="nil"/>
              <w:right w:val="nil"/>
            </w:tcBorders>
            <w:shd w:val="clear" w:color="auto" w:fill="auto"/>
          </w:tcPr>
          <w:p w14:paraId="2E33550A">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450B3C20">
            <w:pPr>
              <w:rPr>
                <w:rFonts w:ascii="Times New Roman" w:hAnsi="Times New Roman" w:cs="Times New Roman"/>
              </w:rPr>
            </w:pPr>
            <w:r>
              <w:rPr>
                <w:rFonts w:ascii="Times New Roman" w:hAnsi="Times New Roman" w:cs="Times New Roman"/>
              </w:rPr>
              <w:t>ATGGCCCATTACAAAGCCG</w:t>
            </w:r>
          </w:p>
        </w:tc>
      </w:tr>
      <w:tr w14:paraId="1903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bottom w:val="single" w:color="auto" w:sz="4" w:space="0"/>
              <w:right w:val="nil"/>
            </w:tcBorders>
          </w:tcPr>
          <w:p w14:paraId="388EAB8A">
            <w:pPr>
              <w:spacing w:line="480" w:lineRule="auto"/>
              <w:jc w:val="center"/>
              <w:rPr>
                <w:rFonts w:ascii="Times New Roman" w:hAnsi="Times New Roman" w:cs="Times New Roman"/>
              </w:rPr>
            </w:pPr>
          </w:p>
        </w:tc>
        <w:tc>
          <w:tcPr>
            <w:tcW w:w="964" w:type="dxa"/>
            <w:tcBorders>
              <w:top w:val="nil"/>
              <w:left w:val="nil"/>
              <w:bottom w:val="nil"/>
              <w:right w:val="nil"/>
            </w:tcBorders>
            <w:shd w:val="clear" w:color="auto" w:fill="auto"/>
          </w:tcPr>
          <w:p w14:paraId="5E503115">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727FB603">
            <w:pPr>
              <w:rPr>
                <w:rFonts w:ascii="Times New Roman" w:hAnsi="Times New Roman" w:cs="Times New Roman"/>
              </w:rPr>
            </w:pPr>
            <w:r>
              <w:rPr>
                <w:rFonts w:ascii="Times New Roman" w:hAnsi="Times New Roman" w:cs="Times New Roman"/>
              </w:rPr>
              <w:t>TTTCTGGAGTAGCAGCTCCTAA</w:t>
            </w:r>
          </w:p>
        </w:tc>
      </w:tr>
      <w:bookmarkEnd w:id="7"/>
      <w:tr w14:paraId="4805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top w:val="nil"/>
              <w:left w:val="nil"/>
              <w:right w:val="nil"/>
            </w:tcBorders>
          </w:tcPr>
          <w:p w14:paraId="294018F7">
            <w:pPr>
              <w:spacing w:line="480" w:lineRule="auto"/>
              <w:jc w:val="center"/>
              <w:rPr>
                <w:rFonts w:ascii="Times New Roman" w:hAnsi="Times New Roman" w:cs="Times New Roman"/>
              </w:rPr>
            </w:pPr>
            <w:r>
              <w:rPr>
                <w:rFonts w:ascii="Times New Roman" w:hAnsi="Times New Roman" w:cs="Times New Roman"/>
              </w:rPr>
              <w:t>GAPDH</w:t>
            </w:r>
          </w:p>
        </w:tc>
        <w:tc>
          <w:tcPr>
            <w:tcW w:w="964" w:type="dxa"/>
            <w:tcBorders>
              <w:top w:val="nil"/>
              <w:left w:val="nil"/>
              <w:bottom w:val="nil"/>
              <w:right w:val="nil"/>
            </w:tcBorders>
            <w:shd w:val="clear" w:color="auto" w:fill="auto"/>
          </w:tcPr>
          <w:p w14:paraId="57677D6C">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14752CB9">
            <w:pPr>
              <w:rPr>
                <w:rFonts w:ascii="Times New Roman" w:hAnsi="Times New Roman" w:cs="Times New Roman"/>
              </w:rPr>
            </w:pPr>
            <w:r>
              <w:rPr>
                <w:rFonts w:ascii="Times New Roman" w:hAnsi="Times New Roman" w:cs="Times New Roman"/>
              </w:rPr>
              <w:t>GGAGCGAGATCCCTCCAAAAT</w:t>
            </w:r>
          </w:p>
        </w:tc>
      </w:tr>
      <w:tr w14:paraId="174D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2D36A7ED">
            <w:pPr>
              <w:rPr>
                <w:rFonts w:ascii="Times New Roman" w:hAnsi="Times New Roman" w:cs="Times New Roman"/>
              </w:rPr>
            </w:pPr>
          </w:p>
        </w:tc>
        <w:tc>
          <w:tcPr>
            <w:tcW w:w="964" w:type="dxa"/>
            <w:tcBorders>
              <w:top w:val="nil"/>
              <w:left w:val="nil"/>
              <w:bottom w:val="nil"/>
              <w:right w:val="nil"/>
            </w:tcBorders>
            <w:shd w:val="clear" w:color="auto" w:fill="auto"/>
          </w:tcPr>
          <w:p w14:paraId="3945BA77">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682AB958">
            <w:pPr>
              <w:rPr>
                <w:rFonts w:ascii="Times New Roman" w:hAnsi="Times New Roman" w:cs="Times New Roman"/>
              </w:rPr>
            </w:pPr>
            <w:r>
              <w:rPr>
                <w:rFonts w:ascii="Times New Roman" w:hAnsi="Times New Roman" w:cs="Times New Roman"/>
              </w:rPr>
              <w:t>GGCTGTTGTCATACTTCTCATGG</w:t>
            </w:r>
            <w:r>
              <w:rPr>
                <w:rFonts w:ascii="Times New Roman" w:hAnsi="Times New Roman" w:cs="Times New Roman"/>
              </w:rPr>
              <w:tab/>
            </w:r>
          </w:p>
        </w:tc>
      </w:tr>
      <w:tr w14:paraId="1D82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019F1019">
            <w:pPr>
              <w:spacing w:line="480" w:lineRule="auto"/>
              <w:jc w:val="center"/>
              <w:rPr>
                <w:rFonts w:ascii="Times New Roman" w:hAnsi="Times New Roman" w:cs="Times New Roman"/>
              </w:rPr>
            </w:pPr>
            <w:r>
              <w:rPr>
                <w:rFonts w:ascii="Times New Roman" w:hAnsi="Times New Roman" w:cs="Times New Roman"/>
              </w:rPr>
              <w:t>GLUT1</w:t>
            </w:r>
          </w:p>
        </w:tc>
        <w:tc>
          <w:tcPr>
            <w:tcW w:w="964" w:type="dxa"/>
            <w:tcBorders>
              <w:top w:val="nil"/>
              <w:left w:val="nil"/>
              <w:bottom w:val="nil"/>
              <w:right w:val="nil"/>
            </w:tcBorders>
            <w:shd w:val="clear" w:color="auto" w:fill="auto"/>
          </w:tcPr>
          <w:p w14:paraId="25B6013C">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4F41E36A">
            <w:pPr>
              <w:rPr>
                <w:rFonts w:ascii="Times New Roman" w:hAnsi="Times New Roman" w:cs="Times New Roman"/>
              </w:rPr>
            </w:pPr>
            <w:r>
              <w:rPr>
                <w:rFonts w:ascii="Times New Roman" w:hAnsi="Times New Roman" w:cs="Times New Roman"/>
              </w:rPr>
              <w:t>TCTGGCATCAACGCTGTCTT</w:t>
            </w:r>
          </w:p>
        </w:tc>
      </w:tr>
      <w:tr w14:paraId="111E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1DBF55F9">
            <w:pPr>
              <w:rPr>
                <w:rFonts w:ascii="Times New Roman" w:hAnsi="Times New Roman" w:cs="Times New Roman"/>
              </w:rPr>
            </w:pPr>
          </w:p>
        </w:tc>
        <w:tc>
          <w:tcPr>
            <w:tcW w:w="964" w:type="dxa"/>
            <w:tcBorders>
              <w:top w:val="nil"/>
              <w:left w:val="nil"/>
              <w:bottom w:val="nil"/>
              <w:right w:val="nil"/>
            </w:tcBorders>
            <w:shd w:val="clear" w:color="auto" w:fill="auto"/>
          </w:tcPr>
          <w:p w14:paraId="0A021A37">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2E2D562B">
            <w:pPr>
              <w:rPr>
                <w:rFonts w:ascii="Times New Roman" w:hAnsi="Times New Roman" w:cs="Times New Roman"/>
              </w:rPr>
            </w:pPr>
            <w:r>
              <w:rPr>
                <w:rFonts w:ascii="Times New Roman" w:hAnsi="Times New Roman" w:cs="Times New Roman"/>
              </w:rPr>
              <w:t>CCGTGTTGACGATACCGGAG</w:t>
            </w:r>
          </w:p>
        </w:tc>
      </w:tr>
      <w:tr w14:paraId="5A2C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2BA89AD5">
            <w:pPr>
              <w:spacing w:line="480" w:lineRule="auto"/>
              <w:jc w:val="center"/>
              <w:rPr>
                <w:rFonts w:ascii="Times New Roman" w:hAnsi="Times New Roman" w:cs="Times New Roman"/>
              </w:rPr>
            </w:pPr>
            <w:r>
              <w:rPr>
                <w:rFonts w:ascii="Times New Roman" w:hAnsi="Times New Roman" w:cs="Times New Roman"/>
              </w:rPr>
              <w:t>LDHA</w:t>
            </w:r>
          </w:p>
        </w:tc>
        <w:tc>
          <w:tcPr>
            <w:tcW w:w="964" w:type="dxa"/>
            <w:tcBorders>
              <w:top w:val="nil"/>
              <w:left w:val="nil"/>
              <w:bottom w:val="nil"/>
              <w:right w:val="nil"/>
            </w:tcBorders>
            <w:shd w:val="clear" w:color="auto" w:fill="auto"/>
          </w:tcPr>
          <w:p w14:paraId="4D0DBFA8">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0390A514">
            <w:pPr>
              <w:rPr>
                <w:rFonts w:ascii="Times New Roman" w:hAnsi="Times New Roman" w:cs="Times New Roman"/>
              </w:rPr>
            </w:pPr>
            <w:r>
              <w:rPr>
                <w:rFonts w:ascii="Times New Roman" w:hAnsi="Times New Roman" w:cs="Times New Roman"/>
              </w:rPr>
              <w:t>GATTCAGCCCGATTCCGTTAC</w:t>
            </w:r>
          </w:p>
        </w:tc>
      </w:tr>
      <w:tr w14:paraId="1852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0B35BC3A">
            <w:pPr>
              <w:spacing w:line="480" w:lineRule="auto"/>
              <w:jc w:val="center"/>
              <w:rPr>
                <w:rFonts w:ascii="Times New Roman" w:hAnsi="Times New Roman" w:cs="Times New Roman"/>
              </w:rPr>
            </w:pPr>
          </w:p>
        </w:tc>
        <w:tc>
          <w:tcPr>
            <w:tcW w:w="964" w:type="dxa"/>
            <w:tcBorders>
              <w:top w:val="nil"/>
              <w:left w:val="nil"/>
              <w:bottom w:val="nil"/>
              <w:right w:val="nil"/>
            </w:tcBorders>
            <w:shd w:val="clear" w:color="auto" w:fill="auto"/>
          </w:tcPr>
          <w:p w14:paraId="192F10CE">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5C80A95B">
            <w:pPr>
              <w:rPr>
                <w:rFonts w:ascii="Times New Roman" w:hAnsi="Times New Roman" w:cs="Times New Roman"/>
              </w:rPr>
            </w:pPr>
            <w:r>
              <w:rPr>
                <w:rFonts w:ascii="Times New Roman" w:hAnsi="Times New Roman" w:cs="Times New Roman"/>
              </w:rPr>
              <w:t>AGAGACACCAGCAACATTCATTC</w:t>
            </w:r>
          </w:p>
        </w:tc>
      </w:tr>
      <w:tr w14:paraId="10B4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33EEC30E">
            <w:pPr>
              <w:spacing w:line="480" w:lineRule="auto"/>
              <w:jc w:val="center"/>
              <w:rPr>
                <w:rFonts w:ascii="Times New Roman" w:hAnsi="Times New Roman" w:cs="Times New Roman"/>
              </w:rPr>
            </w:pPr>
            <w:r>
              <w:rPr>
                <w:rFonts w:ascii="Times New Roman" w:hAnsi="Times New Roman" w:cs="Times New Roman"/>
              </w:rPr>
              <w:t>HK2</w:t>
            </w:r>
          </w:p>
        </w:tc>
        <w:tc>
          <w:tcPr>
            <w:tcW w:w="964" w:type="dxa"/>
            <w:tcBorders>
              <w:top w:val="nil"/>
              <w:left w:val="nil"/>
              <w:bottom w:val="nil"/>
              <w:right w:val="nil"/>
            </w:tcBorders>
            <w:shd w:val="clear" w:color="auto" w:fill="auto"/>
          </w:tcPr>
          <w:p w14:paraId="62C66CC5">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025D16DE">
            <w:pPr>
              <w:rPr>
                <w:rFonts w:ascii="Times New Roman" w:hAnsi="Times New Roman" w:cs="Times New Roman"/>
              </w:rPr>
            </w:pPr>
            <w:r>
              <w:rPr>
                <w:rFonts w:ascii="Times New Roman" w:hAnsi="Times New Roman" w:cs="Times New Roman"/>
              </w:rPr>
              <w:t>TGAGGTCCTGATGCGGTTGG</w:t>
            </w:r>
          </w:p>
        </w:tc>
      </w:tr>
      <w:tr w14:paraId="2B1B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56E087CF">
            <w:pPr>
              <w:rPr>
                <w:rFonts w:ascii="Times New Roman" w:hAnsi="Times New Roman" w:cs="Times New Roman"/>
              </w:rPr>
            </w:pPr>
          </w:p>
        </w:tc>
        <w:tc>
          <w:tcPr>
            <w:tcW w:w="964" w:type="dxa"/>
            <w:tcBorders>
              <w:top w:val="nil"/>
              <w:left w:val="nil"/>
              <w:bottom w:val="nil"/>
              <w:right w:val="nil"/>
            </w:tcBorders>
            <w:shd w:val="clear" w:color="auto" w:fill="auto"/>
          </w:tcPr>
          <w:p w14:paraId="1DB5573B">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21C0E894">
            <w:pPr>
              <w:rPr>
                <w:rFonts w:ascii="Times New Roman" w:hAnsi="Times New Roman" w:cs="Times New Roman"/>
              </w:rPr>
            </w:pPr>
            <w:r>
              <w:rPr>
                <w:rFonts w:ascii="Times New Roman" w:hAnsi="Times New Roman" w:cs="Times New Roman"/>
              </w:rPr>
              <w:t>TCGCCTTTGTTCTCCTTGATGC</w:t>
            </w:r>
          </w:p>
        </w:tc>
      </w:tr>
      <w:tr w14:paraId="6E70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71DA6F96">
            <w:pPr>
              <w:spacing w:line="480" w:lineRule="auto"/>
              <w:jc w:val="center"/>
              <w:rPr>
                <w:rFonts w:ascii="Times New Roman" w:hAnsi="Times New Roman" w:cs="Times New Roman"/>
              </w:rPr>
            </w:pPr>
            <w:r>
              <w:rPr>
                <w:rFonts w:ascii="Times New Roman" w:hAnsi="Times New Roman" w:cs="Times New Roman"/>
              </w:rPr>
              <w:t>CDK4</w:t>
            </w:r>
          </w:p>
        </w:tc>
        <w:tc>
          <w:tcPr>
            <w:tcW w:w="964" w:type="dxa"/>
            <w:tcBorders>
              <w:top w:val="nil"/>
              <w:left w:val="nil"/>
              <w:bottom w:val="nil"/>
              <w:right w:val="nil"/>
            </w:tcBorders>
            <w:shd w:val="clear" w:color="auto" w:fill="auto"/>
          </w:tcPr>
          <w:p w14:paraId="5BB7B3D4">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0C33F215">
            <w:pPr>
              <w:rPr>
                <w:rFonts w:ascii="Times New Roman" w:hAnsi="Times New Roman" w:cs="Times New Roman"/>
              </w:rPr>
            </w:pPr>
            <w:r>
              <w:rPr>
                <w:rFonts w:ascii="Times New Roman" w:hAnsi="Times New Roman" w:cs="Times New Roman"/>
              </w:rPr>
              <w:t>AGACCAGGACCTAAGGACATATC</w:t>
            </w:r>
          </w:p>
        </w:tc>
      </w:tr>
      <w:tr w14:paraId="43EC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3BAE5627">
            <w:pPr>
              <w:spacing w:line="480" w:lineRule="auto"/>
              <w:jc w:val="center"/>
              <w:rPr>
                <w:rFonts w:ascii="Times New Roman" w:hAnsi="Times New Roman" w:cs="Times New Roman"/>
              </w:rPr>
            </w:pPr>
          </w:p>
        </w:tc>
        <w:tc>
          <w:tcPr>
            <w:tcW w:w="964" w:type="dxa"/>
            <w:tcBorders>
              <w:top w:val="nil"/>
              <w:left w:val="nil"/>
              <w:bottom w:val="nil"/>
              <w:right w:val="nil"/>
            </w:tcBorders>
            <w:shd w:val="clear" w:color="auto" w:fill="auto"/>
          </w:tcPr>
          <w:p w14:paraId="2FEC533D">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49B08C5D">
            <w:pPr>
              <w:rPr>
                <w:rFonts w:ascii="Times New Roman" w:hAnsi="Times New Roman" w:cs="Times New Roman"/>
              </w:rPr>
            </w:pPr>
            <w:r>
              <w:rPr>
                <w:rFonts w:ascii="Times New Roman" w:hAnsi="Times New Roman" w:cs="Times New Roman"/>
              </w:rPr>
              <w:t>GCTTGACTGTTCCACCACTT</w:t>
            </w:r>
          </w:p>
        </w:tc>
      </w:tr>
      <w:tr w14:paraId="70ED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7FE5A2E8">
            <w:pPr>
              <w:spacing w:line="480" w:lineRule="auto"/>
              <w:jc w:val="center"/>
              <w:rPr>
                <w:rFonts w:ascii="Times New Roman" w:hAnsi="Times New Roman" w:cs="Times New Roman"/>
              </w:rPr>
            </w:pPr>
            <w:r>
              <w:rPr>
                <w:rFonts w:ascii="Times New Roman" w:hAnsi="Times New Roman" w:cs="Times New Roman"/>
              </w:rPr>
              <w:t>CDK2</w:t>
            </w:r>
          </w:p>
        </w:tc>
        <w:tc>
          <w:tcPr>
            <w:tcW w:w="964" w:type="dxa"/>
            <w:tcBorders>
              <w:top w:val="nil"/>
              <w:left w:val="nil"/>
              <w:bottom w:val="nil"/>
              <w:right w:val="nil"/>
            </w:tcBorders>
            <w:shd w:val="clear" w:color="auto" w:fill="auto"/>
          </w:tcPr>
          <w:p w14:paraId="5273AC4A">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476E4598">
            <w:pPr>
              <w:rPr>
                <w:rFonts w:ascii="Times New Roman" w:hAnsi="Times New Roman" w:cs="Times New Roman"/>
              </w:rPr>
            </w:pPr>
            <w:r>
              <w:rPr>
                <w:rFonts w:ascii="Times New Roman" w:hAnsi="Times New Roman" w:cs="Times New Roman"/>
              </w:rPr>
              <w:t>ATGGACGGAGCTTGTTATCG</w:t>
            </w:r>
          </w:p>
        </w:tc>
      </w:tr>
      <w:tr w14:paraId="7CF5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67" w:type="dxa"/>
            <w:vMerge w:val="continue"/>
            <w:tcBorders>
              <w:left w:val="nil"/>
              <w:right w:val="nil"/>
            </w:tcBorders>
          </w:tcPr>
          <w:p w14:paraId="2721A979">
            <w:pPr>
              <w:spacing w:line="480" w:lineRule="auto"/>
              <w:jc w:val="center"/>
              <w:rPr>
                <w:rFonts w:ascii="Times New Roman" w:hAnsi="Times New Roman" w:cs="Times New Roman"/>
              </w:rPr>
            </w:pPr>
          </w:p>
        </w:tc>
        <w:tc>
          <w:tcPr>
            <w:tcW w:w="964" w:type="dxa"/>
            <w:tcBorders>
              <w:top w:val="nil"/>
              <w:left w:val="nil"/>
              <w:bottom w:val="nil"/>
              <w:right w:val="nil"/>
            </w:tcBorders>
            <w:shd w:val="clear" w:color="auto" w:fill="auto"/>
          </w:tcPr>
          <w:p w14:paraId="0C8963D8">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121A30D9">
            <w:pPr>
              <w:rPr>
                <w:rFonts w:ascii="Times New Roman" w:hAnsi="Times New Roman" w:cs="Times New Roman"/>
              </w:rPr>
            </w:pPr>
            <w:r>
              <w:rPr>
                <w:rFonts w:ascii="Times New Roman" w:hAnsi="Times New Roman" w:cs="Times New Roman"/>
              </w:rPr>
              <w:t>TACTGGCTTGGTCACATCCT</w:t>
            </w:r>
          </w:p>
        </w:tc>
      </w:tr>
      <w:tr w14:paraId="6806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71A6122C">
            <w:pPr>
              <w:spacing w:line="480" w:lineRule="auto"/>
              <w:jc w:val="center"/>
              <w:rPr>
                <w:rFonts w:ascii="Times New Roman" w:hAnsi="Times New Roman" w:cs="Times New Roman"/>
              </w:rPr>
            </w:pPr>
            <w:r>
              <w:rPr>
                <w:rFonts w:ascii="Times New Roman" w:hAnsi="Times New Roman" w:cs="Times New Roman"/>
              </w:rPr>
              <w:t>Cyclin D1</w:t>
            </w:r>
          </w:p>
        </w:tc>
        <w:tc>
          <w:tcPr>
            <w:tcW w:w="964" w:type="dxa"/>
            <w:tcBorders>
              <w:top w:val="nil"/>
              <w:left w:val="nil"/>
              <w:bottom w:val="nil"/>
              <w:right w:val="nil"/>
            </w:tcBorders>
            <w:shd w:val="clear" w:color="auto" w:fill="auto"/>
          </w:tcPr>
          <w:p w14:paraId="345C848F">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5C581D99">
            <w:pPr>
              <w:rPr>
                <w:rFonts w:ascii="Times New Roman" w:hAnsi="Times New Roman" w:cs="Times New Roman"/>
              </w:rPr>
            </w:pPr>
            <w:r>
              <w:rPr>
                <w:rFonts w:ascii="Times New Roman" w:hAnsi="Times New Roman" w:cs="Times New Roman"/>
              </w:rPr>
              <w:t>CAGACCTTCGTTGCCCTCTG</w:t>
            </w:r>
          </w:p>
        </w:tc>
      </w:tr>
      <w:tr w14:paraId="6B88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4F8C88A3">
            <w:pPr>
              <w:spacing w:line="480" w:lineRule="auto"/>
              <w:jc w:val="center"/>
              <w:rPr>
                <w:rFonts w:ascii="Times New Roman" w:hAnsi="Times New Roman" w:cs="Times New Roman"/>
              </w:rPr>
            </w:pPr>
          </w:p>
        </w:tc>
        <w:tc>
          <w:tcPr>
            <w:tcW w:w="964" w:type="dxa"/>
            <w:tcBorders>
              <w:top w:val="nil"/>
              <w:left w:val="nil"/>
              <w:bottom w:val="nil"/>
              <w:right w:val="nil"/>
            </w:tcBorders>
            <w:shd w:val="clear" w:color="auto" w:fill="auto"/>
          </w:tcPr>
          <w:p w14:paraId="51B514B2">
            <w:pPr>
              <w:rPr>
                <w:rFonts w:ascii="Times New Roman" w:hAnsi="Times New Roman" w:cs="Times New Roman"/>
              </w:rPr>
            </w:pPr>
            <w:r>
              <w:rPr>
                <w:rFonts w:ascii="Times New Roman" w:hAnsi="Times New Roman" w:cs="Times New Roman"/>
              </w:rPr>
              <w:t>Reverse</w:t>
            </w:r>
          </w:p>
        </w:tc>
        <w:tc>
          <w:tcPr>
            <w:tcW w:w="4521" w:type="dxa"/>
            <w:tcBorders>
              <w:top w:val="nil"/>
              <w:left w:val="nil"/>
              <w:bottom w:val="nil"/>
              <w:right w:val="nil"/>
            </w:tcBorders>
          </w:tcPr>
          <w:p w14:paraId="47788A27">
            <w:pPr>
              <w:rPr>
                <w:rFonts w:ascii="Times New Roman" w:hAnsi="Times New Roman" w:cs="Times New Roman"/>
              </w:rPr>
            </w:pPr>
            <w:r>
              <w:rPr>
                <w:rFonts w:ascii="Times New Roman" w:hAnsi="Times New Roman" w:cs="Times New Roman"/>
              </w:rPr>
              <w:t>CAGTCCGGGTCACACTTGAT</w:t>
            </w:r>
          </w:p>
        </w:tc>
      </w:tr>
      <w:tr w14:paraId="68CF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restart"/>
            <w:tcBorders>
              <w:left w:val="nil"/>
              <w:right w:val="nil"/>
            </w:tcBorders>
          </w:tcPr>
          <w:p w14:paraId="6178D654">
            <w:pPr>
              <w:spacing w:line="480" w:lineRule="auto"/>
              <w:jc w:val="center"/>
              <w:rPr>
                <w:rFonts w:ascii="Times New Roman" w:hAnsi="Times New Roman" w:cs="Times New Roman"/>
              </w:rPr>
            </w:pPr>
            <w:r>
              <w:rPr>
                <w:rFonts w:ascii="Times New Roman" w:hAnsi="Times New Roman" w:cs="Times New Roman"/>
              </w:rPr>
              <w:t>Cyclin E</w:t>
            </w:r>
          </w:p>
        </w:tc>
        <w:tc>
          <w:tcPr>
            <w:tcW w:w="964" w:type="dxa"/>
            <w:tcBorders>
              <w:top w:val="nil"/>
              <w:left w:val="nil"/>
              <w:bottom w:val="nil"/>
              <w:right w:val="nil"/>
            </w:tcBorders>
            <w:shd w:val="clear" w:color="auto" w:fill="auto"/>
          </w:tcPr>
          <w:p w14:paraId="72CDD2D9">
            <w:pPr>
              <w:rPr>
                <w:rFonts w:ascii="Times New Roman" w:hAnsi="Times New Roman" w:cs="Times New Roman"/>
              </w:rPr>
            </w:pPr>
            <w:r>
              <w:rPr>
                <w:rFonts w:ascii="Times New Roman" w:hAnsi="Times New Roman" w:cs="Times New Roman"/>
              </w:rPr>
              <w:t>Forward</w:t>
            </w:r>
          </w:p>
        </w:tc>
        <w:tc>
          <w:tcPr>
            <w:tcW w:w="4521" w:type="dxa"/>
            <w:tcBorders>
              <w:top w:val="nil"/>
              <w:left w:val="nil"/>
              <w:bottom w:val="nil"/>
              <w:right w:val="nil"/>
            </w:tcBorders>
          </w:tcPr>
          <w:p w14:paraId="2577070E">
            <w:pPr>
              <w:rPr>
                <w:rFonts w:ascii="Times New Roman" w:hAnsi="Times New Roman" w:cs="Times New Roman"/>
              </w:rPr>
            </w:pPr>
            <w:r>
              <w:rPr>
                <w:rFonts w:ascii="Times New Roman" w:hAnsi="Times New Roman" w:cs="Times New Roman"/>
              </w:rPr>
              <w:t>CTGGATGTTGACTGCCTTGAAT</w:t>
            </w:r>
          </w:p>
        </w:tc>
      </w:tr>
      <w:tr w14:paraId="18E6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vMerge w:val="continue"/>
            <w:tcBorders>
              <w:left w:val="nil"/>
              <w:right w:val="nil"/>
            </w:tcBorders>
          </w:tcPr>
          <w:p w14:paraId="2FAA08B4">
            <w:pPr>
              <w:rPr>
                <w:rFonts w:ascii="Times New Roman" w:hAnsi="Times New Roman" w:cs="Times New Roman"/>
              </w:rPr>
            </w:pPr>
          </w:p>
        </w:tc>
        <w:tc>
          <w:tcPr>
            <w:tcW w:w="964" w:type="dxa"/>
            <w:tcBorders>
              <w:top w:val="nil"/>
              <w:left w:val="nil"/>
              <w:right w:val="nil"/>
            </w:tcBorders>
            <w:shd w:val="clear" w:color="auto" w:fill="auto"/>
          </w:tcPr>
          <w:p w14:paraId="5E488F47">
            <w:pPr>
              <w:rPr>
                <w:rFonts w:ascii="Times New Roman" w:hAnsi="Times New Roman" w:cs="Times New Roman"/>
              </w:rPr>
            </w:pPr>
            <w:r>
              <w:rPr>
                <w:rFonts w:ascii="Times New Roman" w:hAnsi="Times New Roman" w:cs="Times New Roman"/>
              </w:rPr>
              <w:t>Reverse</w:t>
            </w:r>
          </w:p>
        </w:tc>
        <w:tc>
          <w:tcPr>
            <w:tcW w:w="4521" w:type="dxa"/>
            <w:tcBorders>
              <w:top w:val="nil"/>
              <w:left w:val="nil"/>
              <w:right w:val="nil"/>
            </w:tcBorders>
          </w:tcPr>
          <w:p w14:paraId="31EECC3B">
            <w:pPr>
              <w:rPr>
                <w:rFonts w:ascii="Times New Roman" w:hAnsi="Times New Roman" w:cs="Times New Roman"/>
              </w:rPr>
            </w:pPr>
            <w:r>
              <w:rPr>
                <w:rFonts w:ascii="Times New Roman" w:hAnsi="Times New Roman" w:cs="Times New Roman"/>
              </w:rPr>
              <w:t>TCTCTATGTCGCACCACTGAT</w:t>
            </w:r>
          </w:p>
        </w:tc>
      </w:tr>
    </w:tbl>
    <w:p w14:paraId="2C0B8E5F">
      <w:pPr>
        <w:widowControl/>
        <w:spacing w:line="340" w:lineRule="exact"/>
        <w:jc w:val="left"/>
        <w:rPr>
          <w:rFonts w:ascii="Times New Roman" w:hAnsi="Times New Roman" w:cs="Times New Roman"/>
          <w:sz w:val="22"/>
        </w:rPr>
      </w:pPr>
    </w:p>
    <w:p w14:paraId="35D72F73">
      <w:pPr>
        <w:jc w:val="left"/>
        <w:rPr>
          <w:rFonts w:ascii="Times New Roman" w:hAnsi="Times New Roman" w:cs="Times New Roman"/>
        </w:rPr>
      </w:pPr>
    </w:p>
    <w:p w14:paraId="6158DBAF">
      <w:pPr>
        <w:jc w:val="left"/>
        <w:rPr>
          <w:rFonts w:ascii="Times New Roman" w:hAnsi="Times New Roman" w:cs="Times New Roman"/>
        </w:rPr>
      </w:pPr>
    </w:p>
    <w:p w14:paraId="324AA4AE">
      <w:pPr>
        <w:jc w:val="left"/>
        <w:rPr>
          <w:rFonts w:ascii="Times New Roman" w:hAnsi="Times New Roman" w:cs="Times New Roman"/>
        </w:rPr>
      </w:pPr>
    </w:p>
    <w:p w14:paraId="324BEE06">
      <w:pPr>
        <w:jc w:val="left"/>
        <w:rPr>
          <w:rFonts w:ascii="Times New Roman" w:hAnsi="Times New Roman" w:cs="Times New Roman"/>
        </w:rPr>
      </w:pPr>
    </w:p>
    <w:p w14:paraId="2EFB71EC">
      <w:pPr>
        <w:jc w:val="left"/>
        <w:rPr>
          <w:rFonts w:ascii="Times New Roman" w:hAnsi="Times New Roman" w:cs="Times New Roman"/>
        </w:rPr>
      </w:pPr>
    </w:p>
    <w:p w14:paraId="3EA0FAFD">
      <w:pPr>
        <w:jc w:val="left"/>
        <w:rPr>
          <w:rFonts w:ascii="Times New Roman" w:hAnsi="Times New Roman" w:cs="Times New Roman"/>
        </w:rPr>
      </w:pPr>
    </w:p>
    <w:p w14:paraId="0027BDAA">
      <w:pPr>
        <w:jc w:val="left"/>
        <w:rPr>
          <w:rFonts w:ascii="Times New Roman" w:hAnsi="Times New Roman" w:cs="Times New Roman"/>
        </w:rPr>
      </w:pPr>
    </w:p>
    <w:p w14:paraId="0FCDD4F7">
      <w:pPr>
        <w:jc w:val="left"/>
        <w:rPr>
          <w:rFonts w:ascii="Times New Roman" w:hAnsi="Times New Roman" w:cs="Times New Roman"/>
        </w:rPr>
      </w:pPr>
    </w:p>
    <w:p w14:paraId="10BA214E">
      <w:pPr>
        <w:jc w:val="left"/>
        <w:rPr>
          <w:rFonts w:ascii="Times New Roman" w:hAnsi="Times New Roman" w:cs="Times New Roman"/>
        </w:rPr>
      </w:pPr>
    </w:p>
    <w:p w14:paraId="73DA9F45">
      <w:pPr>
        <w:jc w:val="left"/>
        <w:rPr>
          <w:rFonts w:ascii="Times New Roman" w:hAnsi="Times New Roman" w:cs="Times New Roman"/>
        </w:rPr>
      </w:pPr>
    </w:p>
    <w:p w14:paraId="6C5CA264">
      <w:pPr>
        <w:jc w:val="left"/>
        <w:rPr>
          <w:rFonts w:ascii="Times New Roman" w:hAnsi="Times New Roman" w:cs="Times New Roman"/>
        </w:rPr>
      </w:pPr>
    </w:p>
    <w:p w14:paraId="7E3E3DE9">
      <w:pPr>
        <w:jc w:val="left"/>
        <w:rPr>
          <w:rFonts w:ascii="Times New Roman" w:hAnsi="Times New Roman" w:cs="Times New Roman"/>
        </w:rPr>
      </w:pPr>
    </w:p>
    <w:p w14:paraId="77FA4A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16DC4"/>
    <w:multiLevelType w:val="singleLevel"/>
    <w:tmpl w:val="81016DC4"/>
    <w:lvl w:ilvl="0" w:tentative="0">
      <w:start w:val="1"/>
      <w:numFmt w:val="upperLetter"/>
      <w:suff w:val="nothing"/>
      <w:lvlText w:val="(%1-"/>
      <w:lvlJc w:val="left"/>
    </w:lvl>
  </w:abstractNum>
  <w:abstractNum w:abstractNumId="1">
    <w:nsid w:val="8C84F9CE"/>
    <w:multiLevelType w:val="singleLevel"/>
    <w:tmpl w:val="8C84F9CE"/>
    <w:lvl w:ilvl="0" w:tentative="0">
      <w:start w:val="1"/>
      <w:numFmt w:val="upperLetter"/>
      <w:suff w:val="nothing"/>
      <w:lvlText w:val="(%1-"/>
      <w:lvlJc w:val="left"/>
    </w:lvl>
  </w:abstractNum>
  <w:abstractNum w:abstractNumId="2">
    <w:nsid w:val="AF1BF7FD"/>
    <w:multiLevelType w:val="singleLevel"/>
    <w:tmpl w:val="AF1BF7FD"/>
    <w:lvl w:ilvl="0" w:tentative="0">
      <w:start w:val="1"/>
      <w:numFmt w:val="upperLetter"/>
      <w:suff w:val="space"/>
      <w:lvlText w:val="(%1)"/>
      <w:lvlJc w:val="left"/>
    </w:lvl>
  </w:abstractNum>
  <w:abstractNum w:abstractNumId="3">
    <w:nsid w:val="BC4F772F"/>
    <w:multiLevelType w:val="singleLevel"/>
    <w:tmpl w:val="BC4F772F"/>
    <w:lvl w:ilvl="0" w:tentative="0">
      <w:start w:val="1"/>
      <w:numFmt w:val="upperLetter"/>
      <w:suff w:val="nothing"/>
      <w:lvlText w:val="(%1-"/>
      <w:lvlJc w:val="left"/>
    </w:lvl>
  </w:abstractNum>
  <w:abstractNum w:abstractNumId="4">
    <w:nsid w:val="C75881B9"/>
    <w:multiLevelType w:val="singleLevel"/>
    <w:tmpl w:val="C75881B9"/>
    <w:lvl w:ilvl="0" w:tentative="0">
      <w:start w:val="1"/>
      <w:numFmt w:val="upperLetter"/>
      <w:suff w:val="space"/>
      <w:lvlText w:val="(%1)"/>
      <w:lvlJc w:val="left"/>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070248"/>
    <w:rsid w:val="10A741DE"/>
    <w:rsid w:val="13070248"/>
    <w:rsid w:val="6DAB3E83"/>
    <w:rsid w:val="7C095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1005</Words>
  <Characters>6567</Characters>
  <Lines>0</Lines>
  <Paragraphs>0</Paragraphs>
  <TotalTime>3</TotalTime>
  <ScaleCrop>false</ScaleCrop>
  <LinksUpToDate>false</LinksUpToDate>
  <CharactersWithSpaces>7459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2025-04-24T04:09:00Z</dcterms:created>
  <dc:creator>企业用户_226519778</dc:creator>
  <cp:lastModifiedBy>阿货</cp:lastModifiedBy>
  <dcterms:modified xsi:type="dcterms:W3CDTF">2025-04-24T11:45:12Z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C4B73AD89AF549E5BCC79114DC18E97F_13</vt:lpwstr>
  </property>
  <property fmtid="{D5CDD505-2E9C-101B-9397-08002B2CF9AE}" pid="4" name="KSOTemplateDocerSaveRecord">
    <vt:lpwstr>eyJoZGlkIjoiZDE4YTdhMzYxMTIzNGY3YmNjMzEyZmIzY2NiMzViODQiLCJ1c2VySWQiOiIzNDk0MTQ4NjAifQ==</vt:lpwstr>
  </property>
</Properties>
</file>