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98DE71E" w14:textId="7455FA27" w:rsidR="007965E6" w:rsidRPr="00DF2FB5" w:rsidRDefault="00034C12" w:rsidP="007965E6">
      <w:pPr>
        <w:widowControl/>
        <w:spacing w:line="480" w:lineRule="auto"/>
        <w:contextualSpacing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  <w:r w:rsidRPr="00DF2FB5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 xml:space="preserve">Supplementary Figure </w:t>
      </w:r>
      <w:r w:rsidR="00DF2FB5" w:rsidRPr="00DF2FB5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L</w:t>
      </w:r>
      <w:r w:rsidRPr="00DF2FB5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egends</w:t>
      </w:r>
    </w:p>
    <w:p w14:paraId="2E1E2955" w14:textId="6CCEE41F" w:rsidR="007965E6" w:rsidRPr="00DF2FB5" w:rsidRDefault="00034C12" w:rsidP="007965E6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DF2FB5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B3BC769" wp14:editId="4F5DF404">
            <wp:extent cx="5274310" cy="493966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3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FB5">
        <w:rPr>
          <w:rFonts w:ascii="Times New Roman" w:hAnsi="Times New Roman" w:cs="Times New Roman"/>
          <w:b/>
          <w:bCs/>
          <w:sz w:val="20"/>
          <w:szCs w:val="20"/>
        </w:rPr>
        <w:t xml:space="preserve"> Figure S1. Related to Figure 1.</w:t>
      </w:r>
      <w:r w:rsidRPr="00DF2FB5">
        <w:rPr>
          <w:rFonts w:ascii="Times New Roman" w:hAnsi="Times New Roman" w:cs="Times New Roman"/>
          <w:sz w:val="20"/>
          <w:szCs w:val="20"/>
        </w:rPr>
        <w:t xml:space="preserve"> (A) t-SNE plots showing the ULBP2 expression in GC tumo</w:t>
      </w:r>
      <w:r w:rsidR="00DF2FB5">
        <w:rPr>
          <w:rFonts w:ascii="Times New Roman" w:hAnsi="Times New Roman" w:cs="Times New Roman"/>
          <w:sz w:val="20"/>
          <w:szCs w:val="20"/>
        </w:rPr>
        <w:t>u</w:t>
      </w:r>
      <w:r w:rsidRPr="00DF2FB5">
        <w:rPr>
          <w:rFonts w:ascii="Times New Roman" w:hAnsi="Times New Roman" w:cs="Times New Roman"/>
          <w:sz w:val="20"/>
          <w:szCs w:val="20"/>
        </w:rPr>
        <w:t>r and normal tissues. (B and C) ULBP2 expression in epithelial cells and fibroblasts from tumo</w:t>
      </w:r>
      <w:r w:rsidR="00DF2FB5">
        <w:rPr>
          <w:rFonts w:ascii="Times New Roman" w:hAnsi="Times New Roman" w:cs="Times New Roman"/>
          <w:sz w:val="20"/>
          <w:szCs w:val="20"/>
        </w:rPr>
        <w:t>u</w:t>
      </w:r>
      <w:r w:rsidRPr="00DF2FB5">
        <w:rPr>
          <w:rFonts w:ascii="Times New Roman" w:hAnsi="Times New Roman" w:cs="Times New Roman"/>
          <w:sz w:val="20"/>
          <w:szCs w:val="20"/>
        </w:rPr>
        <w:t>r and normal tissues analy</w:t>
      </w:r>
      <w:r w:rsidR="00DF2FB5">
        <w:rPr>
          <w:rFonts w:ascii="Times New Roman" w:hAnsi="Times New Roman" w:cs="Times New Roman"/>
          <w:sz w:val="20"/>
          <w:szCs w:val="20"/>
        </w:rPr>
        <w:t>s</w:t>
      </w:r>
      <w:r w:rsidRPr="00DF2FB5">
        <w:rPr>
          <w:rFonts w:ascii="Times New Roman" w:hAnsi="Times New Roman" w:cs="Times New Roman"/>
          <w:sz w:val="20"/>
          <w:szCs w:val="20"/>
        </w:rPr>
        <w:t>ed in the GSE163558 and GSE206785 datasets. (D) ULBP2 expression in TCGA GC database. (E) IHC analysis of ULBP2 protein levels in human vital organs. Data are expressed as the mean ± SEM (*p &lt; 0.05, ***p &lt; 0.001).</w:t>
      </w:r>
      <w:r w:rsidRPr="00DF2FB5">
        <w:rPr>
          <w:rFonts w:ascii="Times New Roman" w:hAnsi="Times New Roman" w:cs="Times New Roman"/>
          <w:sz w:val="20"/>
          <w:szCs w:val="20"/>
        </w:rPr>
        <w:br w:type="page"/>
      </w:r>
    </w:p>
    <w:p w14:paraId="12F8DF9D" w14:textId="5888DD80" w:rsidR="007965E6" w:rsidRPr="00DF2FB5" w:rsidRDefault="00034C12" w:rsidP="007965E6">
      <w:pPr>
        <w:widowControl/>
        <w:spacing w:line="480" w:lineRule="auto"/>
        <w:contextualSpacing/>
        <w:jc w:val="left"/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</w:pPr>
      <w:r w:rsidRPr="00DF2FB5"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6267145E" wp14:editId="27854EF7">
            <wp:extent cx="5274310" cy="837501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37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FB5">
        <w:rPr>
          <w:rFonts w:ascii="Times New Roman" w:hAnsi="Times New Roman" w:cs="Times New Roman"/>
          <w:b/>
          <w:bCs/>
          <w:sz w:val="20"/>
          <w:szCs w:val="20"/>
        </w:rPr>
        <w:t xml:space="preserve"> Figure S2. Related to Figure 2.</w:t>
      </w:r>
      <w:r w:rsidRPr="00DF2FB5">
        <w:rPr>
          <w:rFonts w:ascii="Times New Roman" w:hAnsi="Times New Roman" w:cs="Times New Roman"/>
          <w:sz w:val="20"/>
          <w:szCs w:val="20"/>
        </w:rPr>
        <w:t xml:space="preserve"> (A) ULBP2 protein levels in GC cell lines shown by </w:t>
      </w:r>
      <w:r w:rsidR="00DF2FB5">
        <w:rPr>
          <w:rFonts w:ascii="Times New Roman" w:hAnsi="Times New Roman" w:cs="Times New Roman"/>
          <w:sz w:val="20"/>
          <w:szCs w:val="20"/>
        </w:rPr>
        <w:t>w</w:t>
      </w:r>
      <w:r w:rsidRPr="00DF2FB5">
        <w:rPr>
          <w:rFonts w:ascii="Times New Roman" w:hAnsi="Times New Roman" w:cs="Times New Roman"/>
          <w:sz w:val="20"/>
          <w:szCs w:val="20"/>
        </w:rPr>
        <w:t xml:space="preserve">estern blotting. </w:t>
      </w:r>
      <w:r w:rsidRPr="00DF2FB5">
        <w:rPr>
          <w:rFonts w:ascii="Times New Roman" w:hAnsi="Times New Roman" w:cs="Times New Roman"/>
          <w:sz w:val="20"/>
          <w:szCs w:val="20"/>
        </w:rPr>
        <w:lastRenderedPageBreak/>
        <w:t xml:space="preserve">(B) ULBP2 knockout efficiency in MKN-45 and SNU-216 shown by </w:t>
      </w:r>
      <w:r w:rsidR="00DF2FB5">
        <w:rPr>
          <w:rFonts w:ascii="Times New Roman" w:hAnsi="Times New Roman" w:cs="Times New Roman"/>
          <w:sz w:val="20"/>
          <w:szCs w:val="20"/>
        </w:rPr>
        <w:t>w</w:t>
      </w:r>
      <w:r w:rsidRPr="00DF2FB5">
        <w:rPr>
          <w:rFonts w:ascii="Times New Roman" w:hAnsi="Times New Roman" w:cs="Times New Roman"/>
          <w:sz w:val="20"/>
          <w:szCs w:val="20"/>
        </w:rPr>
        <w:t xml:space="preserve">estern blotting. (C) Wound healing assay measuring the healing rate of GC cells with corresponding </w:t>
      </w:r>
      <w:r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Pr="00DF2FB5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-/-</w:t>
      </w:r>
      <w:r w:rsidRPr="00DF2FB5">
        <w:rPr>
          <w:rFonts w:ascii="Times New Roman" w:hAnsi="Times New Roman" w:cs="Times New Roman"/>
          <w:sz w:val="20"/>
          <w:szCs w:val="20"/>
        </w:rPr>
        <w:t xml:space="preserve"> cells (n = 4). (D) </w:t>
      </w:r>
      <w:r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Pr="00DF2FB5">
        <w:rPr>
          <w:rFonts w:ascii="Times New Roman" w:hAnsi="Times New Roman" w:cs="Times New Roman"/>
          <w:sz w:val="20"/>
          <w:szCs w:val="20"/>
        </w:rPr>
        <w:t xml:space="preserve"> overexpression efficiency in HGC-27 and AGS cells shown by FCM. (E) Growth curves of ctrl cells and </w:t>
      </w:r>
      <w:r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Pr="00DF2FB5">
        <w:rPr>
          <w:rFonts w:ascii="Times New Roman" w:hAnsi="Times New Roman" w:cs="Times New Roman"/>
          <w:sz w:val="20"/>
          <w:szCs w:val="20"/>
          <w:vertAlign w:val="superscript"/>
        </w:rPr>
        <w:t>+/+</w:t>
      </w:r>
      <w:r w:rsidRPr="00DF2FB5">
        <w:rPr>
          <w:rFonts w:ascii="Times New Roman" w:hAnsi="Times New Roman" w:cs="Times New Roman"/>
          <w:sz w:val="20"/>
          <w:szCs w:val="20"/>
        </w:rPr>
        <w:t xml:space="preserve"> HGC-27 and AGS cells (n = 3). (F) Colony formation assay and the statistical results of ctrl cells and </w:t>
      </w:r>
      <w:r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Pr="00DF2FB5">
        <w:rPr>
          <w:rFonts w:ascii="Times New Roman" w:hAnsi="Times New Roman" w:cs="Times New Roman"/>
          <w:sz w:val="20"/>
          <w:szCs w:val="20"/>
          <w:vertAlign w:val="superscript"/>
        </w:rPr>
        <w:t>+/+</w:t>
      </w:r>
      <w:r w:rsidRPr="00DF2FB5">
        <w:rPr>
          <w:rFonts w:ascii="Times New Roman" w:hAnsi="Times New Roman" w:cs="Times New Roman"/>
          <w:sz w:val="20"/>
          <w:szCs w:val="20"/>
        </w:rPr>
        <w:t xml:space="preserve"> HGC-27 and AGS cells (n = 3). (G) Transwell invasion assay of ctrl cells and </w:t>
      </w:r>
      <w:r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Pr="00DF2FB5">
        <w:rPr>
          <w:rFonts w:ascii="Times New Roman" w:hAnsi="Times New Roman" w:cs="Times New Roman"/>
          <w:sz w:val="20"/>
          <w:szCs w:val="20"/>
          <w:vertAlign w:val="superscript"/>
        </w:rPr>
        <w:t>+/+</w:t>
      </w:r>
      <w:r w:rsidRPr="00DF2FB5">
        <w:rPr>
          <w:rFonts w:ascii="Times New Roman" w:hAnsi="Times New Roman" w:cs="Times New Roman"/>
          <w:sz w:val="20"/>
          <w:szCs w:val="20"/>
        </w:rPr>
        <w:t xml:space="preserve"> HGC-27 and AGS cells (n = 3). (H) FCM revealed that </w:t>
      </w:r>
      <w:r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Pr="00DF2FB5">
        <w:rPr>
          <w:rFonts w:ascii="Times New Roman" w:hAnsi="Times New Roman" w:cs="Times New Roman"/>
          <w:sz w:val="20"/>
          <w:szCs w:val="20"/>
        </w:rPr>
        <w:t xml:space="preserve"> knockout could significantly induce the apoptosis of SNU-216 and MKN-45 cells (n = 3). (I) Quantification of Ki67 in NSG mice carrying wild type, </w:t>
      </w:r>
      <w:r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Pr="00DF2FB5">
        <w:rPr>
          <w:rFonts w:ascii="Times New Roman" w:hAnsi="Times New Roman" w:cs="Times New Roman"/>
          <w:sz w:val="20"/>
          <w:szCs w:val="20"/>
          <w:vertAlign w:val="superscript"/>
        </w:rPr>
        <w:t>-/-</w:t>
      </w:r>
      <w:r w:rsidRPr="00DF2FB5">
        <w:rPr>
          <w:rFonts w:ascii="Times New Roman" w:hAnsi="Times New Roman" w:cs="Times New Roman"/>
          <w:sz w:val="20"/>
          <w:szCs w:val="20"/>
        </w:rPr>
        <w:t xml:space="preserve"> MKN-45 CDX (n = 3). Data are expressed as the mean ± SEM (*p &lt; 0.05, **p &lt; 0.01, ***p &lt; 0.001).</w:t>
      </w:r>
      <w:r w:rsidRPr="00DF2FB5">
        <w:rPr>
          <w:rFonts w:ascii="Times New Roman" w:hAnsi="Times New Roman" w:cs="Times New Roman"/>
          <w:sz w:val="20"/>
          <w:szCs w:val="20"/>
        </w:rPr>
        <w:br w:type="page"/>
      </w:r>
    </w:p>
    <w:p w14:paraId="490A2702" w14:textId="6354EE72" w:rsidR="007965E6" w:rsidRPr="00DF2FB5" w:rsidRDefault="00101E7E" w:rsidP="007965E6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4C4C82B3" wp14:editId="34FABFC8">
            <wp:extent cx="5274310" cy="3215640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4C12" w:rsidRPr="00DF2FB5">
        <w:rPr>
          <w:rFonts w:ascii="Times New Roman" w:hAnsi="Times New Roman" w:cs="Times New Roman"/>
          <w:b/>
          <w:bCs/>
          <w:sz w:val="20"/>
          <w:szCs w:val="20"/>
        </w:rPr>
        <w:t xml:space="preserve"> Figure S3. Related to Figure 3. </w:t>
      </w:r>
      <w:r w:rsidR="00034C12" w:rsidRPr="00DF2FB5">
        <w:rPr>
          <w:rFonts w:ascii="Times New Roman" w:hAnsi="Times New Roman" w:cs="Times New Roman"/>
          <w:sz w:val="20"/>
          <w:szCs w:val="20"/>
        </w:rPr>
        <w:t xml:space="preserve">(A) Gene Ontology (GO) analysis of transcriptomic differences between </w:t>
      </w:r>
      <w:r w:rsidR="00034C12"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="00034C12" w:rsidRPr="00DF2FB5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-/-</w:t>
      </w:r>
      <w:r w:rsidR="00034C12" w:rsidRPr="00DF2FB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034C12" w:rsidRPr="00DF2FB5">
        <w:rPr>
          <w:rFonts w:ascii="Times New Roman" w:hAnsi="Times New Roman" w:cs="Times New Roman"/>
          <w:sz w:val="20"/>
          <w:szCs w:val="20"/>
        </w:rPr>
        <w:t xml:space="preserve">MKN-45 cells and wild type cells. (B) Transcriptome GSEA analysis revealed that the differentially expressed genes were significantly enriched in Epithelial to mesenchymal transition (EMT). (C) Western blotting of E-cadherin, N-cadherin, and Vimentin in ctrl cells and </w:t>
      </w:r>
      <w:r w:rsidR="00034C12"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="00034C12" w:rsidRPr="00DF2FB5">
        <w:rPr>
          <w:rFonts w:ascii="Times New Roman" w:hAnsi="Times New Roman" w:cs="Times New Roman"/>
          <w:sz w:val="20"/>
          <w:szCs w:val="20"/>
          <w:vertAlign w:val="superscript"/>
        </w:rPr>
        <w:t xml:space="preserve">-/- </w:t>
      </w:r>
      <w:r w:rsidR="00034C12" w:rsidRPr="00DF2FB5">
        <w:rPr>
          <w:rFonts w:ascii="Times New Roman" w:hAnsi="Times New Roman" w:cs="Times New Roman"/>
          <w:sz w:val="20"/>
          <w:szCs w:val="20"/>
        </w:rPr>
        <w:t>MKN-45 and SNU-216 cells.</w:t>
      </w:r>
      <w:r w:rsidR="00034C12" w:rsidRPr="00DF2FB5">
        <w:rPr>
          <w:rFonts w:ascii="Times New Roman" w:hAnsi="Times New Roman" w:cs="Times New Roman"/>
          <w:sz w:val="20"/>
          <w:szCs w:val="20"/>
        </w:rPr>
        <w:br w:type="page"/>
      </w:r>
    </w:p>
    <w:p w14:paraId="7AC2F567" w14:textId="403BE8C4" w:rsidR="007965E6" w:rsidRPr="00DF2FB5" w:rsidRDefault="00034C12" w:rsidP="007965E6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sz w:val="20"/>
          <w:szCs w:val="20"/>
        </w:rPr>
      </w:pPr>
      <w:r w:rsidRPr="00DF2FB5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53CB08B" wp14:editId="044D6818">
            <wp:extent cx="5274310" cy="435546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5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FB5">
        <w:rPr>
          <w:rFonts w:ascii="Times New Roman" w:hAnsi="Times New Roman" w:cs="Times New Roman"/>
          <w:b/>
          <w:bCs/>
          <w:sz w:val="20"/>
          <w:szCs w:val="20"/>
        </w:rPr>
        <w:t xml:space="preserve"> Figure S4. Related to Figure 4.</w:t>
      </w:r>
      <w:r w:rsidRPr="00DF2FB5">
        <w:rPr>
          <w:rFonts w:ascii="Times New Roman" w:hAnsi="Times New Roman" w:cs="Times New Roman"/>
          <w:sz w:val="20"/>
          <w:szCs w:val="20"/>
        </w:rPr>
        <w:t xml:space="preserve"> (A) Growth curves of CAFs cultured with supernatants from ctrl cells and </w:t>
      </w:r>
      <w:r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Pr="00DF2FB5">
        <w:rPr>
          <w:rFonts w:ascii="Times New Roman" w:hAnsi="Times New Roman" w:cs="Times New Roman"/>
          <w:sz w:val="20"/>
          <w:szCs w:val="20"/>
          <w:vertAlign w:val="superscript"/>
        </w:rPr>
        <w:t>+/+</w:t>
      </w:r>
      <w:r w:rsidRPr="00DF2FB5">
        <w:rPr>
          <w:rFonts w:ascii="Times New Roman" w:hAnsi="Times New Roman" w:cs="Times New Roman"/>
          <w:sz w:val="20"/>
          <w:szCs w:val="20"/>
        </w:rPr>
        <w:t xml:space="preserve"> AGS and HGC-27 cells (n = 3). (B) EdU assay showed that the CAFs proliferation was significantly reduced in the co-culture system of </w:t>
      </w:r>
      <w:r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Pr="00DF2FB5">
        <w:rPr>
          <w:rFonts w:ascii="Times New Roman" w:hAnsi="Times New Roman" w:cs="Times New Roman"/>
          <w:sz w:val="20"/>
          <w:szCs w:val="20"/>
        </w:rPr>
        <w:t xml:space="preserve"> knockout SNU-216 cells compared with wild type cells (n = 3). (C) Frequency of Ki67 in the co-culture system, as shown by FCM (n = 3). (D and E) Relative TGF-β1 (D) (n = 6) and collagen (E) (n = 6) content in the co-culture system. (F) The diagram of co-culture system between CAFs and GC cells. (G) Transwell invasion assay of CAFs in co-culture system (n = 3). Data are expressed as mean ± SEM (*p &lt; 0.05, **p &lt; 0.01, ***p &lt; 0.001).</w:t>
      </w:r>
      <w:r w:rsidRPr="00DF2FB5">
        <w:rPr>
          <w:rFonts w:ascii="Times New Roman" w:hAnsi="Times New Roman" w:cs="Times New Roman"/>
          <w:sz w:val="20"/>
          <w:szCs w:val="20"/>
        </w:rPr>
        <w:br w:type="page"/>
      </w:r>
    </w:p>
    <w:p w14:paraId="47C70E07" w14:textId="6A3D4CFB" w:rsidR="007965E6" w:rsidRPr="00DF2FB5" w:rsidRDefault="00034C12" w:rsidP="007965E6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DF2FB5"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289F0F8B" wp14:editId="7923FFDE">
            <wp:extent cx="5274310" cy="343916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FB5">
        <w:rPr>
          <w:rFonts w:ascii="Times New Roman" w:hAnsi="Times New Roman" w:cs="Times New Roman"/>
          <w:b/>
          <w:bCs/>
          <w:sz w:val="20"/>
          <w:szCs w:val="20"/>
        </w:rPr>
        <w:t xml:space="preserve"> Figure S5. Related to Figure 5.</w:t>
      </w:r>
      <w:r w:rsidRPr="00DF2FB5">
        <w:rPr>
          <w:rFonts w:ascii="Times New Roman" w:hAnsi="Times New Roman" w:cs="Times New Roman"/>
          <w:sz w:val="20"/>
          <w:szCs w:val="20"/>
        </w:rPr>
        <w:t xml:space="preserve"> (A) Representative images of MKN-45 cells co-culture</w:t>
      </w:r>
      <w:r w:rsidR="00DF2FB5">
        <w:rPr>
          <w:rFonts w:ascii="Times New Roman" w:hAnsi="Times New Roman" w:cs="Times New Roman"/>
          <w:sz w:val="20"/>
          <w:szCs w:val="20"/>
        </w:rPr>
        <w:t>d</w:t>
      </w:r>
      <w:r w:rsidRPr="00DF2FB5">
        <w:rPr>
          <w:rFonts w:ascii="Times New Roman" w:hAnsi="Times New Roman" w:cs="Times New Roman"/>
          <w:sz w:val="20"/>
          <w:szCs w:val="20"/>
        </w:rPr>
        <w:t xml:space="preserve"> with ULBP2 CAR-T cells. E:T, effector cells: target cells. (B to D) Killing efficiency of SNU-216 cells (B) (n = 3), </w:t>
      </w:r>
      <w:r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Pr="00DF2FB5">
        <w:rPr>
          <w:rFonts w:ascii="Times New Roman" w:hAnsi="Times New Roman" w:cs="Times New Roman"/>
          <w:sz w:val="20"/>
          <w:szCs w:val="20"/>
          <w:vertAlign w:val="superscript"/>
        </w:rPr>
        <w:t>-/-</w:t>
      </w:r>
      <w:r w:rsidRPr="00DF2FB5">
        <w:rPr>
          <w:rFonts w:ascii="Times New Roman" w:hAnsi="Times New Roman" w:cs="Times New Roman"/>
          <w:sz w:val="20"/>
          <w:szCs w:val="20"/>
        </w:rPr>
        <w:t xml:space="preserve"> SNU-216 cells (C) (n = 3), and </w:t>
      </w:r>
      <w:r w:rsidRPr="00DF2FB5">
        <w:rPr>
          <w:rFonts w:ascii="Times New Roman" w:hAnsi="Times New Roman" w:cs="Times New Roman"/>
          <w:i/>
          <w:iCs/>
          <w:sz w:val="20"/>
          <w:szCs w:val="20"/>
        </w:rPr>
        <w:t>ULBP2</w:t>
      </w:r>
      <w:r w:rsidRPr="00DF2FB5">
        <w:rPr>
          <w:rFonts w:ascii="Times New Roman" w:hAnsi="Times New Roman" w:cs="Times New Roman"/>
          <w:sz w:val="20"/>
          <w:szCs w:val="20"/>
          <w:vertAlign w:val="superscript"/>
        </w:rPr>
        <w:t>+/+</w:t>
      </w:r>
      <w:r w:rsidRPr="00DF2FB5">
        <w:rPr>
          <w:rFonts w:ascii="Times New Roman" w:hAnsi="Times New Roman" w:cs="Times New Roman"/>
          <w:sz w:val="20"/>
          <w:szCs w:val="20"/>
        </w:rPr>
        <w:t xml:space="preserve"> AGS cells (D) (n = 3) by ULBP2 CAR-T cells. Data are represented as mean ± SEM (ns</w:t>
      </w:r>
      <w:r w:rsidR="00DF2FB5">
        <w:rPr>
          <w:rFonts w:ascii="Times New Roman" w:hAnsi="Times New Roman" w:cs="Times New Roman"/>
          <w:sz w:val="20"/>
          <w:szCs w:val="20"/>
        </w:rPr>
        <w:t>,</w:t>
      </w:r>
      <w:r w:rsidRPr="00DF2FB5">
        <w:rPr>
          <w:rFonts w:ascii="Times New Roman" w:hAnsi="Times New Roman" w:cs="Times New Roman"/>
          <w:sz w:val="20"/>
          <w:szCs w:val="20"/>
        </w:rPr>
        <w:t xml:space="preserve"> nonsignificant</w:t>
      </w:r>
      <w:r w:rsidR="00DF2FB5">
        <w:rPr>
          <w:rFonts w:ascii="Times New Roman" w:hAnsi="Times New Roman" w:cs="Times New Roman"/>
          <w:sz w:val="20"/>
          <w:szCs w:val="20"/>
        </w:rPr>
        <w:t>;</w:t>
      </w:r>
      <w:r w:rsidRPr="00DF2FB5">
        <w:rPr>
          <w:rFonts w:ascii="Times New Roman" w:hAnsi="Times New Roman" w:cs="Times New Roman"/>
          <w:sz w:val="20"/>
          <w:szCs w:val="20"/>
        </w:rPr>
        <w:t xml:space="preserve"> ***p &lt; 0.001).</w:t>
      </w:r>
      <w:r w:rsidRPr="00DF2FB5">
        <w:rPr>
          <w:rFonts w:ascii="Times New Roman" w:hAnsi="Times New Roman" w:cs="Times New Roman"/>
          <w:sz w:val="20"/>
          <w:szCs w:val="20"/>
        </w:rPr>
        <w:br w:type="page"/>
      </w:r>
    </w:p>
    <w:p w14:paraId="5916D92C" w14:textId="48C190C8" w:rsidR="007965E6" w:rsidRPr="00DF2FB5" w:rsidRDefault="001804C7" w:rsidP="007965E6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6C7CBC5A" wp14:editId="208175BF">
            <wp:extent cx="5274310" cy="298513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4C12" w:rsidRPr="00DF2FB5">
        <w:rPr>
          <w:rFonts w:ascii="Times New Roman" w:hAnsi="Times New Roman" w:cs="Times New Roman"/>
          <w:b/>
          <w:bCs/>
          <w:sz w:val="20"/>
          <w:szCs w:val="20"/>
        </w:rPr>
        <w:t xml:space="preserve"> Figure S6. Related to Figure 6.</w:t>
      </w:r>
      <w:r w:rsidR="00034C12" w:rsidRPr="00DF2FB5">
        <w:rPr>
          <w:rFonts w:ascii="Times New Roman" w:hAnsi="Times New Roman" w:cs="Times New Roman"/>
          <w:sz w:val="20"/>
          <w:szCs w:val="20"/>
        </w:rPr>
        <w:t xml:space="preserve"> (A) </w:t>
      </w:r>
      <w:r w:rsidR="00DF2FB5">
        <w:rPr>
          <w:rFonts w:ascii="Times New Roman" w:hAnsi="Times New Roman" w:cs="Times New Roman"/>
          <w:sz w:val="20"/>
          <w:szCs w:val="20"/>
        </w:rPr>
        <w:t>T</w:t>
      </w:r>
      <w:r w:rsidR="00034C12" w:rsidRPr="00DF2FB5">
        <w:rPr>
          <w:rFonts w:ascii="Times New Roman" w:hAnsi="Times New Roman" w:cs="Times New Roman"/>
          <w:sz w:val="20"/>
          <w:szCs w:val="20"/>
        </w:rPr>
        <w:t>umo</w:t>
      </w:r>
      <w:r w:rsidR="00DF2FB5">
        <w:rPr>
          <w:rFonts w:ascii="Times New Roman" w:hAnsi="Times New Roman" w:cs="Times New Roman"/>
          <w:sz w:val="20"/>
          <w:szCs w:val="20"/>
        </w:rPr>
        <w:t>u</w:t>
      </w:r>
      <w:r w:rsidR="00034C12" w:rsidRPr="00DF2FB5">
        <w:rPr>
          <w:rFonts w:ascii="Times New Roman" w:hAnsi="Times New Roman" w:cs="Times New Roman"/>
          <w:sz w:val="20"/>
          <w:szCs w:val="20"/>
        </w:rPr>
        <w:t>r weight at day 21 post tumo</w:t>
      </w:r>
      <w:r w:rsidR="00DF2FB5">
        <w:rPr>
          <w:rFonts w:ascii="Times New Roman" w:hAnsi="Times New Roman" w:cs="Times New Roman"/>
          <w:sz w:val="20"/>
          <w:szCs w:val="20"/>
        </w:rPr>
        <w:t>u</w:t>
      </w:r>
      <w:r w:rsidR="00034C12" w:rsidRPr="00DF2FB5">
        <w:rPr>
          <w:rFonts w:ascii="Times New Roman" w:hAnsi="Times New Roman" w:cs="Times New Roman"/>
          <w:sz w:val="20"/>
          <w:szCs w:val="20"/>
        </w:rPr>
        <w:t>r inoculation (n = 5). (B) Body weight of mice bearing the CDX over the course of the experiment (n = 5). (C) Representative images of tumo</w:t>
      </w:r>
      <w:r w:rsidR="00DF2FB5">
        <w:rPr>
          <w:rFonts w:ascii="Times New Roman" w:hAnsi="Times New Roman" w:cs="Times New Roman"/>
          <w:sz w:val="20"/>
          <w:szCs w:val="20"/>
        </w:rPr>
        <w:t>u</w:t>
      </w:r>
      <w:r w:rsidR="00034C12" w:rsidRPr="00DF2FB5">
        <w:rPr>
          <w:rFonts w:ascii="Times New Roman" w:hAnsi="Times New Roman" w:cs="Times New Roman"/>
          <w:sz w:val="20"/>
          <w:szCs w:val="20"/>
        </w:rPr>
        <w:t>rs at day 21 post tumo</w:t>
      </w:r>
      <w:r w:rsidR="00DF2FB5">
        <w:rPr>
          <w:rFonts w:ascii="Times New Roman" w:hAnsi="Times New Roman" w:cs="Times New Roman"/>
          <w:sz w:val="20"/>
          <w:szCs w:val="20"/>
        </w:rPr>
        <w:t>u</w:t>
      </w:r>
      <w:r w:rsidR="00034C12" w:rsidRPr="00DF2FB5">
        <w:rPr>
          <w:rFonts w:ascii="Times New Roman" w:hAnsi="Times New Roman" w:cs="Times New Roman"/>
          <w:sz w:val="20"/>
          <w:szCs w:val="20"/>
        </w:rPr>
        <w:t xml:space="preserve">r inoculation. </w:t>
      </w:r>
      <w:bookmarkStart w:id="0" w:name="OLE_LINK16"/>
      <w:r w:rsidRPr="001804C7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D</w:t>
      </w:r>
      <w:r w:rsidRPr="001804C7">
        <w:rPr>
          <w:rFonts w:ascii="Times New Roman" w:hAnsi="Times New Roman" w:cs="Times New Roman"/>
          <w:sz w:val="20"/>
          <w:szCs w:val="20"/>
        </w:rPr>
        <w:t xml:space="preserve">) </w:t>
      </w:r>
      <w:bookmarkEnd w:id="0"/>
      <w:r w:rsidRPr="001804C7">
        <w:rPr>
          <w:rFonts w:ascii="Times New Roman" w:hAnsi="Times New Roman" w:cs="Times New Roman"/>
          <w:sz w:val="20"/>
          <w:szCs w:val="20"/>
        </w:rPr>
        <w:t>Frequencies of CD8</w:t>
      </w:r>
      <w:r w:rsidRPr="001804C7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1804C7">
        <w:rPr>
          <w:rFonts w:ascii="Times New Roman" w:hAnsi="Times New Roman" w:cs="Times New Roman"/>
          <w:sz w:val="20"/>
          <w:szCs w:val="20"/>
        </w:rPr>
        <w:t>T cells and CD4</w:t>
      </w:r>
      <w:r w:rsidRPr="001804C7">
        <w:rPr>
          <w:rFonts w:ascii="Times New Roman" w:hAnsi="Times New Roman" w:cs="Times New Roman"/>
          <w:sz w:val="20"/>
          <w:szCs w:val="20"/>
          <w:vertAlign w:val="superscript"/>
        </w:rPr>
        <w:t>+</w:t>
      </w:r>
      <w:r w:rsidRPr="001804C7">
        <w:rPr>
          <w:rFonts w:ascii="Times New Roman" w:hAnsi="Times New Roman" w:cs="Times New Roman"/>
          <w:sz w:val="20"/>
          <w:szCs w:val="20"/>
        </w:rPr>
        <w:t>T cells at day 21 post tumor inoculation. (</w:t>
      </w:r>
      <w:r>
        <w:rPr>
          <w:rFonts w:ascii="Times New Roman" w:hAnsi="Times New Roman" w:cs="Times New Roman"/>
          <w:sz w:val="20"/>
          <w:szCs w:val="20"/>
        </w:rPr>
        <w:t>E</w:t>
      </w:r>
      <w:r w:rsidRPr="001804C7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804C7">
        <w:rPr>
          <w:rFonts w:ascii="Times New Roman" w:hAnsi="Times New Roman" w:cs="Times New Roman"/>
          <w:sz w:val="20"/>
          <w:szCs w:val="20"/>
        </w:rPr>
        <w:t>ULBP2 CAR-T cell counts in peripheral blood on days 7 and 14 post-infusion</w:t>
      </w:r>
      <w:r w:rsidRPr="00DF2FB5">
        <w:rPr>
          <w:rFonts w:ascii="Times New Roman" w:hAnsi="Times New Roman" w:cs="Times New Roman"/>
          <w:sz w:val="20"/>
          <w:szCs w:val="20"/>
        </w:rPr>
        <w:t xml:space="preserve"> (n =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DF2FB5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1804C7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F</w:t>
      </w:r>
      <w:r w:rsidRPr="001804C7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50F3F" w:rsidRPr="00750F3F">
        <w:rPr>
          <w:rFonts w:ascii="Times New Roman" w:hAnsi="Times New Roman" w:cs="Times New Roman"/>
          <w:sz w:val="20"/>
          <w:szCs w:val="20"/>
        </w:rPr>
        <w:t xml:space="preserve">Protein levels of </w:t>
      </w:r>
      <w:r w:rsidR="00750F3F">
        <w:rPr>
          <w:rFonts w:ascii="Times New Roman" w:hAnsi="Times New Roman" w:cs="Times New Roman"/>
          <w:sz w:val="20"/>
          <w:szCs w:val="20"/>
        </w:rPr>
        <w:t>IL-1</w:t>
      </w:r>
      <w:r w:rsidR="00750F3F" w:rsidRPr="00750F3F">
        <w:rPr>
          <w:rFonts w:ascii="Times New Roman" w:hAnsi="Times New Roman" w:cs="Times New Roman"/>
          <w:sz w:val="20"/>
          <w:szCs w:val="20"/>
        </w:rPr>
        <w:t>β</w:t>
      </w:r>
      <w:r w:rsidR="00750F3F">
        <w:rPr>
          <w:rFonts w:ascii="Times New Roman" w:hAnsi="Times New Roman" w:cs="Times New Roman"/>
          <w:sz w:val="20"/>
          <w:szCs w:val="20"/>
        </w:rPr>
        <w:t>, IL-6</w:t>
      </w:r>
      <w:r w:rsidR="00750F3F" w:rsidRPr="00750F3F">
        <w:rPr>
          <w:rFonts w:ascii="Times New Roman" w:hAnsi="Times New Roman" w:cs="Times New Roman"/>
          <w:sz w:val="20"/>
          <w:szCs w:val="20"/>
        </w:rPr>
        <w:t xml:space="preserve"> and </w:t>
      </w:r>
      <w:r w:rsidR="00750F3F">
        <w:rPr>
          <w:rFonts w:ascii="Times New Roman" w:hAnsi="Times New Roman" w:cs="Times New Roman"/>
          <w:sz w:val="20"/>
          <w:szCs w:val="20"/>
        </w:rPr>
        <w:t>TNF-</w:t>
      </w:r>
      <w:r w:rsidR="00750F3F" w:rsidRPr="00750F3F">
        <w:rPr>
          <w:rFonts w:ascii="Times New Roman" w:hAnsi="Times New Roman" w:cs="Times New Roman"/>
          <w:sz w:val="20"/>
          <w:szCs w:val="20"/>
        </w:rPr>
        <w:t>α in the serum of CDX mice at different weeks post tumor inoculation detected by ELISA (n = 3)</w:t>
      </w:r>
      <w:r w:rsidR="00750F3F">
        <w:rPr>
          <w:rFonts w:ascii="Times New Roman" w:hAnsi="Times New Roman" w:cs="Times New Roman"/>
          <w:sz w:val="20"/>
          <w:szCs w:val="20"/>
        </w:rPr>
        <w:t xml:space="preserve">. </w:t>
      </w:r>
      <w:r w:rsidR="00034C12" w:rsidRPr="00DF2FB5">
        <w:rPr>
          <w:rFonts w:ascii="Times New Roman" w:hAnsi="Times New Roman" w:cs="Times New Roman"/>
          <w:sz w:val="20"/>
          <w:szCs w:val="20"/>
        </w:rPr>
        <w:t>Data are represented as mean ± SEM (ns</w:t>
      </w:r>
      <w:r w:rsidR="00DF2FB5">
        <w:rPr>
          <w:rFonts w:ascii="Times New Roman" w:hAnsi="Times New Roman" w:cs="Times New Roman"/>
          <w:sz w:val="20"/>
          <w:szCs w:val="20"/>
        </w:rPr>
        <w:t>,</w:t>
      </w:r>
      <w:r w:rsidR="00034C12" w:rsidRPr="00DF2FB5">
        <w:rPr>
          <w:rFonts w:ascii="Times New Roman" w:hAnsi="Times New Roman" w:cs="Times New Roman"/>
          <w:sz w:val="20"/>
          <w:szCs w:val="20"/>
        </w:rPr>
        <w:t xml:space="preserve"> nonsignificant</w:t>
      </w:r>
      <w:r w:rsidR="00DF2FB5">
        <w:rPr>
          <w:rFonts w:ascii="Times New Roman" w:hAnsi="Times New Roman" w:cs="Times New Roman"/>
          <w:sz w:val="20"/>
          <w:szCs w:val="20"/>
        </w:rPr>
        <w:t>;</w:t>
      </w:r>
      <w:r w:rsidR="00034C12" w:rsidRPr="00DF2FB5">
        <w:rPr>
          <w:rFonts w:ascii="Times New Roman" w:hAnsi="Times New Roman" w:cs="Times New Roman"/>
          <w:sz w:val="20"/>
          <w:szCs w:val="20"/>
        </w:rPr>
        <w:t xml:space="preserve"> *p &lt; 0.05, **p &lt; 0.01, ***p &lt; 0.001).</w:t>
      </w:r>
      <w:r w:rsidR="00034C12" w:rsidRPr="00DF2FB5">
        <w:rPr>
          <w:rFonts w:ascii="Times New Roman" w:hAnsi="Times New Roman" w:cs="Times New Roman"/>
          <w:sz w:val="20"/>
          <w:szCs w:val="20"/>
        </w:rPr>
        <w:br w:type="page"/>
      </w:r>
    </w:p>
    <w:p w14:paraId="5C9645A0" w14:textId="77777777" w:rsidR="007965E6" w:rsidRPr="00DF2FB5" w:rsidRDefault="00034C12" w:rsidP="007965E6">
      <w:pPr>
        <w:spacing w:line="480" w:lineRule="auto"/>
        <w:contextualSpacing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 w:rsidRPr="00DF2FB5">
        <w:rPr>
          <w:rFonts w:ascii="Times New Roman" w:hAnsi="Times New Roman" w:cs="Times New Roman"/>
          <w:noProof/>
          <w:color w:val="FF0000"/>
          <w:sz w:val="20"/>
          <w:szCs w:val="20"/>
        </w:rPr>
        <w:lastRenderedPageBreak/>
        <w:drawing>
          <wp:inline distT="0" distB="0" distL="0" distR="0" wp14:anchorId="2C9A32C6" wp14:editId="329AA069">
            <wp:extent cx="4099560" cy="1941576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9560" cy="1941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5727B" w14:textId="2B80F066" w:rsidR="007965E6" w:rsidRPr="00DF2FB5" w:rsidRDefault="00034C12" w:rsidP="007965E6">
      <w:pPr>
        <w:spacing w:line="48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DF2FB5">
        <w:rPr>
          <w:rFonts w:ascii="Times New Roman" w:hAnsi="Times New Roman" w:cs="Times New Roman"/>
          <w:b/>
          <w:bCs/>
          <w:sz w:val="20"/>
          <w:szCs w:val="20"/>
        </w:rPr>
        <w:t>Figure S7. Related to Figure 7.</w:t>
      </w:r>
      <w:r w:rsidRPr="00DF2FB5">
        <w:rPr>
          <w:rFonts w:ascii="Times New Roman" w:hAnsi="Times New Roman" w:cs="Times New Roman"/>
          <w:sz w:val="20"/>
          <w:szCs w:val="20"/>
        </w:rPr>
        <w:t xml:space="preserve"> (A) </w:t>
      </w:r>
      <w:r w:rsidR="00DF2FB5">
        <w:rPr>
          <w:rFonts w:ascii="Times New Roman" w:hAnsi="Times New Roman" w:cs="Times New Roman"/>
          <w:sz w:val="20"/>
          <w:szCs w:val="20"/>
        </w:rPr>
        <w:t>T</w:t>
      </w:r>
      <w:r w:rsidRPr="00DF2FB5">
        <w:rPr>
          <w:rFonts w:ascii="Times New Roman" w:hAnsi="Times New Roman" w:cs="Times New Roman"/>
          <w:sz w:val="20"/>
          <w:szCs w:val="20"/>
        </w:rPr>
        <w:t>umo</w:t>
      </w:r>
      <w:r w:rsidR="00DF2FB5">
        <w:rPr>
          <w:rFonts w:ascii="Times New Roman" w:hAnsi="Times New Roman" w:cs="Times New Roman"/>
          <w:sz w:val="20"/>
          <w:szCs w:val="20"/>
        </w:rPr>
        <w:t>u</w:t>
      </w:r>
      <w:r w:rsidRPr="00DF2FB5">
        <w:rPr>
          <w:rFonts w:ascii="Times New Roman" w:hAnsi="Times New Roman" w:cs="Times New Roman"/>
          <w:sz w:val="20"/>
          <w:szCs w:val="20"/>
        </w:rPr>
        <w:t>r weight at day 21 post tumo</w:t>
      </w:r>
      <w:r w:rsidR="00DF2FB5">
        <w:rPr>
          <w:rFonts w:ascii="Times New Roman" w:hAnsi="Times New Roman" w:cs="Times New Roman"/>
          <w:sz w:val="20"/>
          <w:szCs w:val="20"/>
        </w:rPr>
        <w:t>u</w:t>
      </w:r>
      <w:r w:rsidRPr="00DF2FB5">
        <w:rPr>
          <w:rFonts w:ascii="Times New Roman" w:hAnsi="Times New Roman" w:cs="Times New Roman"/>
          <w:sz w:val="20"/>
          <w:szCs w:val="20"/>
        </w:rPr>
        <w:t>r inoculation (n = 5). (B) Body weight of mice bearing the PDX over the course of the experiment (n = 5). Data are represented as mean ± SEM (ns</w:t>
      </w:r>
      <w:r w:rsidR="00DF2FB5">
        <w:rPr>
          <w:rFonts w:ascii="Times New Roman" w:hAnsi="Times New Roman" w:cs="Times New Roman"/>
          <w:sz w:val="20"/>
          <w:szCs w:val="20"/>
        </w:rPr>
        <w:t>,</w:t>
      </w:r>
      <w:r w:rsidRPr="00DF2FB5">
        <w:rPr>
          <w:rFonts w:ascii="Times New Roman" w:hAnsi="Times New Roman" w:cs="Times New Roman"/>
          <w:sz w:val="20"/>
          <w:szCs w:val="20"/>
        </w:rPr>
        <w:t xml:space="preserve"> nonsignificant</w:t>
      </w:r>
      <w:r w:rsidR="00DF2FB5">
        <w:rPr>
          <w:rFonts w:ascii="Times New Roman" w:hAnsi="Times New Roman" w:cs="Times New Roman"/>
          <w:sz w:val="20"/>
          <w:szCs w:val="20"/>
        </w:rPr>
        <w:t>;</w:t>
      </w:r>
      <w:r w:rsidRPr="00DF2FB5">
        <w:rPr>
          <w:rFonts w:ascii="Times New Roman" w:hAnsi="Times New Roman" w:cs="Times New Roman"/>
          <w:sz w:val="20"/>
          <w:szCs w:val="20"/>
        </w:rPr>
        <w:t xml:space="preserve"> **p &lt; 0.01, ***p &lt; 0.001).</w:t>
      </w:r>
      <w:r w:rsidRPr="00DF2FB5">
        <w:rPr>
          <w:rFonts w:ascii="Times New Roman" w:hAnsi="Times New Roman" w:cs="Times New Roman"/>
          <w:sz w:val="20"/>
          <w:szCs w:val="20"/>
        </w:rPr>
        <w:br w:type="page"/>
      </w:r>
    </w:p>
    <w:p w14:paraId="4F55900E" w14:textId="1D4C82C1" w:rsidR="007965E6" w:rsidRPr="00DF2FB5" w:rsidRDefault="00034C12" w:rsidP="007965E6">
      <w:pPr>
        <w:spacing w:line="48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DF2FB5">
        <w:rPr>
          <w:rFonts w:ascii="Times New Roman" w:hAnsi="Times New Roman" w:cs="Times New Roman"/>
          <w:b/>
          <w:sz w:val="20"/>
          <w:szCs w:val="20"/>
        </w:rPr>
        <w:lastRenderedPageBreak/>
        <w:t>Table S1. Clinical characteristics of gastric patients.</w:t>
      </w:r>
    </w:p>
    <w:tbl>
      <w:tblPr>
        <w:tblStyle w:val="af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87"/>
      </w:tblGrid>
      <w:tr w:rsidR="007833A1" w14:paraId="55A44AF2" w14:textId="77777777" w:rsidTr="00243075">
        <w:trPr>
          <w:trHeight w:val="20"/>
        </w:trPr>
        <w:tc>
          <w:tcPr>
            <w:tcW w:w="3402" w:type="dxa"/>
            <w:tcBorders>
              <w:bottom w:val="single" w:sz="4" w:space="0" w:color="auto"/>
            </w:tcBorders>
            <w:noWrap/>
            <w:hideMark/>
          </w:tcPr>
          <w:p w14:paraId="20844BD8" w14:textId="6C9CC0C6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 xml:space="preserve">Clinical </w:t>
            </w:r>
            <w:proofErr w:type="spellStart"/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characterisics</w:t>
            </w:r>
            <w:proofErr w:type="spellEnd"/>
          </w:p>
        </w:tc>
        <w:tc>
          <w:tcPr>
            <w:tcW w:w="3487" w:type="dxa"/>
            <w:tcBorders>
              <w:bottom w:val="single" w:sz="4" w:space="0" w:color="auto"/>
            </w:tcBorders>
            <w:noWrap/>
            <w:hideMark/>
          </w:tcPr>
          <w:p w14:paraId="0E5E6062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GC patient</w:t>
            </w:r>
          </w:p>
        </w:tc>
      </w:tr>
      <w:tr w:rsidR="007833A1" w14:paraId="6A931047" w14:textId="77777777" w:rsidTr="00243075">
        <w:trPr>
          <w:trHeight w:val="20"/>
        </w:trPr>
        <w:tc>
          <w:tcPr>
            <w:tcW w:w="3402" w:type="dxa"/>
            <w:tcBorders>
              <w:top w:val="single" w:sz="4" w:space="0" w:color="auto"/>
            </w:tcBorders>
            <w:noWrap/>
            <w:hideMark/>
          </w:tcPr>
          <w:p w14:paraId="1ADBFA5C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Age (year)</w:t>
            </w:r>
          </w:p>
        </w:tc>
        <w:tc>
          <w:tcPr>
            <w:tcW w:w="3487" w:type="dxa"/>
            <w:tcBorders>
              <w:top w:val="single" w:sz="4" w:space="0" w:color="auto"/>
            </w:tcBorders>
            <w:noWrap/>
            <w:hideMark/>
          </w:tcPr>
          <w:p w14:paraId="04206A1A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7833A1" w14:paraId="4444A56B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26E473C6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3487" w:type="dxa"/>
            <w:noWrap/>
            <w:hideMark/>
          </w:tcPr>
          <w:p w14:paraId="253A2FB3" w14:textId="5E5B5BD4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ale</w:t>
            </w:r>
          </w:p>
        </w:tc>
      </w:tr>
      <w:tr w:rsidR="007833A1" w14:paraId="11272E68" w14:textId="77777777" w:rsidTr="00243075">
        <w:trPr>
          <w:trHeight w:val="20"/>
        </w:trPr>
        <w:tc>
          <w:tcPr>
            <w:tcW w:w="3402" w:type="dxa"/>
            <w:vMerge w:val="restart"/>
            <w:noWrap/>
            <w:hideMark/>
          </w:tcPr>
          <w:p w14:paraId="1C9E4BB0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Serum protein</w:t>
            </w:r>
          </w:p>
        </w:tc>
        <w:tc>
          <w:tcPr>
            <w:tcW w:w="3487" w:type="dxa"/>
            <w:noWrap/>
            <w:hideMark/>
          </w:tcPr>
          <w:p w14:paraId="7FCA5B8D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TP (49.6 g/L)</w:t>
            </w:r>
          </w:p>
        </w:tc>
      </w:tr>
      <w:tr w:rsidR="007833A1" w14:paraId="7690E040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272BFAC3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5D3FE068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ALB (39.9 g/L)</w:t>
            </w:r>
          </w:p>
        </w:tc>
      </w:tr>
      <w:tr w:rsidR="007833A1" w14:paraId="39700EB8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2EF7FBB9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7A80C770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CA199 (12.70 U/ml)</w:t>
            </w:r>
          </w:p>
        </w:tc>
      </w:tr>
      <w:tr w:rsidR="007833A1" w14:paraId="12CEF4D9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1AF18C93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3FAAB42D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CA125 (12.40 U/ml)</w:t>
            </w:r>
          </w:p>
        </w:tc>
      </w:tr>
      <w:tr w:rsidR="007833A1" w14:paraId="4196F4AB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2893DBC9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4B637547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CEA (2.39 ng/ml)</w:t>
            </w:r>
          </w:p>
        </w:tc>
      </w:tr>
      <w:tr w:rsidR="007833A1" w14:paraId="55EF19CC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57350FB9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29A9109D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AFP (4.11 ng/ml)</w:t>
            </w:r>
          </w:p>
        </w:tc>
      </w:tr>
      <w:tr w:rsidR="007833A1" w14:paraId="17C237ED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50BD7AE1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Neoadjuvant chemotherapy regimen</w:t>
            </w:r>
          </w:p>
        </w:tc>
        <w:tc>
          <w:tcPr>
            <w:tcW w:w="3487" w:type="dxa"/>
            <w:noWrap/>
            <w:hideMark/>
          </w:tcPr>
          <w:p w14:paraId="32D7B186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</w:tr>
      <w:tr w:rsidR="007833A1" w14:paraId="37C84377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10E83533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Operation date</w:t>
            </w:r>
          </w:p>
        </w:tc>
        <w:tc>
          <w:tcPr>
            <w:tcW w:w="3487" w:type="dxa"/>
            <w:noWrap/>
            <w:hideMark/>
          </w:tcPr>
          <w:p w14:paraId="374D9E8C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2023.11.29</w:t>
            </w:r>
          </w:p>
        </w:tc>
      </w:tr>
      <w:tr w:rsidR="007833A1" w14:paraId="225BE0D2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18D10792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Operation style</w:t>
            </w:r>
          </w:p>
        </w:tc>
        <w:tc>
          <w:tcPr>
            <w:tcW w:w="3487" w:type="dxa"/>
            <w:noWrap/>
            <w:hideMark/>
          </w:tcPr>
          <w:p w14:paraId="261C2FA0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Laparoscopic Gastric Lesion Resection</w:t>
            </w:r>
          </w:p>
        </w:tc>
      </w:tr>
      <w:tr w:rsidR="007833A1" w14:paraId="318D05CC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39CCAE02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Operation time (min)</w:t>
            </w:r>
          </w:p>
        </w:tc>
        <w:tc>
          <w:tcPr>
            <w:tcW w:w="3487" w:type="dxa"/>
            <w:noWrap/>
            <w:hideMark/>
          </w:tcPr>
          <w:p w14:paraId="7C3C54C5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180 min</w:t>
            </w:r>
          </w:p>
        </w:tc>
      </w:tr>
      <w:tr w:rsidR="007833A1" w14:paraId="74AF8D7B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0A24433F" w14:textId="6DB8A23D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Tumo</w:t>
            </w:r>
            <w:r w:rsidR="00DF2FB5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r location</w:t>
            </w:r>
          </w:p>
        </w:tc>
        <w:tc>
          <w:tcPr>
            <w:tcW w:w="3487" w:type="dxa"/>
            <w:noWrap/>
            <w:hideMark/>
          </w:tcPr>
          <w:p w14:paraId="2C347D16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Upper third</w:t>
            </w:r>
          </w:p>
        </w:tc>
      </w:tr>
      <w:tr w:rsidR="007833A1" w14:paraId="3F62CA1C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0DD39562" w14:textId="507C761C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Tumo</w:t>
            </w:r>
            <w:r w:rsidR="00DF2FB5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r size</w:t>
            </w:r>
          </w:p>
        </w:tc>
        <w:tc>
          <w:tcPr>
            <w:tcW w:w="3487" w:type="dxa"/>
            <w:noWrap/>
            <w:hideMark/>
          </w:tcPr>
          <w:p w14:paraId="09168115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5×4.5×1.2 cm</w:t>
            </w:r>
          </w:p>
        </w:tc>
      </w:tr>
      <w:tr w:rsidR="007833A1" w14:paraId="7E388843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4BF078F3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Lauren classification</w:t>
            </w:r>
          </w:p>
        </w:tc>
        <w:tc>
          <w:tcPr>
            <w:tcW w:w="3487" w:type="dxa"/>
            <w:noWrap/>
            <w:hideMark/>
          </w:tcPr>
          <w:p w14:paraId="635CE7E1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mixed type</w:t>
            </w:r>
          </w:p>
        </w:tc>
      </w:tr>
      <w:tr w:rsidR="007833A1" w14:paraId="0F1DE9DE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59D07743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TNM stage</w:t>
            </w:r>
          </w:p>
        </w:tc>
        <w:tc>
          <w:tcPr>
            <w:tcW w:w="3487" w:type="dxa"/>
            <w:noWrap/>
            <w:hideMark/>
          </w:tcPr>
          <w:p w14:paraId="2D7C282C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T3N0M0</w:t>
            </w:r>
          </w:p>
        </w:tc>
      </w:tr>
      <w:tr w:rsidR="007833A1" w14:paraId="17F5C7F8" w14:textId="77777777" w:rsidTr="00243075">
        <w:trPr>
          <w:trHeight w:val="20"/>
        </w:trPr>
        <w:tc>
          <w:tcPr>
            <w:tcW w:w="3402" w:type="dxa"/>
            <w:vMerge w:val="restart"/>
            <w:noWrap/>
            <w:hideMark/>
          </w:tcPr>
          <w:p w14:paraId="02E78647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Immunohistochemistry</w:t>
            </w:r>
          </w:p>
        </w:tc>
        <w:tc>
          <w:tcPr>
            <w:tcW w:w="3487" w:type="dxa"/>
            <w:noWrap/>
            <w:hideMark/>
          </w:tcPr>
          <w:p w14:paraId="0716FD08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CK8/18 (+)</w:t>
            </w:r>
          </w:p>
        </w:tc>
      </w:tr>
      <w:tr w:rsidR="007833A1" w14:paraId="47EA5F95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4B053812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2244E3F8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P53 (-)</w:t>
            </w:r>
          </w:p>
        </w:tc>
      </w:tr>
      <w:tr w:rsidR="007833A1" w14:paraId="40FB0042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0561C3B4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129D8B70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C-erbB-2 (+)</w:t>
            </w:r>
          </w:p>
        </w:tc>
      </w:tr>
      <w:tr w:rsidR="007833A1" w14:paraId="0B304149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7845C322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275BE36B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PMS-2 (+)</w:t>
            </w:r>
          </w:p>
        </w:tc>
      </w:tr>
      <w:tr w:rsidR="007833A1" w14:paraId="1A090A0E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554556F3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6025826A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MLH-1 (+)</w:t>
            </w:r>
          </w:p>
        </w:tc>
      </w:tr>
      <w:tr w:rsidR="007833A1" w14:paraId="7390F8AA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67D383FD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387B76FF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MSH-6 (+)</w:t>
            </w:r>
          </w:p>
        </w:tc>
      </w:tr>
      <w:tr w:rsidR="007833A1" w14:paraId="596F8F4D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1BA07E68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771E1DF1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MSH-2 (+)</w:t>
            </w:r>
          </w:p>
        </w:tc>
      </w:tr>
      <w:tr w:rsidR="007833A1" w14:paraId="20F409B0" w14:textId="77777777" w:rsidTr="00243075">
        <w:trPr>
          <w:trHeight w:val="20"/>
        </w:trPr>
        <w:tc>
          <w:tcPr>
            <w:tcW w:w="3402" w:type="dxa"/>
            <w:vMerge/>
            <w:hideMark/>
          </w:tcPr>
          <w:p w14:paraId="27D9546A" w14:textId="77777777" w:rsidR="007965E6" w:rsidRPr="00DF2FB5" w:rsidRDefault="007965E6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noWrap/>
            <w:hideMark/>
          </w:tcPr>
          <w:p w14:paraId="57883F5F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Syn (-)</w:t>
            </w:r>
          </w:p>
        </w:tc>
      </w:tr>
      <w:tr w:rsidR="007833A1" w14:paraId="21E9B690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4D24672C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Ki67</w:t>
            </w:r>
          </w:p>
        </w:tc>
        <w:tc>
          <w:tcPr>
            <w:tcW w:w="3487" w:type="dxa"/>
            <w:noWrap/>
            <w:hideMark/>
          </w:tcPr>
          <w:p w14:paraId="0896F2B5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60%</w:t>
            </w:r>
          </w:p>
        </w:tc>
      </w:tr>
      <w:tr w:rsidR="007833A1" w14:paraId="5A3FA906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1E0D7D9E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Postoperative chemotherapy regimen</w:t>
            </w:r>
          </w:p>
        </w:tc>
        <w:tc>
          <w:tcPr>
            <w:tcW w:w="3487" w:type="dxa"/>
            <w:noWrap/>
            <w:hideMark/>
          </w:tcPr>
          <w:p w14:paraId="31AD23B5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Two cycles of SOX</w:t>
            </w:r>
          </w:p>
        </w:tc>
      </w:tr>
      <w:tr w:rsidR="007833A1" w14:paraId="3B8ECA17" w14:textId="77777777" w:rsidTr="00243075">
        <w:trPr>
          <w:trHeight w:val="20"/>
        </w:trPr>
        <w:tc>
          <w:tcPr>
            <w:tcW w:w="3402" w:type="dxa"/>
            <w:noWrap/>
            <w:hideMark/>
          </w:tcPr>
          <w:p w14:paraId="574435F4" w14:textId="41421DF4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 xml:space="preserve">Postoperative </w:t>
            </w:r>
            <w:r w:rsidR="00DF2FB5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urvival</w:t>
            </w:r>
          </w:p>
        </w:tc>
        <w:tc>
          <w:tcPr>
            <w:tcW w:w="3487" w:type="dxa"/>
            <w:noWrap/>
            <w:hideMark/>
          </w:tcPr>
          <w:p w14:paraId="6ED6A542" w14:textId="77777777" w:rsidR="007965E6" w:rsidRPr="00DF2FB5" w:rsidRDefault="00034C12" w:rsidP="00FE1A38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Alive</w:t>
            </w:r>
          </w:p>
        </w:tc>
      </w:tr>
    </w:tbl>
    <w:p w14:paraId="50C214CF" w14:textId="3744BE43" w:rsidR="007965E6" w:rsidRPr="00DF2FB5" w:rsidRDefault="00034C12" w:rsidP="007965E6">
      <w:pPr>
        <w:spacing w:line="48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DF2FB5">
        <w:rPr>
          <w:rFonts w:ascii="Times New Roman" w:hAnsi="Times New Roman" w:cs="Times New Roman"/>
          <w:b/>
          <w:sz w:val="20"/>
          <w:szCs w:val="20"/>
        </w:rPr>
        <w:lastRenderedPageBreak/>
        <w:t>Table S2. Sequences of the guide RNA (gRNA) and overexpression (OE).</w:t>
      </w:r>
    </w:p>
    <w:tbl>
      <w:tblPr>
        <w:tblW w:w="850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371"/>
      </w:tblGrid>
      <w:tr w:rsidR="007833A1" w14:paraId="2D655DEF" w14:textId="77777777" w:rsidTr="00243075">
        <w:tc>
          <w:tcPr>
            <w:tcW w:w="1134" w:type="dxa"/>
            <w:tcBorders>
              <w:bottom w:val="single" w:sz="4" w:space="0" w:color="auto"/>
            </w:tcBorders>
          </w:tcPr>
          <w:p w14:paraId="40A52702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bCs/>
                <w:sz w:val="20"/>
                <w:szCs w:val="20"/>
              </w:rPr>
              <w:t>Target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1AD66174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bCs/>
                <w:sz w:val="20"/>
                <w:szCs w:val="20"/>
              </w:rPr>
              <w:t>Sequences (5’-3’)</w:t>
            </w:r>
          </w:p>
        </w:tc>
      </w:tr>
      <w:tr w:rsidR="007833A1" w14:paraId="32329544" w14:textId="77777777" w:rsidTr="00243075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E95C68" w14:textId="1F5DF95B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gRNA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3AFDB5C2" w14:textId="2F3C51BB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CTGTCCGGCTGGTCCCGGGC(TGG)</w:t>
            </w:r>
          </w:p>
        </w:tc>
      </w:tr>
      <w:tr w:rsidR="007833A1" w14:paraId="6BA45518" w14:textId="77777777" w:rsidTr="00243075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995179C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OE-Fw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47B7A792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TACAAAGACGATGACGATAAGATGGCAGCAGCCGCCGCTACC</w:t>
            </w:r>
          </w:p>
        </w:tc>
      </w:tr>
      <w:tr w:rsidR="007833A1" w14:paraId="01AD9352" w14:textId="77777777" w:rsidTr="00243075">
        <w:tc>
          <w:tcPr>
            <w:tcW w:w="1134" w:type="dxa"/>
            <w:tcBorders>
              <w:top w:val="single" w:sz="4" w:space="0" w:color="auto"/>
            </w:tcBorders>
          </w:tcPr>
          <w:p w14:paraId="1A615762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OE-Rv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14:paraId="2362002D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TAGAAGACTTCCTCTGCCCTCGATGCCAGGGAGGATGAAGCA</w:t>
            </w:r>
          </w:p>
        </w:tc>
      </w:tr>
    </w:tbl>
    <w:p w14:paraId="7AF96383" w14:textId="77777777" w:rsidR="007965E6" w:rsidRPr="00DF2FB5" w:rsidRDefault="007965E6" w:rsidP="007965E6">
      <w:pPr>
        <w:spacing w:line="48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4C6B97AC" w14:textId="77777777" w:rsidR="007965E6" w:rsidRPr="00DF2FB5" w:rsidRDefault="00034C12" w:rsidP="007965E6">
      <w:pPr>
        <w:widowControl/>
        <w:spacing w:line="480" w:lineRule="auto"/>
        <w:contextualSpacing/>
        <w:jc w:val="left"/>
        <w:rPr>
          <w:rFonts w:ascii="Times New Roman" w:hAnsi="Times New Roman" w:cs="Times New Roman"/>
          <w:b/>
          <w:sz w:val="20"/>
          <w:szCs w:val="20"/>
        </w:rPr>
      </w:pPr>
      <w:r w:rsidRPr="00DF2FB5">
        <w:rPr>
          <w:rFonts w:ascii="Times New Roman" w:hAnsi="Times New Roman" w:cs="Times New Roman"/>
          <w:b/>
          <w:sz w:val="20"/>
          <w:szCs w:val="20"/>
        </w:rPr>
        <w:br w:type="page"/>
      </w:r>
    </w:p>
    <w:p w14:paraId="56A66E6F" w14:textId="30ED6A78" w:rsidR="007965E6" w:rsidRPr="00DF2FB5" w:rsidRDefault="00034C12" w:rsidP="007965E6">
      <w:pPr>
        <w:spacing w:line="48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DF2FB5">
        <w:rPr>
          <w:rFonts w:ascii="Times New Roman" w:hAnsi="Times New Roman" w:cs="Times New Roman"/>
          <w:b/>
          <w:sz w:val="20"/>
          <w:szCs w:val="20"/>
        </w:rPr>
        <w:lastRenderedPageBreak/>
        <w:t>Table S3. Primer sequences used for qRT-PCR.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5891"/>
      </w:tblGrid>
      <w:tr w:rsidR="007833A1" w14:paraId="69E99958" w14:textId="77777777" w:rsidTr="00FE1A38">
        <w:tc>
          <w:tcPr>
            <w:tcW w:w="2405" w:type="dxa"/>
          </w:tcPr>
          <w:p w14:paraId="49E78711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bCs/>
                <w:sz w:val="20"/>
                <w:szCs w:val="20"/>
              </w:rPr>
              <w:t>Gene</w:t>
            </w:r>
          </w:p>
        </w:tc>
        <w:tc>
          <w:tcPr>
            <w:tcW w:w="5891" w:type="dxa"/>
          </w:tcPr>
          <w:p w14:paraId="523582D9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bCs/>
                <w:sz w:val="20"/>
                <w:szCs w:val="20"/>
              </w:rPr>
              <w:t>Sequences (5’-3’)</w:t>
            </w:r>
          </w:p>
        </w:tc>
      </w:tr>
      <w:tr w:rsidR="007833A1" w14:paraId="6A7668C8" w14:textId="77777777" w:rsidTr="00FE1A38">
        <w:tc>
          <w:tcPr>
            <w:tcW w:w="2405" w:type="dxa"/>
            <w:tcBorders>
              <w:top w:val="single" w:sz="4" w:space="0" w:color="auto"/>
            </w:tcBorders>
          </w:tcPr>
          <w:p w14:paraId="41ACAEFE" w14:textId="77777777" w:rsidR="007965E6" w:rsidRPr="00975CFD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GAPDH-Forward</w:t>
            </w:r>
          </w:p>
        </w:tc>
        <w:tc>
          <w:tcPr>
            <w:tcW w:w="5891" w:type="dxa"/>
            <w:tcBorders>
              <w:top w:val="single" w:sz="4" w:space="0" w:color="auto"/>
            </w:tcBorders>
          </w:tcPr>
          <w:p w14:paraId="18C220F0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GGAGCGAGATCCCTCCAAAAT</w:t>
            </w:r>
          </w:p>
        </w:tc>
      </w:tr>
      <w:tr w:rsidR="007833A1" w14:paraId="04C57270" w14:textId="77777777" w:rsidTr="00FE1A38">
        <w:tc>
          <w:tcPr>
            <w:tcW w:w="2405" w:type="dxa"/>
          </w:tcPr>
          <w:p w14:paraId="5B9EB970" w14:textId="77777777" w:rsidR="007965E6" w:rsidRPr="00975CFD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GAPDH-Reverse</w:t>
            </w:r>
          </w:p>
        </w:tc>
        <w:tc>
          <w:tcPr>
            <w:tcW w:w="5891" w:type="dxa"/>
          </w:tcPr>
          <w:p w14:paraId="733CF665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GGCTGTTGTCATACTTCTCATGG</w:t>
            </w:r>
          </w:p>
        </w:tc>
      </w:tr>
      <w:tr w:rsidR="007833A1" w14:paraId="137F04B9" w14:textId="77777777" w:rsidTr="00FE1A38">
        <w:tc>
          <w:tcPr>
            <w:tcW w:w="2405" w:type="dxa"/>
          </w:tcPr>
          <w:p w14:paraId="25C3DBFA" w14:textId="77777777" w:rsidR="007965E6" w:rsidRPr="00975CFD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TGF-β1-Forward</w:t>
            </w:r>
          </w:p>
        </w:tc>
        <w:tc>
          <w:tcPr>
            <w:tcW w:w="5891" w:type="dxa"/>
          </w:tcPr>
          <w:p w14:paraId="65DABC84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CTAATGGTGGAAACCCACAACG</w:t>
            </w:r>
          </w:p>
        </w:tc>
      </w:tr>
      <w:tr w:rsidR="007833A1" w14:paraId="54F7569C" w14:textId="77777777" w:rsidTr="00FE1A38">
        <w:tc>
          <w:tcPr>
            <w:tcW w:w="2405" w:type="dxa"/>
          </w:tcPr>
          <w:p w14:paraId="0AE4EED9" w14:textId="77777777" w:rsidR="007965E6" w:rsidRPr="00975CFD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TGF-β1-Reverse</w:t>
            </w:r>
          </w:p>
        </w:tc>
        <w:tc>
          <w:tcPr>
            <w:tcW w:w="5891" w:type="dxa"/>
          </w:tcPr>
          <w:p w14:paraId="0BABB2CF" w14:textId="77777777" w:rsidR="007965E6" w:rsidRPr="00DF2FB5" w:rsidRDefault="00034C12" w:rsidP="00FE1A38">
            <w:pPr>
              <w:spacing w:line="48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F2FB5">
              <w:rPr>
                <w:rFonts w:ascii="Times New Roman" w:hAnsi="Times New Roman" w:cs="Times New Roman"/>
                <w:sz w:val="20"/>
                <w:szCs w:val="20"/>
              </w:rPr>
              <w:t>TATCGCCAGGAATTGTTGCTG</w:t>
            </w:r>
          </w:p>
        </w:tc>
      </w:tr>
    </w:tbl>
    <w:p w14:paraId="27C151EE" w14:textId="77777777" w:rsidR="00164D1E" w:rsidRDefault="00164D1E">
      <w:pPr>
        <w:sectPr w:rsidR="00164D1E" w:rsidSect="007965E6">
          <w:footerReference w:type="default" r:id="rId14"/>
          <w:pgSz w:w="11906" w:h="16838"/>
          <w:pgMar w:top="1440" w:right="1800" w:bottom="1440" w:left="1800" w:header="851" w:footer="992" w:gutter="0"/>
          <w:lnNumType w:countBy="1" w:restart="continuous"/>
          <w:pgNumType w:start="1"/>
          <w:cols w:space="425"/>
          <w:docGrid w:type="lines" w:linePitch="312"/>
        </w:sectPr>
      </w:pPr>
    </w:p>
    <w:p w14:paraId="1D234FE7" w14:textId="07D603BD" w:rsidR="00164D1E" w:rsidRDefault="00164D1E" w:rsidP="00164D1E">
      <w:pPr>
        <w:spacing w:line="48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164D1E">
        <w:rPr>
          <w:rFonts w:ascii="Times New Roman" w:hAnsi="Times New Roman" w:cs="Times New Roman"/>
          <w:b/>
          <w:sz w:val="20"/>
          <w:szCs w:val="20"/>
        </w:rPr>
        <w:lastRenderedPageBreak/>
        <w:t>Table S</w:t>
      </w:r>
      <w:r w:rsidRPr="00164D1E">
        <w:rPr>
          <w:rFonts w:ascii="Times New Roman" w:hAnsi="Times New Roman" w:cs="Times New Roman" w:hint="eastAsia"/>
          <w:b/>
          <w:sz w:val="20"/>
          <w:szCs w:val="20"/>
        </w:rPr>
        <w:t>4</w:t>
      </w:r>
      <w:r w:rsidRPr="00164D1E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164D1E">
        <w:rPr>
          <w:rFonts w:ascii="Times New Roman" w:hAnsi="Times New Roman" w:cs="Times New Roman" w:hint="eastAsia"/>
          <w:b/>
          <w:sz w:val="20"/>
          <w:szCs w:val="20"/>
        </w:rPr>
        <w:t>A</w:t>
      </w:r>
      <w:r w:rsidRPr="00164D1E">
        <w:rPr>
          <w:rFonts w:ascii="Times New Roman" w:hAnsi="Times New Roman" w:cs="Times New Roman"/>
          <w:b/>
          <w:sz w:val="20"/>
          <w:szCs w:val="20"/>
        </w:rPr>
        <w:t>ntibodies used in the study.</w:t>
      </w:r>
    </w:p>
    <w:tbl>
      <w:tblPr>
        <w:tblStyle w:val="af3"/>
        <w:tblW w:w="835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559"/>
        <w:gridCol w:w="1391"/>
        <w:gridCol w:w="1161"/>
        <w:gridCol w:w="1129"/>
      </w:tblGrid>
      <w:tr w:rsidR="00164D1E" w:rsidRPr="00F2312B" w14:paraId="582DAFCE" w14:textId="77777777" w:rsidTr="00975CFD">
        <w:trPr>
          <w:trHeight w:val="351"/>
          <w:jc w:val="center"/>
        </w:trPr>
        <w:tc>
          <w:tcPr>
            <w:tcW w:w="3119" w:type="dxa"/>
            <w:tcBorders>
              <w:bottom w:val="single" w:sz="4" w:space="0" w:color="auto"/>
            </w:tcBorders>
          </w:tcPr>
          <w:p w14:paraId="6EBD0A16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bCs/>
                <w:sz w:val="20"/>
                <w:szCs w:val="20"/>
              </w:rPr>
              <w:t>Antibody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538DE88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bCs/>
                <w:sz w:val="20"/>
                <w:szCs w:val="20"/>
              </w:rPr>
              <w:t>Manufacturer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51BE0104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bCs/>
                <w:sz w:val="20"/>
                <w:szCs w:val="20"/>
              </w:rPr>
              <w:t>Cat. No.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0139C8BB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bCs/>
                <w:sz w:val="20"/>
                <w:szCs w:val="20"/>
              </w:rPr>
              <w:t>Application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14:paraId="20D64BFB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bCs/>
                <w:sz w:val="20"/>
                <w:szCs w:val="20"/>
              </w:rPr>
              <w:t>Dilution</w:t>
            </w:r>
          </w:p>
        </w:tc>
      </w:tr>
      <w:tr w:rsidR="00164D1E" w:rsidRPr="00F2312B" w14:paraId="3F12F622" w14:textId="77777777" w:rsidTr="00975CFD">
        <w:trPr>
          <w:trHeight w:val="351"/>
          <w:jc w:val="center"/>
        </w:trPr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6BBE4C16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ULBP2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7E79CCD8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91" w:type="dxa"/>
            <w:tcBorders>
              <w:top w:val="single" w:sz="4" w:space="0" w:color="auto"/>
            </w:tcBorders>
            <w:vAlign w:val="center"/>
          </w:tcPr>
          <w:p w14:paraId="21B4673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ab275023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20E78BDC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6DED2E3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164D1E" w:rsidRPr="00F2312B" w14:paraId="53FFD7D5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55793D75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ULBP2</w:t>
            </w:r>
          </w:p>
        </w:tc>
        <w:tc>
          <w:tcPr>
            <w:tcW w:w="1559" w:type="dxa"/>
            <w:vAlign w:val="center"/>
          </w:tcPr>
          <w:p w14:paraId="273799CE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391" w:type="dxa"/>
            <w:vAlign w:val="center"/>
          </w:tcPr>
          <w:p w14:paraId="1B1447AF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13133-1-AP</w:t>
            </w:r>
          </w:p>
        </w:tc>
        <w:tc>
          <w:tcPr>
            <w:tcW w:w="1161" w:type="dxa"/>
            <w:vAlign w:val="center"/>
          </w:tcPr>
          <w:p w14:paraId="740EC1DD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IHC</w:t>
            </w:r>
          </w:p>
        </w:tc>
        <w:tc>
          <w:tcPr>
            <w:tcW w:w="1129" w:type="dxa"/>
            <w:vAlign w:val="center"/>
          </w:tcPr>
          <w:p w14:paraId="75302B73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164D1E" w:rsidRPr="00F2312B" w14:paraId="21212E2F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1907E65D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ULBP2</w:t>
            </w:r>
          </w:p>
        </w:tc>
        <w:tc>
          <w:tcPr>
            <w:tcW w:w="1559" w:type="dxa"/>
            <w:vAlign w:val="center"/>
          </w:tcPr>
          <w:p w14:paraId="5F1D4B69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91" w:type="dxa"/>
            <w:vAlign w:val="center"/>
          </w:tcPr>
          <w:p w14:paraId="01E2DBE2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ab89930</w:t>
            </w:r>
          </w:p>
        </w:tc>
        <w:tc>
          <w:tcPr>
            <w:tcW w:w="1161" w:type="dxa"/>
            <w:vAlign w:val="center"/>
          </w:tcPr>
          <w:p w14:paraId="771A0D5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FC</w:t>
            </w:r>
          </w:p>
        </w:tc>
        <w:tc>
          <w:tcPr>
            <w:tcW w:w="1129" w:type="dxa"/>
            <w:vAlign w:val="center"/>
          </w:tcPr>
          <w:p w14:paraId="3D7DE0AD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 µg/ml</w:t>
            </w:r>
          </w:p>
        </w:tc>
      </w:tr>
      <w:tr w:rsidR="00164D1E" w:rsidRPr="00F2312B" w14:paraId="4509DEE1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10F572AE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 xml:space="preserve">PE Goat anti-mouse IgG </w:t>
            </w:r>
          </w:p>
        </w:tc>
        <w:tc>
          <w:tcPr>
            <w:tcW w:w="1559" w:type="dxa"/>
            <w:vAlign w:val="center"/>
          </w:tcPr>
          <w:p w14:paraId="333D3A2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391" w:type="dxa"/>
            <w:vAlign w:val="center"/>
          </w:tcPr>
          <w:p w14:paraId="4EEBD150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405307</w:t>
            </w:r>
          </w:p>
        </w:tc>
        <w:tc>
          <w:tcPr>
            <w:tcW w:w="1161" w:type="dxa"/>
            <w:vAlign w:val="center"/>
          </w:tcPr>
          <w:p w14:paraId="47C9D549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FC</w:t>
            </w:r>
          </w:p>
        </w:tc>
        <w:tc>
          <w:tcPr>
            <w:tcW w:w="1129" w:type="dxa"/>
            <w:vAlign w:val="center"/>
          </w:tcPr>
          <w:p w14:paraId="2508289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0.2 mg/ml</w:t>
            </w:r>
          </w:p>
        </w:tc>
      </w:tr>
      <w:tr w:rsidR="00164D1E" w:rsidRPr="00F2312B" w14:paraId="79B921CB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26B83628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TGFβ1</w:t>
            </w:r>
          </w:p>
        </w:tc>
        <w:tc>
          <w:tcPr>
            <w:tcW w:w="1559" w:type="dxa"/>
            <w:vAlign w:val="center"/>
          </w:tcPr>
          <w:p w14:paraId="04025CE6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Selleck</w:t>
            </w:r>
          </w:p>
        </w:tc>
        <w:tc>
          <w:tcPr>
            <w:tcW w:w="1391" w:type="dxa"/>
            <w:vAlign w:val="center"/>
          </w:tcPr>
          <w:p w14:paraId="69B2982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F1624</w:t>
            </w:r>
          </w:p>
        </w:tc>
        <w:tc>
          <w:tcPr>
            <w:tcW w:w="1161" w:type="dxa"/>
            <w:vAlign w:val="center"/>
          </w:tcPr>
          <w:p w14:paraId="0383FDA4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129" w:type="dxa"/>
            <w:vAlign w:val="center"/>
          </w:tcPr>
          <w:p w14:paraId="79A63E83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164D1E" w:rsidRPr="005D51A3" w14:paraId="483EE8FD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4E5272D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T-Smad2/3</w:t>
            </w:r>
          </w:p>
        </w:tc>
        <w:tc>
          <w:tcPr>
            <w:tcW w:w="1559" w:type="dxa"/>
            <w:vAlign w:val="center"/>
          </w:tcPr>
          <w:p w14:paraId="4C0C72F4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Selleck</w:t>
            </w:r>
          </w:p>
        </w:tc>
        <w:tc>
          <w:tcPr>
            <w:tcW w:w="1391" w:type="dxa"/>
            <w:vAlign w:val="center"/>
          </w:tcPr>
          <w:p w14:paraId="14A2D41C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F0363</w:t>
            </w:r>
          </w:p>
        </w:tc>
        <w:tc>
          <w:tcPr>
            <w:tcW w:w="1161" w:type="dxa"/>
            <w:vAlign w:val="center"/>
          </w:tcPr>
          <w:p w14:paraId="45AFE50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129" w:type="dxa"/>
            <w:vAlign w:val="center"/>
          </w:tcPr>
          <w:p w14:paraId="07F11F00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164D1E" w:rsidRPr="00F2312B" w14:paraId="1D09FE3B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307D0F46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p-Smad2</w:t>
            </w:r>
          </w:p>
        </w:tc>
        <w:tc>
          <w:tcPr>
            <w:tcW w:w="1559" w:type="dxa"/>
            <w:vAlign w:val="center"/>
          </w:tcPr>
          <w:p w14:paraId="48BFB058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Selleck</w:t>
            </w:r>
          </w:p>
        </w:tc>
        <w:tc>
          <w:tcPr>
            <w:tcW w:w="1391" w:type="dxa"/>
            <w:vAlign w:val="center"/>
          </w:tcPr>
          <w:p w14:paraId="7CDCF77B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A5192</w:t>
            </w:r>
          </w:p>
        </w:tc>
        <w:tc>
          <w:tcPr>
            <w:tcW w:w="1161" w:type="dxa"/>
            <w:vAlign w:val="center"/>
          </w:tcPr>
          <w:p w14:paraId="440F2FE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129" w:type="dxa"/>
            <w:vAlign w:val="center"/>
          </w:tcPr>
          <w:p w14:paraId="15ACB0DE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164D1E" w:rsidRPr="00F2312B" w14:paraId="7BEE20EF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236ADF26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GAPDH</w:t>
            </w:r>
          </w:p>
        </w:tc>
        <w:tc>
          <w:tcPr>
            <w:tcW w:w="1559" w:type="dxa"/>
            <w:vAlign w:val="center"/>
          </w:tcPr>
          <w:p w14:paraId="55FF73BE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Proteintech</w:t>
            </w:r>
            <w:proofErr w:type="spellEnd"/>
          </w:p>
        </w:tc>
        <w:tc>
          <w:tcPr>
            <w:tcW w:w="1391" w:type="dxa"/>
            <w:vAlign w:val="center"/>
          </w:tcPr>
          <w:p w14:paraId="4408300B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10494-1-AP</w:t>
            </w:r>
          </w:p>
        </w:tc>
        <w:tc>
          <w:tcPr>
            <w:tcW w:w="1161" w:type="dxa"/>
            <w:vAlign w:val="center"/>
          </w:tcPr>
          <w:p w14:paraId="0927DEAE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129" w:type="dxa"/>
            <w:vAlign w:val="center"/>
          </w:tcPr>
          <w:p w14:paraId="5996740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164D1E" w:rsidRPr="00F2312B" w14:paraId="6CBEC1F4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79725C58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α-SMA</w:t>
            </w:r>
          </w:p>
        </w:tc>
        <w:tc>
          <w:tcPr>
            <w:tcW w:w="1559" w:type="dxa"/>
            <w:vAlign w:val="center"/>
          </w:tcPr>
          <w:p w14:paraId="334D8EFC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91" w:type="dxa"/>
            <w:vAlign w:val="center"/>
          </w:tcPr>
          <w:p w14:paraId="41732C7E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ab5831</w:t>
            </w:r>
          </w:p>
        </w:tc>
        <w:tc>
          <w:tcPr>
            <w:tcW w:w="1161" w:type="dxa"/>
            <w:vAlign w:val="center"/>
          </w:tcPr>
          <w:p w14:paraId="7A7EBA88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IF</w:t>
            </w:r>
          </w:p>
        </w:tc>
        <w:tc>
          <w:tcPr>
            <w:tcW w:w="1129" w:type="dxa"/>
            <w:vAlign w:val="center"/>
          </w:tcPr>
          <w:p w14:paraId="6AC6EEA9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1:100</w:t>
            </w:r>
          </w:p>
        </w:tc>
      </w:tr>
      <w:tr w:rsidR="00164D1E" w:rsidRPr="00F2312B" w14:paraId="3ECCE2E9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6D239185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Ki-67</w:t>
            </w:r>
          </w:p>
        </w:tc>
        <w:tc>
          <w:tcPr>
            <w:tcW w:w="1559" w:type="dxa"/>
            <w:vAlign w:val="center"/>
          </w:tcPr>
          <w:p w14:paraId="08927A1B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</w:p>
        </w:tc>
        <w:tc>
          <w:tcPr>
            <w:tcW w:w="1391" w:type="dxa"/>
            <w:vAlign w:val="center"/>
          </w:tcPr>
          <w:p w14:paraId="766308BD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9449S</w:t>
            </w:r>
          </w:p>
        </w:tc>
        <w:tc>
          <w:tcPr>
            <w:tcW w:w="1161" w:type="dxa"/>
            <w:vAlign w:val="center"/>
          </w:tcPr>
          <w:p w14:paraId="50533DEF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IHC/IF</w:t>
            </w:r>
          </w:p>
        </w:tc>
        <w:tc>
          <w:tcPr>
            <w:tcW w:w="1129" w:type="dxa"/>
            <w:vAlign w:val="center"/>
          </w:tcPr>
          <w:p w14:paraId="247BDCA8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164D1E" w:rsidRPr="00F2312B" w14:paraId="4CC30F20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5529E23B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Ki-67</w:t>
            </w:r>
          </w:p>
        </w:tc>
        <w:tc>
          <w:tcPr>
            <w:tcW w:w="1559" w:type="dxa"/>
            <w:vAlign w:val="center"/>
          </w:tcPr>
          <w:p w14:paraId="42D8C64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CST</w:t>
            </w:r>
          </w:p>
        </w:tc>
        <w:tc>
          <w:tcPr>
            <w:tcW w:w="1391" w:type="dxa"/>
            <w:vAlign w:val="center"/>
          </w:tcPr>
          <w:p w14:paraId="113A76C5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9449S</w:t>
            </w:r>
          </w:p>
        </w:tc>
        <w:tc>
          <w:tcPr>
            <w:tcW w:w="1161" w:type="dxa"/>
            <w:vAlign w:val="center"/>
          </w:tcPr>
          <w:p w14:paraId="0AEB1E2A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ICFC</w:t>
            </w:r>
          </w:p>
        </w:tc>
        <w:tc>
          <w:tcPr>
            <w:tcW w:w="1129" w:type="dxa"/>
            <w:vAlign w:val="center"/>
          </w:tcPr>
          <w:p w14:paraId="78F0E66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00</w:t>
            </w:r>
          </w:p>
        </w:tc>
      </w:tr>
      <w:tr w:rsidR="00164D1E" w:rsidRPr="00F2312B" w14:paraId="10403149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72280A13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CD8</w:t>
            </w:r>
          </w:p>
        </w:tc>
        <w:tc>
          <w:tcPr>
            <w:tcW w:w="1559" w:type="dxa"/>
            <w:vAlign w:val="center"/>
          </w:tcPr>
          <w:p w14:paraId="051777BD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91" w:type="dxa"/>
            <w:vAlign w:val="center"/>
          </w:tcPr>
          <w:p w14:paraId="70593273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ab316778</w:t>
            </w:r>
          </w:p>
        </w:tc>
        <w:tc>
          <w:tcPr>
            <w:tcW w:w="1161" w:type="dxa"/>
            <w:vAlign w:val="center"/>
          </w:tcPr>
          <w:p w14:paraId="28F146BC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IHC/IF</w:t>
            </w:r>
          </w:p>
        </w:tc>
        <w:tc>
          <w:tcPr>
            <w:tcW w:w="1129" w:type="dxa"/>
            <w:vAlign w:val="center"/>
          </w:tcPr>
          <w:p w14:paraId="4B3375EF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1:100</w:t>
            </w:r>
          </w:p>
        </w:tc>
      </w:tr>
      <w:tr w:rsidR="00164D1E" w:rsidRPr="00F2312B" w14:paraId="1BF7B76F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09AF80BC" w14:textId="50E60C1D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OLE_LINK4"/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E-Cad</w:t>
            </w:r>
            <w:bookmarkEnd w:id="1"/>
          </w:p>
        </w:tc>
        <w:tc>
          <w:tcPr>
            <w:tcW w:w="1559" w:type="dxa"/>
            <w:vAlign w:val="center"/>
          </w:tcPr>
          <w:p w14:paraId="2CEA5D2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OLE_LINK8"/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  <w:bookmarkEnd w:id="2"/>
          </w:p>
        </w:tc>
        <w:tc>
          <w:tcPr>
            <w:tcW w:w="1391" w:type="dxa"/>
            <w:vAlign w:val="center"/>
          </w:tcPr>
          <w:p w14:paraId="3604652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ab314063</w:t>
            </w:r>
          </w:p>
        </w:tc>
        <w:tc>
          <w:tcPr>
            <w:tcW w:w="1161" w:type="dxa"/>
            <w:vAlign w:val="center"/>
          </w:tcPr>
          <w:p w14:paraId="61A87329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129" w:type="dxa"/>
            <w:vAlign w:val="center"/>
          </w:tcPr>
          <w:p w14:paraId="1656D360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164D1E" w:rsidRPr="00F2312B" w14:paraId="4D3859D5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0944E196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N-Cad</w:t>
            </w:r>
          </w:p>
        </w:tc>
        <w:tc>
          <w:tcPr>
            <w:tcW w:w="1559" w:type="dxa"/>
            <w:vAlign w:val="center"/>
          </w:tcPr>
          <w:p w14:paraId="328EFD2D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91" w:type="dxa"/>
            <w:vAlign w:val="center"/>
          </w:tcPr>
          <w:p w14:paraId="32937E5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ab256744</w:t>
            </w:r>
          </w:p>
        </w:tc>
        <w:tc>
          <w:tcPr>
            <w:tcW w:w="1161" w:type="dxa"/>
            <w:vAlign w:val="center"/>
          </w:tcPr>
          <w:p w14:paraId="5F62A506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129" w:type="dxa"/>
            <w:vAlign w:val="center"/>
          </w:tcPr>
          <w:p w14:paraId="6661B3B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164D1E" w:rsidRPr="00F2312B" w14:paraId="43488F0C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05DB1EDE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Vimentin</w:t>
            </w:r>
          </w:p>
        </w:tc>
        <w:tc>
          <w:tcPr>
            <w:tcW w:w="1559" w:type="dxa"/>
            <w:vAlign w:val="center"/>
          </w:tcPr>
          <w:p w14:paraId="423BDFFF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91" w:type="dxa"/>
            <w:vAlign w:val="center"/>
          </w:tcPr>
          <w:p w14:paraId="0E0D201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ab92547</w:t>
            </w:r>
          </w:p>
        </w:tc>
        <w:tc>
          <w:tcPr>
            <w:tcW w:w="1161" w:type="dxa"/>
            <w:vAlign w:val="center"/>
          </w:tcPr>
          <w:p w14:paraId="2893EB44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WB</w:t>
            </w:r>
          </w:p>
        </w:tc>
        <w:tc>
          <w:tcPr>
            <w:tcW w:w="1129" w:type="dxa"/>
            <w:vAlign w:val="center"/>
          </w:tcPr>
          <w:p w14:paraId="4DB5674B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1:1000</w:t>
            </w:r>
          </w:p>
        </w:tc>
      </w:tr>
      <w:tr w:rsidR="00164D1E" w:rsidRPr="00F2312B" w14:paraId="720D771D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51A4A14A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APC-Cy7 anti-human CD45</w:t>
            </w:r>
          </w:p>
        </w:tc>
        <w:tc>
          <w:tcPr>
            <w:tcW w:w="1559" w:type="dxa"/>
            <w:vAlign w:val="center"/>
          </w:tcPr>
          <w:p w14:paraId="33CC7D3C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391" w:type="dxa"/>
            <w:vAlign w:val="center"/>
          </w:tcPr>
          <w:p w14:paraId="46ED291C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103116</w:t>
            </w:r>
          </w:p>
        </w:tc>
        <w:tc>
          <w:tcPr>
            <w:tcW w:w="1161" w:type="dxa"/>
            <w:vAlign w:val="center"/>
          </w:tcPr>
          <w:p w14:paraId="134EE780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FC</w:t>
            </w:r>
          </w:p>
        </w:tc>
        <w:tc>
          <w:tcPr>
            <w:tcW w:w="1129" w:type="dxa"/>
            <w:vAlign w:val="center"/>
          </w:tcPr>
          <w:p w14:paraId="5513C22F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5 µl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100 µl</w:t>
            </w:r>
          </w:p>
        </w:tc>
      </w:tr>
      <w:tr w:rsidR="00164D1E" w:rsidRPr="00F2312B" w14:paraId="45A0B65B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099F7EE9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FITC anti-human CD3</w:t>
            </w:r>
          </w:p>
        </w:tc>
        <w:tc>
          <w:tcPr>
            <w:tcW w:w="1559" w:type="dxa"/>
            <w:vAlign w:val="center"/>
          </w:tcPr>
          <w:p w14:paraId="46D46F5C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391" w:type="dxa"/>
            <w:vAlign w:val="center"/>
          </w:tcPr>
          <w:p w14:paraId="5EC0F788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100204</w:t>
            </w:r>
          </w:p>
        </w:tc>
        <w:tc>
          <w:tcPr>
            <w:tcW w:w="1161" w:type="dxa"/>
            <w:vAlign w:val="center"/>
          </w:tcPr>
          <w:p w14:paraId="2BE517D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FC</w:t>
            </w:r>
          </w:p>
        </w:tc>
        <w:tc>
          <w:tcPr>
            <w:tcW w:w="1129" w:type="dxa"/>
            <w:vAlign w:val="center"/>
          </w:tcPr>
          <w:p w14:paraId="0ECF66A0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5 µl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100 µl</w:t>
            </w:r>
          </w:p>
        </w:tc>
      </w:tr>
      <w:tr w:rsidR="00164D1E" w:rsidRPr="00F2312B" w14:paraId="74D4C340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41809DAC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PE anti-human CD4</w:t>
            </w:r>
          </w:p>
        </w:tc>
        <w:tc>
          <w:tcPr>
            <w:tcW w:w="1559" w:type="dxa"/>
            <w:vAlign w:val="center"/>
          </w:tcPr>
          <w:p w14:paraId="7E2D9670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391" w:type="dxa"/>
            <w:vAlign w:val="center"/>
          </w:tcPr>
          <w:p w14:paraId="35F1476A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100408</w:t>
            </w:r>
          </w:p>
        </w:tc>
        <w:tc>
          <w:tcPr>
            <w:tcW w:w="1161" w:type="dxa"/>
            <w:vAlign w:val="center"/>
          </w:tcPr>
          <w:p w14:paraId="044D89C0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FC</w:t>
            </w:r>
          </w:p>
        </w:tc>
        <w:tc>
          <w:tcPr>
            <w:tcW w:w="1129" w:type="dxa"/>
            <w:vAlign w:val="center"/>
          </w:tcPr>
          <w:p w14:paraId="2DAA2EDE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5 µl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100 µl</w:t>
            </w:r>
          </w:p>
        </w:tc>
      </w:tr>
      <w:tr w:rsidR="00164D1E" w:rsidRPr="00F2312B" w14:paraId="6D9094CC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21536ED4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APC anti-human CD8</w:t>
            </w:r>
          </w:p>
        </w:tc>
        <w:tc>
          <w:tcPr>
            <w:tcW w:w="1559" w:type="dxa"/>
            <w:vAlign w:val="center"/>
          </w:tcPr>
          <w:p w14:paraId="18CF892B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391" w:type="dxa"/>
            <w:vAlign w:val="center"/>
          </w:tcPr>
          <w:p w14:paraId="6CCDFB6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100712</w:t>
            </w:r>
          </w:p>
        </w:tc>
        <w:tc>
          <w:tcPr>
            <w:tcW w:w="1161" w:type="dxa"/>
            <w:vAlign w:val="center"/>
          </w:tcPr>
          <w:p w14:paraId="353294E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FC</w:t>
            </w:r>
          </w:p>
        </w:tc>
        <w:tc>
          <w:tcPr>
            <w:tcW w:w="1129" w:type="dxa"/>
            <w:vAlign w:val="center"/>
          </w:tcPr>
          <w:p w14:paraId="70865C5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5 µl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100 µl</w:t>
            </w:r>
          </w:p>
        </w:tc>
      </w:tr>
      <w:tr w:rsidR="00164D1E" w:rsidRPr="00F2312B" w14:paraId="718180FE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5EA93C3C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APC anti-human PD-1</w:t>
            </w:r>
          </w:p>
        </w:tc>
        <w:tc>
          <w:tcPr>
            <w:tcW w:w="1559" w:type="dxa"/>
            <w:vAlign w:val="center"/>
          </w:tcPr>
          <w:p w14:paraId="1D78B9D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391" w:type="dxa"/>
            <w:vAlign w:val="center"/>
          </w:tcPr>
          <w:p w14:paraId="3B7D4F9B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329908</w:t>
            </w:r>
          </w:p>
        </w:tc>
        <w:tc>
          <w:tcPr>
            <w:tcW w:w="1161" w:type="dxa"/>
            <w:vAlign w:val="center"/>
          </w:tcPr>
          <w:p w14:paraId="5163CE7D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FC</w:t>
            </w:r>
          </w:p>
        </w:tc>
        <w:tc>
          <w:tcPr>
            <w:tcW w:w="1129" w:type="dxa"/>
            <w:vAlign w:val="center"/>
          </w:tcPr>
          <w:p w14:paraId="7CF581CD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5 µl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100 µl</w:t>
            </w:r>
          </w:p>
        </w:tc>
      </w:tr>
      <w:tr w:rsidR="00164D1E" w:rsidRPr="00F2312B" w14:paraId="46A025C9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103E834B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PE/Cyanine7 anti-human Tim3</w:t>
            </w:r>
          </w:p>
        </w:tc>
        <w:tc>
          <w:tcPr>
            <w:tcW w:w="1559" w:type="dxa"/>
            <w:vAlign w:val="center"/>
          </w:tcPr>
          <w:p w14:paraId="493F80D4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391" w:type="dxa"/>
            <w:vAlign w:val="center"/>
          </w:tcPr>
          <w:p w14:paraId="243E21C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345014</w:t>
            </w:r>
          </w:p>
        </w:tc>
        <w:tc>
          <w:tcPr>
            <w:tcW w:w="1161" w:type="dxa"/>
            <w:vAlign w:val="center"/>
          </w:tcPr>
          <w:p w14:paraId="7EA2A42F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FC</w:t>
            </w:r>
          </w:p>
        </w:tc>
        <w:tc>
          <w:tcPr>
            <w:tcW w:w="1129" w:type="dxa"/>
            <w:vAlign w:val="center"/>
          </w:tcPr>
          <w:p w14:paraId="4081978F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5 µl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100 µl</w:t>
            </w:r>
          </w:p>
        </w:tc>
      </w:tr>
      <w:tr w:rsidR="00164D1E" w:rsidRPr="00F2312B" w14:paraId="73ED7418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08D66BE3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PE anti-human LAG-3</w:t>
            </w:r>
          </w:p>
        </w:tc>
        <w:tc>
          <w:tcPr>
            <w:tcW w:w="1559" w:type="dxa"/>
            <w:vAlign w:val="center"/>
          </w:tcPr>
          <w:p w14:paraId="24F58B1B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391" w:type="dxa"/>
            <w:vAlign w:val="center"/>
          </w:tcPr>
          <w:p w14:paraId="7AE641A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369306</w:t>
            </w:r>
          </w:p>
        </w:tc>
        <w:tc>
          <w:tcPr>
            <w:tcW w:w="1161" w:type="dxa"/>
            <w:vAlign w:val="center"/>
          </w:tcPr>
          <w:p w14:paraId="6E71A25F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FC</w:t>
            </w:r>
          </w:p>
        </w:tc>
        <w:tc>
          <w:tcPr>
            <w:tcW w:w="1129" w:type="dxa"/>
            <w:vAlign w:val="center"/>
          </w:tcPr>
          <w:p w14:paraId="186EF659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5 µl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100 µl</w:t>
            </w:r>
          </w:p>
        </w:tc>
      </w:tr>
      <w:tr w:rsidR="00164D1E" w:rsidRPr="00F2312B" w14:paraId="2EC4337A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778BACA9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Goat Anti-Rabbit IgG Alexa488</w:t>
            </w:r>
          </w:p>
        </w:tc>
        <w:tc>
          <w:tcPr>
            <w:tcW w:w="1559" w:type="dxa"/>
            <w:vAlign w:val="center"/>
          </w:tcPr>
          <w:p w14:paraId="446BB79F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OLE_LINK7"/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  <w:bookmarkEnd w:id="3"/>
          </w:p>
        </w:tc>
        <w:tc>
          <w:tcPr>
            <w:tcW w:w="1391" w:type="dxa"/>
            <w:vAlign w:val="center"/>
          </w:tcPr>
          <w:p w14:paraId="73701BB6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ab150077</w:t>
            </w:r>
          </w:p>
        </w:tc>
        <w:tc>
          <w:tcPr>
            <w:tcW w:w="1161" w:type="dxa"/>
            <w:vAlign w:val="center"/>
          </w:tcPr>
          <w:p w14:paraId="2EE403DD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OLE_LINK9"/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IF</w:t>
            </w:r>
            <w:bookmarkEnd w:id="4"/>
          </w:p>
        </w:tc>
        <w:tc>
          <w:tcPr>
            <w:tcW w:w="1129" w:type="dxa"/>
            <w:vAlign w:val="center"/>
          </w:tcPr>
          <w:p w14:paraId="7C74FABE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164D1E" w:rsidRPr="00F2312B" w14:paraId="2F5A15C3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37F78AE4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Goat Anti-</w:t>
            </w: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ouse IgG Alexa488</w:t>
            </w:r>
          </w:p>
        </w:tc>
        <w:tc>
          <w:tcPr>
            <w:tcW w:w="1559" w:type="dxa"/>
            <w:vAlign w:val="center"/>
          </w:tcPr>
          <w:p w14:paraId="2E980FD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91" w:type="dxa"/>
            <w:vAlign w:val="center"/>
          </w:tcPr>
          <w:p w14:paraId="1AA3873D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ab150113</w:t>
            </w:r>
          </w:p>
        </w:tc>
        <w:tc>
          <w:tcPr>
            <w:tcW w:w="1161" w:type="dxa"/>
            <w:vAlign w:val="center"/>
          </w:tcPr>
          <w:p w14:paraId="0E87FF7D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IF</w:t>
            </w:r>
          </w:p>
        </w:tc>
        <w:tc>
          <w:tcPr>
            <w:tcW w:w="1129" w:type="dxa"/>
            <w:vAlign w:val="center"/>
          </w:tcPr>
          <w:p w14:paraId="12610719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1:200</w:t>
            </w:r>
          </w:p>
        </w:tc>
      </w:tr>
      <w:tr w:rsidR="00164D1E" w:rsidRPr="00F2312B" w14:paraId="64202CD7" w14:textId="77777777" w:rsidTr="00975CFD">
        <w:trPr>
          <w:trHeight w:val="351"/>
          <w:jc w:val="center"/>
        </w:trPr>
        <w:tc>
          <w:tcPr>
            <w:tcW w:w="3119" w:type="dxa"/>
            <w:vAlign w:val="center"/>
          </w:tcPr>
          <w:p w14:paraId="2E019EDA" w14:textId="70F79FB2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Goat Anti-Mouse IgG Alexa</w:t>
            </w:r>
            <w:r w:rsidR="00D52A39"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1559" w:type="dxa"/>
            <w:vAlign w:val="center"/>
          </w:tcPr>
          <w:p w14:paraId="0F37CFD7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Abcam</w:t>
            </w:r>
          </w:p>
        </w:tc>
        <w:tc>
          <w:tcPr>
            <w:tcW w:w="1391" w:type="dxa"/>
            <w:vAlign w:val="center"/>
          </w:tcPr>
          <w:p w14:paraId="6B2D18E2" w14:textId="7DE340EE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ab15011</w:t>
            </w:r>
            <w:r w:rsidR="00D52A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1" w:type="dxa"/>
            <w:vAlign w:val="center"/>
          </w:tcPr>
          <w:p w14:paraId="3C2095A1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 w:hint="eastAsia"/>
                <w:sz w:val="20"/>
                <w:szCs w:val="20"/>
              </w:rPr>
              <w:t>IF</w:t>
            </w:r>
          </w:p>
        </w:tc>
        <w:tc>
          <w:tcPr>
            <w:tcW w:w="1129" w:type="dxa"/>
            <w:vAlign w:val="center"/>
          </w:tcPr>
          <w:p w14:paraId="49192152" w14:textId="77777777" w:rsidR="00164D1E" w:rsidRPr="00975CFD" w:rsidRDefault="00164D1E" w:rsidP="00975CFD">
            <w:pPr>
              <w:spacing w:line="48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1:200</w:t>
            </w:r>
          </w:p>
        </w:tc>
      </w:tr>
    </w:tbl>
    <w:p w14:paraId="41651D15" w14:textId="77777777" w:rsidR="00164D1E" w:rsidRDefault="00164D1E" w:rsidP="00164D1E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05528A34" w14:textId="06C752D4" w:rsidR="00B16F02" w:rsidRPr="00DF2FB5" w:rsidRDefault="00B16F02"/>
    <w:sectPr w:rsidR="00B16F02" w:rsidRPr="00DF2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91687" w14:textId="77777777" w:rsidR="00991BF7" w:rsidRDefault="00991BF7">
      <w:r>
        <w:separator/>
      </w:r>
    </w:p>
  </w:endnote>
  <w:endnote w:type="continuationSeparator" w:id="0">
    <w:p w14:paraId="2068ECFD" w14:textId="77777777" w:rsidR="00991BF7" w:rsidRDefault="0099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8036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350075CF" w14:textId="77777777" w:rsidR="007833A1" w:rsidRPr="001804C7" w:rsidRDefault="00034C12" w:rsidP="00F75766">
        <w:pPr>
          <w:pStyle w:val="af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4307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4307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4307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243075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43075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5759F" w14:textId="77777777" w:rsidR="00991BF7" w:rsidRDefault="00991BF7">
      <w:r>
        <w:separator/>
      </w:r>
    </w:p>
  </w:footnote>
  <w:footnote w:type="continuationSeparator" w:id="0">
    <w:p w14:paraId="0648D7A1" w14:textId="77777777" w:rsidR="00991BF7" w:rsidRDefault="00991B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E6"/>
    <w:rsid w:val="00034C12"/>
    <w:rsid w:val="000721CD"/>
    <w:rsid w:val="00101E7E"/>
    <w:rsid w:val="00164D1E"/>
    <w:rsid w:val="001804C7"/>
    <w:rsid w:val="00243075"/>
    <w:rsid w:val="005B4EE4"/>
    <w:rsid w:val="005B6FE7"/>
    <w:rsid w:val="006022D6"/>
    <w:rsid w:val="00750F3F"/>
    <w:rsid w:val="00752F49"/>
    <w:rsid w:val="007833A1"/>
    <w:rsid w:val="007965E6"/>
    <w:rsid w:val="007D675D"/>
    <w:rsid w:val="00802A7D"/>
    <w:rsid w:val="00832E5C"/>
    <w:rsid w:val="008B1A84"/>
    <w:rsid w:val="00975CFD"/>
    <w:rsid w:val="00991BF7"/>
    <w:rsid w:val="009C3D20"/>
    <w:rsid w:val="00AA77BE"/>
    <w:rsid w:val="00B1545A"/>
    <w:rsid w:val="00B16F02"/>
    <w:rsid w:val="00B769BB"/>
    <w:rsid w:val="00B80958"/>
    <w:rsid w:val="00B97D59"/>
    <w:rsid w:val="00C94471"/>
    <w:rsid w:val="00D33310"/>
    <w:rsid w:val="00D52A39"/>
    <w:rsid w:val="00D77D45"/>
    <w:rsid w:val="00DF2FB5"/>
    <w:rsid w:val="00E73C5A"/>
    <w:rsid w:val="00F75766"/>
    <w:rsid w:val="00FC7AA8"/>
    <w:rsid w:val="00FE0941"/>
    <w:rsid w:val="00FE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EC9DD6"/>
  <w15:chartTrackingRefBased/>
  <w15:docId w15:val="{07E43B82-2F3A-40DC-B799-028FF57C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color w:val="000000" w:themeColor="text1"/>
        <w:kern w:val="2"/>
        <w:lang w:val="en-ZA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5E6"/>
    <w:pPr>
      <w:widowControl w:val="0"/>
      <w:spacing w:line="240" w:lineRule="auto"/>
    </w:pPr>
    <w:rPr>
      <w:rFonts w:asciiTheme="minorHAnsi" w:hAnsiTheme="minorHAnsi" w:cstheme="minorBidi"/>
      <w:color w:val="auto"/>
      <w:sz w:val="21"/>
      <w:szCs w:val="21"/>
      <w:lang w:val="en-GB" w:eastAsia="zh-CN"/>
    </w:rPr>
  </w:style>
  <w:style w:type="paragraph" w:styleId="1">
    <w:name w:val="heading 1"/>
    <w:basedOn w:val="a"/>
    <w:next w:val="a"/>
    <w:link w:val="10"/>
    <w:uiPriority w:val="9"/>
    <w:qFormat/>
    <w:rsid w:val="00796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5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5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5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5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rsid w:val="00DF2FB5"/>
    <w:rPr>
      <w:rFonts w:ascii="Times New Roman" w:hAnsi="Times New Roman"/>
      <w:sz w:val="20"/>
    </w:rPr>
  </w:style>
  <w:style w:type="character" w:customStyle="1" w:styleId="a4">
    <w:name w:val="批注文字 字符"/>
    <w:basedOn w:val="a0"/>
    <w:link w:val="a3"/>
    <w:uiPriority w:val="99"/>
    <w:rsid w:val="00DF2FB5"/>
    <w:rPr>
      <w:rFonts w:eastAsiaTheme="minorEastAsia" w:cstheme="minorBidi"/>
      <w:color w:val="auto"/>
      <w:szCs w:val="21"/>
      <w:lang w:val="en-GB" w:eastAsia="zh-CN"/>
    </w:rPr>
  </w:style>
  <w:style w:type="character" w:styleId="a5">
    <w:name w:val="line number"/>
    <w:basedOn w:val="a0"/>
    <w:uiPriority w:val="99"/>
    <w:semiHidden/>
    <w:unhideWhenUsed/>
    <w:rsid w:val="00B769BB"/>
    <w:rPr>
      <w:rFonts w:ascii="Times New Roman" w:hAnsi="Times New Roman"/>
      <w:sz w:val="20"/>
    </w:rPr>
  </w:style>
  <w:style w:type="character" w:customStyle="1" w:styleId="10">
    <w:name w:val="标题 1 字符"/>
    <w:basedOn w:val="a0"/>
    <w:link w:val="1"/>
    <w:uiPriority w:val="9"/>
    <w:rsid w:val="00796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96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965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965E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965E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965E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965E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965E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965E6"/>
    <w:rPr>
      <w:rFonts w:asciiTheme="minorHAnsi" w:eastAsiaTheme="majorEastAsia" w:hAnsiTheme="minorHAnsi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7965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标题 字符"/>
    <w:basedOn w:val="a0"/>
    <w:link w:val="a6"/>
    <w:uiPriority w:val="10"/>
    <w:rsid w:val="007965E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7965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标题 字符"/>
    <w:basedOn w:val="a0"/>
    <w:link w:val="a8"/>
    <w:uiPriority w:val="11"/>
    <w:rsid w:val="007965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7965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rsid w:val="007965E6"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rsid w:val="007965E6"/>
    <w:pPr>
      <w:ind w:left="720"/>
      <w:contextualSpacing/>
    </w:pPr>
  </w:style>
  <w:style w:type="character" w:styleId="ad">
    <w:name w:val="Intense Emphasis"/>
    <w:basedOn w:val="a0"/>
    <w:uiPriority w:val="21"/>
    <w:qFormat/>
    <w:rsid w:val="007965E6"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796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rsid w:val="007965E6"/>
    <w:rPr>
      <w:i/>
      <w:iCs/>
      <w:color w:val="0F4761" w:themeColor="accent1" w:themeShade="BF"/>
    </w:rPr>
  </w:style>
  <w:style w:type="character" w:styleId="af0">
    <w:name w:val="Intense Reference"/>
    <w:basedOn w:val="a0"/>
    <w:uiPriority w:val="32"/>
    <w:qFormat/>
    <w:rsid w:val="007965E6"/>
    <w:rPr>
      <w:b/>
      <w:bCs/>
      <w:smallCaps/>
      <w:color w:val="0F4761" w:themeColor="accent1" w:themeShade="BF"/>
      <w:spacing w:val="5"/>
    </w:rPr>
  </w:style>
  <w:style w:type="paragraph" w:styleId="af1">
    <w:name w:val="footer"/>
    <w:basedOn w:val="a"/>
    <w:link w:val="af2"/>
    <w:uiPriority w:val="99"/>
    <w:unhideWhenUsed/>
    <w:rsid w:val="007965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7965E6"/>
    <w:rPr>
      <w:rFonts w:asciiTheme="minorHAnsi" w:eastAsiaTheme="minorEastAsia" w:hAnsiTheme="minorHAnsi" w:cstheme="minorBidi"/>
      <w:color w:val="auto"/>
      <w:sz w:val="18"/>
      <w:szCs w:val="18"/>
      <w:lang w:val="en-US" w:eastAsia="zh-CN"/>
    </w:rPr>
  </w:style>
  <w:style w:type="table" w:styleId="af3">
    <w:name w:val="Table Grid"/>
    <w:basedOn w:val="a1"/>
    <w:uiPriority w:val="39"/>
    <w:rsid w:val="007965E6"/>
    <w:pPr>
      <w:spacing w:line="240" w:lineRule="auto"/>
      <w:jc w:val="left"/>
    </w:pPr>
    <w:rPr>
      <w:rFonts w:asciiTheme="minorHAnsi" w:hAnsiTheme="minorHAnsi" w:cstheme="minorBidi"/>
      <w:color w:val="auto"/>
      <w:sz w:val="21"/>
      <w:szCs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7965E6"/>
    <w:pPr>
      <w:spacing w:line="240" w:lineRule="auto"/>
      <w:jc w:val="left"/>
    </w:pPr>
    <w:rPr>
      <w:rFonts w:asciiTheme="minorHAnsi" w:hAnsiTheme="minorHAnsi" w:cstheme="minorBidi"/>
      <w:color w:val="auto"/>
      <w:sz w:val="21"/>
      <w:szCs w:val="21"/>
      <w:lang w:val="en-US" w:eastAsia="zh-CN"/>
    </w:rPr>
  </w:style>
  <w:style w:type="paragraph" w:styleId="af5">
    <w:name w:val="Balloon Text"/>
    <w:basedOn w:val="a"/>
    <w:link w:val="af6"/>
    <w:uiPriority w:val="99"/>
    <w:semiHidden/>
    <w:unhideWhenUsed/>
    <w:rsid w:val="00DF2FB5"/>
    <w:rPr>
      <w:rFonts w:ascii="Segoe UI" w:hAnsi="Segoe UI" w:cs="Segoe UI"/>
      <w:sz w:val="18"/>
      <w:szCs w:val="18"/>
    </w:rPr>
  </w:style>
  <w:style w:type="character" w:customStyle="1" w:styleId="af6">
    <w:name w:val="批注框文本 字符"/>
    <w:basedOn w:val="a0"/>
    <w:link w:val="af5"/>
    <w:uiPriority w:val="99"/>
    <w:semiHidden/>
    <w:rsid w:val="00DF2FB5"/>
    <w:rPr>
      <w:rFonts w:ascii="Segoe UI" w:eastAsiaTheme="minorEastAsia" w:hAnsi="Segoe UI" w:cs="Segoe UI"/>
      <w:color w:val="auto"/>
      <w:sz w:val="18"/>
      <w:szCs w:val="18"/>
      <w:lang w:val="en-GB" w:eastAsia="zh-CN"/>
    </w:rPr>
  </w:style>
  <w:style w:type="character" w:styleId="af7">
    <w:name w:val="annotation reference"/>
    <w:basedOn w:val="a0"/>
    <w:uiPriority w:val="99"/>
    <w:semiHidden/>
    <w:unhideWhenUsed/>
    <w:rsid w:val="00DF2FB5"/>
    <w:rPr>
      <w:sz w:val="16"/>
      <w:szCs w:val="16"/>
    </w:rPr>
  </w:style>
  <w:style w:type="paragraph" w:styleId="af8">
    <w:name w:val="annotation subject"/>
    <w:basedOn w:val="a3"/>
    <w:next w:val="a3"/>
    <w:link w:val="af9"/>
    <w:uiPriority w:val="99"/>
    <w:semiHidden/>
    <w:unhideWhenUsed/>
    <w:rsid w:val="00DF2FB5"/>
    <w:rPr>
      <w:b/>
      <w:bCs/>
      <w:szCs w:val="20"/>
    </w:rPr>
  </w:style>
  <w:style w:type="character" w:customStyle="1" w:styleId="af9">
    <w:name w:val="批注主题 字符"/>
    <w:basedOn w:val="a4"/>
    <w:link w:val="af8"/>
    <w:uiPriority w:val="99"/>
    <w:semiHidden/>
    <w:rsid w:val="00DF2FB5"/>
    <w:rPr>
      <w:rFonts w:eastAsiaTheme="minorEastAsia" w:cstheme="minorBidi"/>
      <w:b/>
      <w:bCs/>
      <w:color w:val="auto"/>
      <w:szCs w:val="21"/>
      <w:lang w:val="en-GB" w:eastAsia="zh-CN"/>
    </w:rPr>
  </w:style>
  <w:style w:type="paragraph" w:styleId="afa">
    <w:name w:val="header"/>
    <w:basedOn w:val="a"/>
    <w:link w:val="afb"/>
    <w:uiPriority w:val="99"/>
    <w:unhideWhenUsed/>
    <w:rsid w:val="002430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b">
    <w:name w:val="页眉 字符"/>
    <w:basedOn w:val="a0"/>
    <w:link w:val="afa"/>
    <w:uiPriority w:val="99"/>
    <w:rsid w:val="00243075"/>
    <w:rPr>
      <w:rFonts w:asciiTheme="minorHAnsi" w:hAnsiTheme="minorHAnsi" w:cstheme="minorBidi"/>
      <w:color w:val="auto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image" Target="media/image7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73C21-3CC1-4BDB-B980-BC5FAF322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908</Words>
  <Characters>5179</Characters>
  <Application>Microsoft Office Word</Application>
  <DocSecurity>0</DocSecurity>
  <Lines>43</Lines>
  <Paragraphs>12</Paragraphs>
  <ScaleCrop>false</ScaleCrop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Administrator</cp:lastModifiedBy>
  <cp:revision>9</cp:revision>
  <dcterms:created xsi:type="dcterms:W3CDTF">2025-04-13T17:16:00Z</dcterms:created>
  <dcterms:modified xsi:type="dcterms:W3CDTF">2025-07-16T06:42:00Z</dcterms:modified>
</cp:coreProperties>
</file>