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865FC" w14:textId="52FB6B4F" w:rsidR="002E7A5B" w:rsidRPr="00A275D8" w:rsidRDefault="002E7A5B" w:rsidP="002E7A5B">
      <w:pPr>
        <w:adjustRightInd w:val="0"/>
        <w:snapToGrid w:val="0"/>
        <w:spacing w:afterLines="50" w:after="156" w:line="360" w:lineRule="auto"/>
        <w:jc w:val="center"/>
        <w:rPr>
          <w:rFonts w:ascii="Times New Roman" w:hAnsi="Times New Roman"/>
          <w:b/>
          <w:bCs/>
          <w:color w:val="000000" w:themeColor="text1"/>
          <w:sz w:val="28"/>
          <w:szCs w:val="28"/>
        </w:rPr>
      </w:pPr>
      <w:r w:rsidRPr="00A275D8">
        <w:rPr>
          <w:rFonts w:ascii="Times New Roman" w:hAnsi="Times New Roman"/>
          <w:b/>
          <w:bCs/>
          <w:color w:val="000000" w:themeColor="text1"/>
          <w:sz w:val="28"/>
          <w:szCs w:val="28"/>
        </w:rPr>
        <w:t>Supplemental Figure Legends</w:t>
      </w:r>
    </w:p>
    <w:p w14:paraId="1475B782" w14:textId="4814C01C" w:rsidR="00CB6D0A" w:rsidRPr="00A275D8" w:rsidRDefault="00CB6D0A" w:rsidP="002E7A5B">
      <w:pPr>
        <w:adjustRightInd w:val="0"/>
        <w:snapToGrid w:val="0"/>
        <w:spacing w:afterLines="50" w:after="156" w:line="360" w:lineRule="auto"/>
        <w:jc w:val="both"/>
        <w:rPr>
          <w:rFonts w:ascii="Times New Roman" w:hAnsi="Times New Roman"/>
          <w:color w:val="000000" w:themeColor="text1"/>
          <w:sz w:val="24"/>
          <w:szCs w:val="24"/>
        </w:rPr>
      </w:pPr>
      <w:r w:rsidRPr="00A275D8">
        <w:rPr>
          <w:rFonts w:ascii="Times New Roman" w:hAnsi="Times New Roman"/>
          <w:b/>
          <w:bCs/>
          <w:color w:val="000000" w:themeColor="text1"/>
          <w:sz w:val="24"/>
          <w:szCs w:val="24"/>
        </w:rPr>
        <w:t>Fig</w:t>
      </w:r>
      <w:r w:rsidR="00F55D9D" w:rsidRPr="00A275D8">
        <w:rPr>
          <w:rFonts w:ascii="Times New Roman" w:hAnsi="Times New Roman"/>
          <w:b/>
          <w:bCs/>
          <w:color w:val="000000" w:themeColor="text1"/>
          <w:sz w:val="24"/>
          <w:szCs w:val="24"/>
        </w:rPr>
        <w:t xml:space="preserve">. </w:t>
      </w:r>
      <w:r w:rsidRPr="00A275D8">
        <w:rPr>
          <w:rFonts w:ascii="Times New Roman" w:hAnsi="Times New Roman"/>
          <w:b/>
          <w:bCs/>
          <w:color w:val="000000" w:themeColor="text1"/>
          <w:sz w:val="24"/>
          <w:szCs w:val="24"/>
        </w:rPr>
        <w:t>1 RUNX2 mRNA and protein expression levels and the efficiency of RUNX2 overexpression and knockdown in breast cancer cell lines. A</w:t>
      </w:r>
      <w:r w:rsidRPr="00A275D8">
        <w:rPr>
          <w:rFonts w:ascii="Times New Roman" w:hAnsi="Times New Roman"/>
          <w:color w:val="000000" w:themeColor="text1"/>
          <w:sz w:val="24"/>
          <w:szCs w:val="24"/>
        </w:rPr>
        <w:t xml:space="preserve"> </w:t>
      </w:r>
      <w:r w:rsidRPr="00A275D8">
        <w:rPr>
          <w:rFonts w:ascii="Times New Roman" w:hAnsi="Times New Roman"/>
          <w:i/>
          <w:iCs/>
          <w:color w:val="000000" w:themeColor="text1"/>
          <w:sz w:val="24"/>
          <w:szCs w:val="24"/>
        </w:rPr>
        <w:t>RUNX2</w:t>
      </w:r>
      <w:r w:rsidRPr="00A275D8">
        <w:rPr>
          <w:rFonts w:ascii="Times New Roman" w:hAnsi="Times New Roman"/>
          <w:color w:val="000000" w:themeColor="text1"/>
          <w:sz w:val="24"/>
          <w:szCs w:val="24"/>
        </w:rPr>
        <w:t xml:space="preserve"> mRNA levels in the breast cancer cell lines were analyzed based on GSE12777 database. </w:t>
      </w:r>
      <w:r w:rsidRPr="00A275D8">
        <w:rPr>
          <w:rFonts w:ascii="Times New Roman" w:hAnsi="Times New Roman"/>
          <w:b/>
          <w:bCs/>
          <w:color w:val="000000" w:themeColor="text1"/>
          <w:sz w:val="24"/>
          <w:szCs w:val="24"/>
        </w:rPr>
        <w:t>B</w:t>
      </w:r>
      <w:r w:rsidRPr="00A275D8">
        <w:rPr>
          <w:rFonts w:ascii="Times New Roman" w:hAnsi="Times New Roman"/>
          <w:color w:val="000000" w:themeColor="text1"/>
          <w:sz w:val="24"/>
          <w:szCs w:val="24"/>
        </w:rPr>
        <w:t xml:space="preserve"> RUNX2/Runx2 mRNA and protein levels were detected by RT–qPCR and immunoblot across breast cancer cell lines. </w:t>
      </w:r>
      <w:r w:rsidRPr="00A275D8">
        <w:rPr>
          <w:rFonts w:ascii="Times New Roman" w:hAnsi="Times New Roman"/>
          <w:b/>
          <w:bCs/>
          <w:color w:val="000000" w:themeColor="text1"/>
          <w:sz w:val="24"/>
          <w:szCs w:val="24"/>
        </w:rPr>
        <w:t>C–E</w:t>
      </w:r>
      <w:r w:rsidRPr="00A275D8">
        <w:rPr>
          <w:rFonts w:ascii="Times New Roman" w:hAnsi="Times New Roman"/>
          <w:color w:val="000000" w:themeColor="text1"/>
          <w:sz w:val="24"/>
          <w:szCs w:val="24"/>
        </w:rPr>
        <w:t xml:space="preserve"> Establishment of breast cancer cells with stable overexpression or knockdown of RUNX2. The mRNA expression and protein levels of RUNX2 in the indicated cells were assessed by RT–qPCR and immunoblot. Data are presented as mean ± SD. </w:t>
      </w:r>
      <w:bookmarkStart w:id="0" w:name="OLE_LINK3"/>
      <w:r w:rsidRPr="00A275D8">
        <w:rPr>
          <w:rFonts w:ascii="Times New Roman" w:hAnsi="Times New Roman"/>
          <w:color w:val="000000" w:themeColor="text1"/>
          <w:sz w:val="24"/>
          <w:szCs w:val="24"/>
        </w:rPr>
        <w:t>Statistical analyses were performed with the unpaired Student’s t</w:t>
      </w:r>
      <w:r w:rsidR="0094689C" w:rsidRPr="00A275D8">
        <w:rPr>
          <w:rFonts w:ascii="Times New Roman" w:hAnsi="Times New Roman"/>
          <w:color w:val="000000" w:themeColor="text1"/>
          <w:sz w:val="24"/>
          <w:szCs w:val="24"/>
        </w:rPr>
        <w:t>-</w:t>
      </w:r>
      <w:r w:rsidRPr="00A275D8">
        <w:rPr>
          <w:rFonts w:ascii="Times New Roman" w:hAnsi="Times New Roman"/>
          <w:color w:val="000000" w:themeColor="text1"/>
          <w:sz w:val="24"/>
          <w:szCs w:val="24"/>
        </w:rPr>
        <w:t>test. *</w:t>
      </w:r>
      <w:r w:rsidRPr="00A275D8">
        <w:rPr>
          <w:rFonts w:ascii="Times New Roman" w:hAnsi="Times New Roman"/>
          <w:i/>
          <w:iCs/>
          <w:color w:val="000000" w:themeColor="text1"/>
          <w:sz w:val="24"/>
          <w:szCs w:val="24"/>
        </w:rPr>
        <w:t>P</w:t>
      </w:r>
      <w:r w:rsidRPr="00A275D8">
        <w:rPr>
          <w:rFonts w:ascii="Times New Roman" w:hAnsi="Times New Roman"/>
          <w:color w:val="000000" w:themeColor="text1"/>
          <w:sz w:val="24"/>
          <w:szCs w:val="24"/>
        </w:rPr>
        <w:t xml:space="preserve"> &lt; 0.05 compared with the control cells.</w:t>
      </w:r>
      <w:r w:rsidR="00155DEE" w:rsidRPr="00A275D8">
        <w:rPr>
          <w:rFonts w:ascii="Times New Roman" w:hAnsi="Times New Roman"/>
          <w:color w:val="000000" w:themeColor="text1"/>
          <w:sz w:val="24"/>
          <w:szCs w:val="28"/>
        </w:rPr>
        <w:t xml:space="preserve"> </w:t>
      </w:r>
      <w:bookmarkEnd w:id="0"/>
      <w:r w:rsidR="00155DEE" w:rsidRPr="00A275D8">
        <w:rPr>
          <w:rFonts w:ascii="Times New Roman" w:hAnsi="Times New Roman"/>
          <w:color w:val="000000" w:themeColor="text1"/>
          <w:sz w:val="24"/>
          <w:szCs w:val="28"/>
        </w:rPr>
        <w:t>LumBC, luminal breast cancer; BLBC, basal-like breast cancer</w:t>
      </w:r>
      <w:r w:rsidR="00725E81" w:rsidRPr="00A275D8">
        <w:rPr>
          <w:rFonts w:ascii="Times New Roman" w:hAnsi="Times New Roman"/>
          <w:color w:val="000000" w:themeColor="text1"/>
          <w:sz w:val="24"/>
          <w:szCs w:val="28"/>
        </w:rPr>
        <w:t>.</w:t>
      </w:r>
      <w:r w:rsidR="00F55D9D" w:rsidRPr="00A275D8">
        <w:rPr>
          <w:rFonts w:ascii="Times New Roman" w:hAnsi="Times New Roman"/>
          <w:b/>
          <w:bCs/>
          <w:color w:val="000000" w:themeColor="text1"/>
          <w:sz w:val="24"/>
          <w:szCs w:val="24"/>
        </w:rPr>
        <w:t xml:space="preserve"> </w:t>
      </w:r>
      <w:r w:rsidR="00F55D9D" w:rsidRPr="00A275D8">
        <w:rPr>
          <w:rFonts w:ascii="Times New Roman" w:hAnsi="Times New Roman"/>
          <w:color w:val="000000" w:themeColor="text1"/>
          <w:sz w:val="24"/>
          <w:szCs w:val="24"/>
        </w:rPr>
        <w:t>Related to Fig. 1.</w:t>
      </w:r>
    </w:p>
    <w:p w14:paraId="030DBBB0" w14:textId="4441EAB0" w:rsidR="00CB6D0A" w:rsidRPr="00A275D8" w:rsidRDefault="00CB6D0A" w:rsidP="00CB6D0A">
      <w:pPr>
        <w:adjustRightInd w:val="0"/>
        <w:snapToGrid w:val="0"/>
        <w:spacing w:afterLines="50" w:after="156" w:line="360" w:lineRule="auto"/>
        <w:jc w:val="both"/>
        <w:rPr>
          <w:rFonts w:ascii="Times New Roman" w:hAnsi="Times New Roman"/>
          <w:color w:val="000000" w:themeColor="text1"/>
          <w:sz w:val="24"/>
          <w:szCs w:val="24"/>
        </w:rPr>
      </w:pPr>
      <w:r w:rsidRPr="00A275D8">
        <w:rPr>
          <w:rFonts w:ascii="Times New Roman" w:hAnsi="Times New Roman"/>
          <w:b/>
          <w:bCs/>
          <w:color w:val="000000" w:themeColor="text1"/>
          <w:sz w:val="24"/>
          <w:szCs w:val="24"/>
        </w:rPr>
        <w:t>Fig</w:t>
      </w:r>
      <w:r w:rsidR="00F55D9D" w:rsidRPr="00A275D8">
        <w:rPr>
          <w:rFonts w:ascii="Times New Roman" w:hAnsi="Times New Roman"/>
          <w:b/>
          <w:bCs/>
          <w:color w:val="000000" w:themeColor="text1"/>
          <w:sz w:val="24"/>
          <w:szCs w:val="24"/>
        </w:rPr>
        <w:t xml:space="preserve">. </w:t>
      </w:r>
      <w:r w:rsidRPr="00A275D8">
        <w:rPr>
          <w:rFonts w:ascii="Times New Roman" w:hAnsi="Times New Roman"/>
          <w:b/>
          <w:bCs/>
          <w:color w:val="000000" w:themeColor="text1"/>
          <w:sz w:val="24"/>
          <w:szCs w:val="24"/>
        </w:rPr>
        <w:t>2 RUNX2 promote</w:t>
      </w:r>
      <w:r w:rsidR="00BB4621">
        <w:rPr>
          <w:rFonts w:ascii="Times New Roman" w:hAnsi="Times New Roman" w:hint="eastAsia"/>
          <w:b/>
          <w:bCs/>
          <w:color w:val="000000" w:themeColor="text1"/>
          <w:sz w:val="24"/>
          <w:szCs w:val="24"/>
        </w:rPr>
        <w:t>s</w:t>
      </w:r>
      <w:r w:rsidRPr="00A275D8">
        <w:rPr>
          <w:rFonts w:ascii="Times New Roman" w:hAnsi="Times New Roman"/>
          <w:b/>
          <w:bCs/>
          <w:color w:val="000000" w:themeColor="text1"/>
          <w:sz w:val="24"/>
          <w:szCs w:val="24"/>
        </w:rPr>
        <w:t xml:space="preserve"> breast cancer cell proliferation, migration and invasion </w:t>
      </w:r>
      <w:r w:rsidRPr="00A275D8">
        <w:rPr>
          <w:rFonts w:ascii="Times New Roman" w:hAnsi="Times New Roman"/>
          <w:b/>
          <w:bCs/>
          <w:i/>
          <w:iCs/>
          <w:color w:val="000000" w:themeColor="text1"/>
          <w:sz w:val="24"/>
          <w:szCs w:val="24"/>
        </w:rPr>
        <w:t>in vitro</w:t>
      </w:r>
      <w:r w:rsidRPr="00A275D8">
        <w:rPr>
          <w:rFonts w:ascii="Times New Roman" w:hAnsi="Times New Roman"/>
          <w:b/>
          <w:bCs/>
          <w:color w:val="000000" w:themeColor="text1"/>
          <w:sz w:val="24"/>
          <w:szCs w:val="24"/>
        </w:rPr>
        <w:t xml:space="preserve">. </w:t>
      </w:r>
      <w:r w:rsidRPr="00A275D8">
        <w:rPr>
          <w:rFonts w:ascii="Times New Roman" w:hAnsi="Times New Roman"/>
          <w:color w:val="000000" w:themeColor="text1"/>
          <w:sz w:val="24"/>
          <w:szCs w:val="24"/>
        </w:rPr>
        <w:t xml:space="preserve">Proliferation of the indicated cells was assessed by the CCK8 assay </w:t>
      </w:r>
      <w:r w:rsidR="00BB4621">
        <w:rPr>
          <w:rFonts w:ascii="Times New Roman" w:hAnsi="Times New Roman" w:hint="eastAsia"/>
          <w:color w:val="000000" w:themeColor="text1"/>
          <w:sz w:val="24"/>
          <w:szCs w:val="24"/>
        </w:rPr>
        <w:t>(</w:t>
      </w:r>
      <w:r w:rsidRPr="00A275D8">
        <w:rPr>
          <w:rFonts w:ascii="Times New Roman" w:hAnsi="Times New Roman"/>
          <w:b/>
          <w:bCs/>
          <w:color w:val="000000" w:themeColor="text1"/>
          <w:sz w:val="24"/>
          <w:szCs w:val="24"/>
        </w:rPr>
        <w:t>A</w:t>
      </w:r>
      <w:r w:rsidR="00BB4621">
        <w:rPr>
          <w:rFonts w:ascii="Times New Roman" w:hAnsi="Times New Roman" w:hint="eastAsia"/>
          <w:b/>
          <w:bCs/>
          <w:color w:val="000000" w:themeColor="text1"/>
          <w:sz w:val="24"/>
          <w:szCs w:val="24"/>
        </w:rPr>
        <w:t>)</w:t>
      </w:r>
      <w:r w:rsidRPr="00A275D8">
        <w:rPr>
          <w:rFonts w:ascii="Times New Roman" w:hAnsi="Times New Roman"/>
          <w:color w:val="000000" w:themeColor="text1"/>
          <w:sz w:val="24"/>
          <w:szCs w:val="24"/>
        </w:rPr>
        <w:t xml:space="preserve"> or colony formation assay (</w:t>
      </w:r>
      <w:r w:rsidRPr="00A275D8">
        <w:rPr>
          <w:rFonts w:ascii="Times New Roman" w:hAnsi="Times New Roman"/>
          <w:b/>
          <w:bCs/>
          <w:color w:val="000000" w:themeColor="text1"/>
          <w:sz w:val="24"/>
          <w:szCs w:val="24"/>
        </w:rPr>
        <w:t>B</w:t>
      </w:r>
      <w:r w:rsidRPr="00A275D8">
        <w:rPr>
          <w:rFonts w:ascii="Times New Roman" w:hAnsi="Times New Roman"/>
          <w:color w:val="000000" w:themeColor="text1"/>
          <w:sz w:val="24"/>
          <w:szCs w:val="24"/>
        </w:rPr>
        <w:t xml:space="preserve">). </w:t>
      </w:r>
      <w:r w:rsidRPr="00A275D8">
        <w:rPr>
          <w:rFonts w:ascii="Times New Roman" w:hAnsi="Times New Roman"/>
          <w:b/>
          <w:bCs/>
          <w:color w:val="000000" w:themeColor="text1"/>
          <w:sz w:val="24"/>
          <w:szCs w:val="24"/>
        </w:rPr>
        <w:t>C</w:t>
      </w:r>
      <w:r w:rsidR="0000026B" w:rsidRPr="00A275D8">
        <w:rPr>
          <w:rFonts w:ascii="Times New Roman" w:hAnsi="Times New Roman"/>
          <w:color w:val="000000" w:themeColor="text1"/>
          <w:sz w:val="24"/>
          <w:szCs w:val="24"/>
        </w:rPr>
        <w:t xml:space="preserve"> </w:t>
      </w:r>
      <w:r w:rsidRPr="00A275D8">
        <w:rPr>
          <w:rFonts w:ascii="Times New Roman" w:hAnsi="Times New Roman"/>
          <w:color w:val="000000" w:themeColor="text1"/>
          <w:sz w:val="24"/>
          <w:szCs w:val="24"/>
        </w:rPr>
        <w:t xml:space="preserve">Cell cycle distribution of the indicated cells was analyzed via flow cytometry. </w:t>
      </w:r>
      <w:r w:rsidRPr="00A275D8">
        <w:rPr>
          <w:rFonts w:ascii="Times New Roman" w:hAnsi="Times New Roman"/>
          <w:b/>
          <w:bCs/>
          <w:color w:val="000000" w:themeColor="text1"/>
          <w:sz w:val="24"/>
          <w:szCs w:val="24"/>
        </w:rPr>
        <w:t>D</w:t>
      </w:r>
      <w:r w:rsidRPr="00A275D8">
        <w:rPr>
          <w:rFonts w:ascii="Times New Roman" w:hAnsi="Times New Roman"/>
          <w:color w:val="000000" w:themeColor="text1"/>
          <w:sz w:val="24"/>
          <w:szCs w:val="24"/>
        </w:rPr>
        <w:t xml:space="preserve"> Migration and invasion of the indicated cells were assessed by Transwell assay. Data are shown as mean ± SD. Statistical analyses were performed with two-way ANOVA (A) or the unpaired Student’s t-test (B</w:t>
      </w:r>
      <w:r w:rsidR="00BB4621" w:rsidRPr="00BB4621">
        <w:rPr>
          <w:rFonts w:ascii="Times New Roman" w:hAnsi="Times New Roman" w:hint="eastAsia"/>
          <w:color w:val="000000" w:themeColor="text1"/>
          <w:sz w:val="24"/>
          <w:szCs w:val="24"/>
        </w:rPr>
        <w:t>–</w:t>
      </w:r>
      <w:r w:rsidRPr="00A275D8">
        <w:rPr>
          <w:rFonts w:ascii="Times New Roman" w:hAnsi="Times New Roman"/>
          <w:color w:val="000000" w:themeColor="text1"/>
          <w:sz w:val="24"/>
          <w:szCs w:val="24"/>
        </w:rPr>
        <w:t>D). *</w:t>
      </w:r>
      <w:r w:rsidRPr="00A275D8">
        <w:rPr>
          <w:rFonts w:ascii="Times New Roman" w:hAnsi="Times New Roman"/>
          <w:i/>
          <w:iCs/>
          <w:color w:val="000000" w:themeColor="text1"/>
          <w:sz w:val="24"/>
          <w:szCs w:val="24"/>
        </w:rPr>
        <w:t>P</w:t>
      </w:r>
      <w:r w:rsidRPr="00A275D8">
        <w:rPr>
          <w:rFonts w:ascii="Times New Roman" w:hAnsi="Times New Roman"/>
          <w:color w:val="000000" w:themeColor="text1"/>
          <w:sz w:val="24"/>
          <w:szCs w:val="24"/>
        </w:rPr>
        <w:t xml:space="preserve"> &lt; 0.05 compared with control cells.</w:t>
      </w:r>
      <w:r w:rsidR="00155DEE" w:rsidRPr="00A275D8">
        <w:rPr>
          <w:rFonts w:ascii="Times New Roman" w:hAnsi="Times New Roman"/>
          <w:color w:val="000000" w:themeColor="text1"/>
          <w:sz w:val="24"/>
          <w:szCs w:val="28"/>
        </w:rPr>
        <w:t xml:space="preserve"> shCon, shControl; shR2, shRUNX2</w:t>
      </w:r>
      <w:r w:rsidR="00725E81" w:rsidRPr="00A275D8">
        <w:rPr>
          <w:rFonts w:ascii="Times New Roman" w:hAnsi="Times New Roman"/>
          <w:color w:val="000000" w:themeColor="text1"/>
          <w:sz w:val="24"/>
          <w:szCs w:val="28"/>
        </w:rPr>
        <w:t>; FOV, field of view</w:t>
      </w:r>
      <w:r w:rsidR="00155DEE" w:rsidRPr="00A275D8">
        <w:rPr>
          <w:rFonts w:ascii="Times New Roman" w:hAnsi="Times New Roman"/>
          <w:color w:val="000000" w:themeColor="text1"/>
          <w:sz w:val="24"/>
          <w:szCs w:val="28"/>
        </w:rPr>
        <w:t>.</w:t>
      </w:r>
      <w:r w:rsidR="0000026B" w:rsidRPr="00A275D8">
        <w:rPr>
          <w:rFonts w:ascii="Times New Roman" w:hAnsi="Times New Roman"/>
          <w:color w:val="000000" w:themeColor="text1"/>
          <w:sz w:val="24"/>
          <w:szCs w:val="24"/>
        </w:rPr>
        <w:t xml:space="preserve"> Related to Fig. 1.</w:t>
      </w:r>
    </w:p>
    <w:p w14:paraId="40E61106" w14:textId="25E8599F" w:rsidR="00CB6D0A" w:rsidRPr="00A275D8" w:rsidRDefault="00CB6D0A" w:rsidP="00CB6D0A">
      <w:pPr>
        <w:snapToGrid w:val="0"/>
        <w:spacing w:afterLines="50" w:after="156" w:line="360" w:lineRule="auto"/>
        <w:jc w:val="both"/>
        <w:rPr>
          <w:rFonts w:ascii="Times New Roman" w:hAnsi="Times New Roman"/>
          <w:color w:val="000000" w:themeColor="text1"/>
          <w:sz w:val="24"/>
          <w:szCs w:val="24"/>
        </w:rPr>
      </w:pPr>
      <w:r w:rsidRPr="00A275D8">
        <w:rPr>
          <w:rFonts w:ascii="Times New Roman" w:hAnsi="Times New Roman"/>
          <w:b/>
          <w:bCs/>
          <w:color w:val="000000" w:themeColor="text1"/>
          <w:sz w:val="24"/>
          <w:szCs w:val="24"/>
        </w:rPr>
        <w:t>Fig</w:t>
      </w:r>
      <w:r w:rsidR="0000026B" w:rsidRPr="00A275D8">
        <w:rPr>
          <w:rFonts w:ascii="Times New Roman" w:hAnsi="Times New Roman"/>
          <w:b/>
          <w:bCs/>
          <w:color w:val="000000" w:themeColor="text1"/>
          <w:sz w:val="24"/>
          <w:szCs w:val="24"/>
        </w:rPr>
        <w:t xml:space="preserve">. </w:t>
      </w:r>
      <w:r w:rsidRPr="00A275D8">
        <w:rPr>
          <w:rFonts w:ascii="Times New Roman" w:hAnsi="Times New Roman"/>
          <w:b/>
          <w:bCs/>
          <w:color w:val="000000" w:themeColor="text1"/>
          <w:sz w:val="24"/>
          <w:szCs w:val="24"/>
        </w:rPr>
        <w:t xml:space="preserve">3 RUNX2 promotes breast cancer cell growth and lung metastasis </w:t>
      </w:r>
      <w:r w:rsidRPr="00A275D8">
        <w:rPr>
          <w:rFonts w:ascii="Times New Roman" w:hAnsi="Times New Roman"/>
          <w:b/>
          <w:bCs/>
          <w:i/>
          <w:iCs/>
          <w:color w:val="000000" w:themeColor="text1"/>
          <w:sz w:val="24"/>
          <w:szCs w:val="24"/>
        </w:rPr>
        <w:t>in vivo</w:t>
      </w:r>
      <w:r w:rsidRPr="00A275D8">
        <w:rPr>
          <w:rFonts w:ascii="Times New Roman" w:hAnsi="Times New Roman"/>
          <w:b/>
          <w:bCs/>
          <w:color w:val="000000" w:themeColor="text1"/>
          <w:sz w:val="24"/>
          <w:szCs w:val="24"/>
        </w:rPr>
        <w:t>. A</w:t>
      </w:r>
      <w:r w:rsidRPr="00A275D8">
        <w:rPr>
          <w:rFonts w:ascii="Times New Roman" w:hAnsi="Times New Roman"/>
          <w:color w:val="000000" w:themeColor="text1"/>
          <w:sz w:val="24"/>
          <w:szCs w:val="24"/>
        </w:rPr>
        <w:t xml:space="preserve"> </w:t>
      </w:r>
      <w:proofErr w:type="spellStart"/>
      <w:r w:rsidRPr="00A275D8">
        <w:rPr>
          <w:rFonts w:ascii="Times New Roman" w:hAnsi="Times New Roman"/>
          <w:color w:val="000000" w:themeColor="text1"/>
          <w:sz w:val="24"/>
          <w:szCs w:val="24"/>
        </w:rPr>
        <w:t>A</w:t>
      </w:r>
      <w:proofErr w:type="spellEnd"/>
      <w:r w:rsidRPr="00A275D8">
        <w:rPr>
          <w:rFonts w:ascii="Times New Roman" w:hAnsi="Times New Roman"/>
          <w:color w:val="000000" w:themeColor="text1"/>
          <w:sz w:val="24"/>
          <w:szCs w:val="24"/>
        </w:rPr>
        <w:t xml:space="preserve"> total of 1 × 10</w:t>
      </w:r>
      <w:r w:rsidRPr="00A275D8">
        <w:rPr>
          <w:rFonts w:ascii="Times New Roman" w:hAnsi="Times New Roman"/>
          <w:color w:val="000000" w:themeColor="text1"/>
          <w:sz w:val="24"/>
          <w:szCs w:val="24"/>
          <w:vertAlign w:val="superscript"/>
        </w:rPr>
        <w:t>7</w:t>
      </w:r>
      <w:r w:rsidRPr="00A275D8">
        <w:rPr>
          <w:rFonts w:ascii="Times New Roman" w:hAnsi="Times New Roman"/>
          <w:color w:val="000000" w:themeColor="text1"/>
          <w:sz w:val="24"/>
          <w:szCs w:val="24"/>
        </w:rPr>
        <w:t xml:space="preserve"> T-47D-Luc-GFP cells with stable RUNX2 overexpression or vector control were orthotopically inoculated into NOD-SCID mice (n = 6 per group, sacrificed on day 81). Overview of the </w:t>
      </w:r>
      <w:r w:rsidRPr="00A275D8">
        <w:rPr>
          <w:rFonts w:ascii="Times New Roman" w:hAnsi="Times New Roman"/>
          <w:i/>
          <w:iCs/>
          <w:color w:val="000000" w:themeColor="text1"/>
          <w:sz w:val="24"/>
          <w:szCs w:val="24"/>
        </w:rPr>
        <w:t>in vivo</w:t>
      </w:r>
      <w:r w:rsidRPr="00A275D8">
        <w:rPr>
          <w:rFonts w:ascii="Times New Roman" w:hAnsi="Times New Roman"/>
          <w:color w:val="000000" w:themeColor="text1"/>
          <w:sz w:val="24"/>
          <w:szCs w:val="24"/>
        </w:rPr>
        <w:t xml:space="preserve"> BLI images and primary tumors dissected from the mice. </w:t>
      </w:r>
      <w:r w:rsidRPr="00A275D8">
        <w:rPr>
          <w:rFonts w:ascii="Times New Roman" w:hAnsi="Times New Roman"/>
          <w:b/>
          <w:bCs/>
          <w:color w:val="000000" w:themeColor="text1"/>
          <w:sz w:val="24"/>
          <w:szCs w:val="24"/>
        </w:rPr>
        <w:t>B</w:t>
      </w:r>
      <w:r w:rsidRPr="00A275D8">
        <w:rPr>
          <w:rFonts w:ascii="Times New Roman" w:hAnsi="Times New Roman"/>
          <w:color w:val="000000" w:themeColor="text1"/>
          <w:sz w:val="24"/>
          <w:szCs w:val="24"/>
        </w:rPr>
        <w:t>,</w:t>
      </w:r>
      <w:r w:rsidRPr="00A275D8">
        <w:rPr>
          <w:rFonts w:ascii="Times New Roman" w:hAnsi="Times New Roman"/>
          <w:b/>
          <w:bCs/>
          <w:color w:val="000000" w:themeColor="text1"/>
          <w:sz w:val="24"/>
          <w:szCs w:val="24"/>
        </w:rPr>
        <w:t xml:space="preserve"> D</w:t>
      </w:r>
      <w:r w:rsidRPr="00A275D8">
        <w:rPr>
          <w:rFonts w:ascii="Times New Roman" w:hAnsi="Times New Roman"/>
          <w:color w:val="000000" w:themeColor="text1"/>
          <w:sz w:val="24"/>
          <w:szCs w:val="24"/>
        </w:rPr>
        <w:t>,</w:t>
      </w:r>
      <w:r w:rsidRPr="00A275D8">
        <w:rPr>
          <w:rFonts w:ascii="Times New Roman" w:hAnsi="Times New Roman"/>
          <w:b/>
          <w:bCs/>
          <w:color w:val="000000" w:themeColor="text1"/>
          <w:sz w:val="24"/>
          <w:szCs w:val="24"/>
        </w:rPr>
        <w:t xml:space="preserve"> E</w:t>
      </w:r>
      <w:r w:rsidR="0000026B" w:rsidRPr="00A275D8">
        <w:rPr>
          <w:rFonts w:ascii="Times New Roman" w:hAnsi="Times New Roman"/>
          <w:color w:val="000000" w:themeColor="text1"/>
          <w:sz w:val="24"/>
          <w:szCs w:val="24"/>
        </w:rPr>
        <w:t xml:space="preserve"> and </w:t>
      </w:r>
      <w:r w:rsidRPr="00A275D8">
        <w:rPr>
          <w:rFonts w:ascii="Times New Roman" w:hAnsi="Times New Roman"/>
          <w:b/>
          <w:bCs/>
          <w:color w:val="000000" w:themeColor="text1"/>
          <w:sz w:val="24"/>
          <w:szCs w:val="24"/>
        </w:rPr>
        <w:t>G</w:t>
      </w:r>
      <w:r w:rsidRPr="00A275D8">
        <w:rPr>
          <w:rFonts w:ascii="Times New Roman" w:hAnsi="Times New Roman"/>
          <w:color w:val="000000" w:themeColor="text1"/>
          <w:sz w:val="24"/>
          <w:szCs w:val="24"/>
        </w:rPr>
        <w:t xml:space="preserve"> Tumor growth in the mice of Fig</w:t>
      </w:r>
      <w:r w:rsidR="00BB4621">
        <w:rPr>
          <w:rFonts w:ascii="Times New Roman" w:hAnsi="Times New Roman" w:hint="eastAsia"/>
          <w:color w:val="000000" w:themeColor="text1"/>
          <w:sz w:val="24"/>
          <w:szCs w:val="24"/>
        </w:rPr>
        <w:t>.</w:t>
      </w:r>
      <w:r w:rsidRPr="00A275D8">
        <w:rPr>
          <w:rFonts w:ascii="Times New Roman" w:hAnsi="Times New Roman"/>
          <w:color w:val="000000" w:themeColor="text1"/>
          <w:sz w:val="24"/>
          <w:szCs w:val="24"/>
        </w:rPr>
        <w:t xml:space="preserve"> 1A</w:t>
      </w:r>
      <w:r w:rsidR="00BB4621" w:rsidRPr="00BB4621">
        <w:rPr>
          <w:rFonts w:ascii="Times New Roman" w:hAnsi="Times New Roman" w:hint="eastAsia"/>
          <w:color w:val="000000" w:themeColor="text1"/>
          <w:sz w:val="24"/>
          <w:szCs w:val="24"/>
        </w:rPr>
        <w:t>–</w:t>
      </w:r>
      <w:r w:rsidRPr="00A275D8">
        <w:rPr>
          <w:rFonts w:ascii="Times New Roman" w:hAnsi="Times New Roman"/>
          <w:color w:val="000000" w:themeColor="text1"/>
          <w:sz w:val="24"/>
          <w:szCs w:val="24"/>
        </w:rPr>
        <w:t xml:space="preserve">D was monitored and </w:t>
      </w:r>
      <w:r w:rsidR="0094689C" w:rsidRPr="00A275D8">
        <w:rPr>
          <w:rFonts w:ascii="Times New Roman" w:hAnsi="Times New Roman"/>
          <w:color w:val="000000" w:themeColor="text1"/>
          <w:sz w:val="24"/>
          <w:szCs w:val="24"/>
        </w:rPr>
        <w:t>quantified</w:t>
      </w:r>
      <w:r w:rsidRPr="00A275D8">
        <w:rPr>
          <w:rFonts w:ascii="Times New Roman" w:hAnsi="Times New Roman"/>
          <w:color w:val="000000" w:themeColor="text1"/>
          <w:sz w:val="24"/>
          <w:szCs w:val="24"/>
        </w:rPr>
        <w:t xml:space="preserve">. Tumor images dissected from the indicated mice are shown. </w:t>
      </w:r>
      <w:r w:rsidRPr="00A275D8">
        <w:rPr>
          <w:rFonts w:ascii="Times New Roman" w:hAnsi="Times New Roman"/>
          <w:b/>
          <w:bCs/>
          <w:color w:val="000000" w:themeColor="text1"/>
          <w:sz w:val="24"/>
          <w:szCs w:val="24"/>
        </w:rPr>
        <w:t>C</w:t>
      </w:r>
      <w:r w:rsidRPr="00A275D8">
        <w:rPr>
          <w:rFonts w:ascii="Times New Roman" w:hAnsi="Times New Roman"/>
          <w:color w:val="000000" w:themeColor="text1"/>
          <w:sz w:val="24"/>
          <w:szCs w:val="24"/>
        </w:rPr>
        <w:t xml:space="preserve"> and </w:t>
      </w:r>
      <w:r w:rsidRPr="00A275D8">
        <w:rPr>
          <w:rFonts w:ascii="Times New Roman" w:hAnsi="Times New Roman"/>
          <w:b/>
          <w:bCs/>
          <w:color w:val="000000" w:themeColor="text1"/>
          <w:sz w:val="24"/>
          <w:szCs w:val="24"/>
        </w:rPr>
        <w:t>F</w:t>
      </w:r>
      <w:r w:rsidRPr="00A275D8">
        <w:rPr>
          <w:rFonts w:ascii="Times New Roman" w:hAnsi="Times New Roman"/>
          <w:color w:val="000000" w:themeColor="text1"/>
          <w:sz w:val="24"/>
          <w:szCs w:val="24"/>
        </w:rPr>
        <w:t xml:space="preserve"> Representative H&amp;E sta</w:t>
      </w:r>
      <w:r w:rsidR="0094689C" w:rsidRPr="00A275D8">
        <w:rPr>
          <w:rFonts w:ascii="Times New Roman" w:hAnsi="Times New Roman"/>
          <w:color w:val="000000" w:themeColor="text1"/>
          <w:sz w:val="24"/>
          <w:szCs w:val="24"/>
        </w:rPr>
        <w:t>in</w:t>
      </w:r>
      <w:r w:rsidRPr="00A275D8">
        <w:rPr>
          <w:rFonts w:ascii="Times New Roman" w:hAnsi="Times New Roman"/>
          <w:color w:val="000000" w:themeColor="text1"/>
          <w:sz w:val="24"/>
          <w:szCs w:val="24"/>
        </w:rPr>
        <w:t>ing of the diaphragm, liver and kidney are shown in the mice of Fig</w:t>
      </w:r>
      <w:r w:rsidR="00BB4621">
        <w:rPr>
          <w:rFonts w:ascii="Times New Roman" w:hAnsi="Times New Roman" w:hint="eastAsia"/>
          <w:color w:val="000000" w:themeColor="text1"/>
          <w:sz w:val="24"/>
          <w:szCs w:val="24"/>
        </w:rPr>
        <w:t>.</w:t>
      </w:r>
      <w:r w:rsidRPr="00A275D8">
        <w:rPr>
          <w:rFonts w:ascii="Times New Roman" w:hAnsi="Times New Roman"/>
          <w:color w:val="000000" w:themeColor="text1"/>
          <w:sz w:val="24"/>
          <w:szCs w:val="24"/>
        </w:rPr>
        <w:t xml:space="preserve"> 1A and 1C. </w:t>
      </w:r>
      <w:r w:rsidRPr="00A275D8">
        <w:rPr>
          <w:rFonts w:ascii="Times New Roman" w:hAnsi="Times New Roman"/>
          <w:b/>
          <w:bCs/>
          <w:color w:val="000000" w:themeColor="text1"/>
          <w:sz w:val="24"/>
          <w:szCs w:val="24"/>
        </w:rPr>
        <w:t>H</w:t>
      </w:r>
      <w:r w:rsidRPr="00A275D8">
        <w:rPr>
          <w:rFonts w:ascii="Times New Roman" w:hAnsi="Times New Roman"/>
          <w:color w:val="000000" w:themeColor="text1"/>
          <w:sz w:val="24"/>
          <w:szCs w:val="24"/>
        </w:rPr>
        <w:t xml:space="preserve"> and </w:t>
      </w:r>
      <w:r w:rsidRPr="00A275D8">
        <w:rPr>
          <w:rFonts w:ascii="Times New Roman" w:hAnsi="Times New Roman"/>
          <w:b/>
          <w:bCs/>
          <w:color w:val="000000" w:themeColor="text1"/>
          <w:sz w:val="24"/>
          <w:szCs w:val="24"/>
        </w:rPr>
        <w:t>I</w:t>
      </w:r>
      <w:r w:rsidRPr="00A275D8">
        <w:rPr>
          <w:rFonts w:ascii="Times New Roman" w:hAnsi="Times New Roman"/>
          <w:color w:val="000000" w:themeColor="text1"/>
          <w:sz w:val="24"/>
          <w:szCs w:val="24"/>
        </w:rPr>
        <w:t xml:space="preserve"> Breast cancer cells were intravenously injected into the NOD-SCID mice, including T-47D cells (1 × 10</w:t>
      </w:r>
      <w:r w:rsidRPr="00A275D8">
        <w:rPr>
          <w:rFonts w:ascii="Times New Roman" w:hAnsi="Times New Roman"/>
          <w:color w:val="000000" w:themeColor="text1"/>
          <w:sz w:val="24"/>
          <w:szCs w:val="24"/>
          <w:vertAlign w:val="superscript"/>
        </w:rPr>
        <w:t>6</w:t>
      </w:r>
      <w:r w:rsidRPr="00A275D8">
        <w:rPr>
          <w:rFonts w:ascii="Times New Roman" w:hAnsi="Times New Roman"/>
          <w:color w:val="000000" w:themeColor="text1"/>
          <w:sz w:val="24"/>
          <w:szCs w:val="24"/>
        </w:rPr>
        <w:t xml:space="preserve"> cells per </w:t>
      </w:r>
      <w:r w:rsidR="0094689C" w:rsidRPr="00A275D8">
        <w:rPr>
          <w:rFonts w:ascii="Times New Roman" w:hAnsi="Times New Roman"/>
          <w:color w:val="000000" w:themeColor="text1"/>
          <w:sz w:val="24"/>
          <w:szCs w:val="24"/>
        </w:rPr>
        <w:t>mouse</w:t>
      </w:r>
      <w:r w:rsidRPr="00A275D8">
        <w:rPr>
          <w:rFonts w:ascii="Times New Roman" w:hAnsi="Times New Roman"/>
          <w:color w:val="000000" w:themeColor="text1"/>
          <w:sz w:val="24"/>
          <w:szCs w:val="24"/>
        </w:rPr>
        <w:t>, n = 9 per group, sacrificed on day 85) and MDA-231 cells (1 × 10</w:t>
      </w:r>
      <w:r w:rsidRPr="00A275D8">
        <w:rPr>
          <w:rFonts w:ascii="Times New Roman" w:hAnsi="Times New Roman"/>
          <w:color w:val="000000" w:themeColor="text1"/>
          <w:sz w:val="24"/>
          <w:szCs w:val="24"/>
          <w:vertAlign w:val="superscript"/>
        </w:rPr>
        <w:t>5</w:t>
      </w:r>
      <w:r w:rsidRPr="00A275D8">
        <w:rPr>
          <w:rFonts w:ascii="Times New Roman" w:hAnsi="Times New Roman"/>
          <w:color w:val="000000" w:themeColor="text1"/>
          <w:sz w:val="24"/>
          <w:szCs w:val="24"/>
        </w:rPr>
        <w:t xml:space="preserve"> cells per </w:t>
      </w:r>
      <w:r w:rsidR="0094689C" w:rsidRPr="00A275D8">
        <w:rPr>
          <w:rFonts w:ascii="Times New Roman" w:hAnsi="Times New Roman"/>
          <w:color w:val="000000" w:themeColor="text1"/>
          <w:sz w:val="24"/>
          <w:szCs w:val="24"/>
        </w:rPr>
        <w:t>mouse</w:t>
      </w:r>
      <w:r w:rsidRPr="00A275D8">
        <w:rPr>
          <w:rFonts w:ascii="Times New Roman" w:hAnsi="Times New Roman"/>
          <w:color w:val="000000" w:themeColor="text1"/>
          <w:sz w:val="24"/>
          <w:szCs w:val="24"/>
        </w:rPr>
        <w:t xml:space="preserve">, n = 5 per group, sacrificed on day 56) with RUNX2 overexpression or vector control. Representative images of BLI </w:t>
      </w:r>
      <w:r w:rsidRPr="00A275D8">
        <w:rPr>
          <w:rFonts w:ascii="Times New Roman" w:hAnsi="Times New Roman"/>
          <w:i/>
          <w:iCs/>
          <w:color w:val="000000" w:themeColor="text1"/>
          <w:sz w:val="24"/>
          <w:szCs w:val="24"/>
        </w:rPr>
        <w:t>in vivo</w:t>
      </w:r>
      <w:r w:rsidRPr="00A275D8">
        <w:rPr>
          <w:rFonts w:ascii="Times New Roman" w:hAnsi="Times New Roman"/>
          <w:color w:val="000000" w:themeColor="text1"/>
          <w:sz w:val="24"/>
          <w:szCs w:val="24"/>
        </w:rPr>
        <w:t xml:space="preserve"> and </w:t>
      </w:r>
      <w:r w:rsidRPr="00A275D8">
        <w:rPr>
          <w:rFonts w:ascii="Times New Roman" w:hAnsi="Times New Roman"/>
          <w:i/>
          <w:iCs/>
          <w:color w:val="000000" w:themeColor="text1"/>
          <w:sz w:val="24"/>
          <w:szCs w:val="24"/>
        </w:rPr>
        <w:t>in vitro</w:t>
      </w:r>
      <w:r w:rsidRPr="00A275D8">
        <w:rPr>
          <w:rFonts w:ascii="Times New Roman" w:hAnsi="Times New Roman"/>
          <w:color w:val="000000" w:themeColor="text1"/>
          <w:sz w:val="24"/>
          <w:szCs w:val="24"/>
        </w:rPr>
        <w:t xml:space="preserve"> as well as H&amp;E sta</w:t>
      </w:r>
      <w:r w:rsidR="0094689C" w:rsidRPr="00A275D8">
        <w:rPr>
          <w:rFonts w:ascii="Times New Roman" w:hAnsi="Times New Roman"/>
          <w:color w:val="000000" w:themeColor="text1"/>
          <w:sz w:val="24"/>
          <w:szCs w:val="24"/>
        </w:rPr>
        <w:t>i</w:t>
      </w:r>
      <w:r w:rsidRPr="00A275D8">
        <w:rPr>
          <w:rFonts w:ascii="Times New Roman" w:hAnsi="Times New Roman"/>
          <w:color w:val="000000" w:themeColor="text1"/>
          <w:sz w:val="24"/>
          <w:szCs w:val="24"/>
        </w:rPr>
        <w:t xml:space="preserve">ning of the lung are shown. The number of mice with lung metastasis </w:t>
      </w:r>
      <w:r w:rsidRPr="00A275D8">
        <w:rPr>
          <w:rFonts w:ascii="Times New Roman" w:hAnsi="Times New Roman"/>
          <w:color w:val="000000" w:themeColor="text1"/>
          <w:sz w:val="24"/>
          <w:szCs w:val="24"/>
        </w:rPr>
        <w:lastRenderedPageBreak/>
        <w:t>or the metastatic nodes was counted in each group. Data are shown as mean ± SD. Statistical analyses were performed with two-way ANOVA (B, D, E and G) or the unpaired Student’s t-test (I). *</w:t>
      </w:r>
      <w:r w:rsidRPr="00A275D8">
        <w:rPr>
          <w:rFonts w:ascii="Times New Roman" w:hAnsi="Times New Roman"/>
          <w:i/>
          <w:iCs/>
          <w:color w:val="000000" w:themeColor="text1"/>
          <w:sz w:val="24"/>
          <w:szCs w:val="24"/>
        </w:rPr>
        <w:t>P</w:t>
      </w:r>
      <w:r w:rsidRPr="00A275D8">
        <w:rPr>
          <w:rFonts w:ascii="Times New Roman" w:hAnsi="Times New Roman"/>
          <w:color w:val="000000" w:themeColor="text1"/>
          <w:sz w:val="24"/>
          <w:szCs w:val="24"/>
        </w:rPr>
        <w:t xml:space="preserve"> &lt; 0.05 compared with the control group.</w:t>
      </w:r>
      <w:r w:rsidR="00F06359" w:rsidRPr="00A275D8">
        <w:rPr>
          <w:rFonts w:ascii="Times New Roman" w:hAnsi="Times New Roman"/>
          <w:color w:val="000000" w:themeColor="text1"/>
          <w:sz w:val="24"/>
          <w:szCs w:val="24"/>
        </w:rPr>
        <w:t xml:space="preserve"> ND, not detected; </w:t>
      </w:r>
      <w:proofErr w:type="spellStart"/>
      <w:r w:rsidR="00F06359" w:rsidRPr="00A275D8">
        <w:rPr>
          <w:rFonts w:ascii="Times New Roman" w:hAnsi="Times New Roman"/>
          <w:color w:val="000000" w:themeColor="text1"/>
          <w:sz w:val="24"/>
          <w:szCs w:val="28"/>
        </w:rPr>
        <w:t>LuM</w:t>
      </w:r>
      <w:proofErr w:type="spellEnd"/>
      <w:r w:rsidR="00F06359" w:rsidRPr="00A275D8">
        <w:rPr>
          <w:rFonts w:ascii="Times New Roman" w:hAnsi="Times New Roman"/>
          <w:color w:val="000000" w:themeColor="text1"/>
          <w:sz w:val="24"/>
          <w:szCs w:val="28"/>
        </w:rPr>
        <w:t>, lung metastasis.</w:t>
      </w:r>
      <w:r w:rsidR="0000026B" w:rsidRPr="00A275D8">
        <w:rPr>
          <w:rFonts w:ascii="Times New Roman" w:hAnsi="Times New Roman"/>
          <w:color w:val="000000" w:themeColor="text1"/>
          <w:sz w:val="24"/>
          <w:szCs w:val="28"/>
        </w:rPr>
        <w:t xml:space="preserve"> </w:t>
      </w:r>
      <w:r w:rsidR="0000026B" w:rsidRPr="00A275D8">
        <w:rPr>
          <w:rFonts w:ascii="Times New Roman" w:hAnsi="Times New Roman"/>
          <w:color w:val="000000" w:themeColor="text1"/>
          <w:sz w:val="24"/>
          <w:szCs w:val="24"/>
        </w:rPr>
        <w:t>Related to Fig. 1.</w:t>
      </w:r>
    </w:p>
    <w:p w14:paraId="5527F4F6" w14:textId="30A88AF9" w:rsidR="00CB6D0A" w:rsidRPr="00A275D8" w:rsidRDefault="00CB6D0A" w:rsidP="00CB6D0A">
      <w:pPr>
        <w:snapToGrid w:val="0"/>
        <w:spacing w:afterLines="50" w:after="156" w:line="360" w:lineRule="auto"/>
        <w:jc w:val="both"/>
        <w:rPr>
          <w:rFonts w:ascii="Times New Roman" w:hAnsi="Times New Roman"/>
          <w:color w:val="000000" w:themeColor="text1"/>
          <w:sz w:val="24"/>
          <w:szCs w:val="28"/>
        </w:rPr>
      </w:pPr>
      <w:r w:rsidRPr="00A275D8">
        <w:rPr>
          <w:rFonts w:ascii="Times New Roman" w:hAnsi="Times New Roman"/>
          <w:b/>
          <w:bCs/>
          <w:color w:val="000000" w:themeColor="text1"/>
          <w:sz w:val="24"/>
          <w:szCs w:val="24"/>
        </w:rPr>
        <w:t>Fig</w:t>
      </w:r>
      <w:r w:rsidR="0000026B" w:rsidRPr="00A275D8">
        <w:rPr>
          <w:rFonts w:ascii="Times New Roman" w:hAnsi="Times New Roman"/>
          <w:b/>
          <w:bCs/>
          <w:color w:val="000000" w:themeColor="text1"/>
          <w:sz w:val="24"/>
          <w:szCs w:val="24"/>
        </w:rPr>
        <w:t xml:space="preserve">. 4 </w:t>
      </w:r>
      <w:r w:rsidRPr="00A275D8">
        <w:rPr>
          <w:rFonts w:ascii="Times New Roman" w:hAnsi="Times New Roman"/>
          <w:b/>
          <w:bCs/>
          <w:color w:val="000000" w:themeColor="text1"/>
          <w:sz w:val="24"/>
          <w:szCs w:val="24"/>
        </w:rPr>
        <w:t>RUNX2 boosts c-Myc signaling in breast cancer cells through elevating c-Myc protein level. A</w:t>
      </w:r>
      <w:r w:rsidRPr="00A275D8">
        <w:rPr>
          <w:rFonts w:ascii="Times New Roman" w:hAnsi="Times New Roman"/>
          <w:color w:val="000000" w:themeColor="text1"/>
          <w:sz w:val="24"/>
          <w:szCs w:val="24"/>
        </w:rPr>
        <w:t xml:space="preserve"> KEGG pathway analysis of downregulated genes </w:t>
      </w:r>
      <w:r w:rsidR="00BB4621" w:rsidRPr="00BB4621">
        <w:rPr>
          <w:rFonts w:ascii="Times New Roman" w:hAnsi="Times New Roman"/>
          <w:color w:val="000000" w:themeColor="text1"/>
          <w:sz w:val="24"/>
          <w:szCs w:val="24"/>
        </w:rPr>
        <w:t>following</w:t>
      </w:r>
      <w:r w:rsidRPr="00A275D8">
        <w:rPr>
          <w:rFonts w:ascii="Times New Roman" w:hAnsi="Times New Roman"/>
          <w:color w:val="000000" w:themeColor="text1"/>
          <w:sz w:val="24"/>
          <w:szCs w:val="24"/>
        </w:rPr>
        <w:t xml:space="preserve"> </w:t>
      </w:r>
      <w:r w:rsidR="00BB4621" w:rsidRPr="00A275D8">
        <w:rPr>
          <w:rFonts w:ascii="Times New Roman" w:hAnsi="Times New Roman"/>
          <w:color w:val="000000" w:themeColor="text1"/>
          <w:sz w:val="24"/>
          <w:szCs w:val="24"/>
        </w:rPr>
        <w:t>RUNX2</w:t>
      </w:r>
      <w:r w:rsidR="00BB4621">
        <w:rPr>
          <w:rFonts w:ascii="Times New Roman" w:hAnsi="Times New Roman" w:hint="eastAsia"/>
          <w:color w:val="000000" w:themeColor="text1"/>
          <w:sz w:val="24"/>
          <w:szCs w:val="24"/>
        </w:rPr>
        <w:t xml:space="preserve"> </w:t>
      </w:r>
      <w:r w:rsidRPr="00A275D8">
        <w:rPr>
          <w:rFonts w:ascii="Times New Roman" w:hAnsi="Times New Roman"/>
          <w:color w:val="000000" w:themeColor="text1"/>
          <w:sz w:val="24"/>
          <w:szCs w:val="24"/>
        </w:rPr>
        <w:t xml:space="preserve">knockdown. </w:t>
      </w:r>
      <w:r w:rsidRPr="00A275D8">
        <w:rPr>
          <w:rFonts w:ascii="Times New Roman" w:hAnsi="Times New Roman"/>
          <w:b/>
          <w:bCs/>
          <w:color w:val="000000" w:themeColor="text1"/>
          <w:sz w:val="24"/>
          <w:szCs w:val="24"/>
        </w:rPr>
        <w:t>B</w:t>
      </w:r>
      <w:r w:rsidRPr="00A275D8">
        <w:rPr>
          <w:rFonts w:ascii="Times New Roman" w:hAnsi="Times New Roman"/>
          <w:color w:val="000000" w:themeColor="text1"/>
          <w:sz w:val="24"/>
          <w:szCs w:val="24"/>
        </w:rPr>
        <w:t xml:space="preserve"> Enrichment </w:t>
      </w:r>
      <w:r w:rsidR="00B83714" w:rsidRPr="00B83714">
        <w:rPr>
          <w:rFonts w:ascii="Times New Roman" w:hAnsi="Times New Roman"/>
          <w:color w:val="000000" w:themeColor="text1"/>
          <w:sz w:val="24"/>
          <w:szCs w:val="24"/>
        </w:rPr>
        <w:t>analysis</w:t>
      </w:r>
      <w:r w:rsidR="00B83714">
        <w:rPr>
          <w:rFonts w:ascii="Times New Roman" w:hAnsi="Times New Roman" w:hint="eastAsia"/>
          <w:color w:val="000000" w:themeColor="text1"/>
          <w:sz w:val="24"/>
          <w:szCs w:val="24"/>
        </w:rPr>
        <w:t xml:space="preserve"> of </w:t>
      </w:r>
      <w:r w:rsidRPr="00A275D8">
        <w:rPr>
          <w:rFonts w:ascii="Times New Roman" w:hAnsi="Times New Roman"/>
          <w:color w:val="000000" w:themeColor="text1"/>
          <w:sz w:val="24"/>
          <w:szCs w:val="24"/>
        </w:rPr>
        <w:t>pathways related to KEGG_CELL_CYCLE, and KEGG_ALANINE_ASPAR</w:t>
      </w:r>
      <w:r w:rsidR="00FA4FAF" w:rsidRPr="00A275D8">
        <w:rPr>
          <w:rFonts w:ascii="Times New Roman" w:hAnsi="Times New Roman"/>
          <w:color w:val="000000" w:themeColor="text1"/>
          <w:sz w:val="24"/>
          <w:szCs w:val="24"/>
        </w:rPr>
        <w:t>T</w:t>
      </w:r>
      <w:r w:rsidRPr="00A275D8">
        <w:rPr>
          <w:rFonts w:ascii="Times New Roman" w:hAnsi="Times New Roman"/>
          <w:color w:val="000000" w:themeColor="text1"/>
          <w:sz w:val="24"/>
          <w:szCs w:val="24"/>
        </w:rPr>
        <w:t xml:space="preserve">ATE_AND_GLUTAMATE_METABOLISM. </w:t>
      </w:r>
      <w:r w:rsidRPr="00A275D8">
        <w:rPr>
          <w:rFonts w:ascii="Times New Roman" w:hAnsi="Times New Roman"/>
          <w:b/>
          <w:bCs/>
          <w:color w:val="000000" w:themeColor="text1"/>
          <w:sz w:val="24"/>
          <w:szCs w:val="24"/>
        </w:rPr>
        <w:t>C</w:t>
      </w:r>
      <w:r w:rsidRPr="00A275D8">
        <w:rPr>
          <w:rFonts w:ascii="Times New Roman" w:hAnsi="Times New Roman"/>
          <w:color w:val="000000" w:themeColor="text1"/>
          <w:sz w:val="24"/>
          <w:szCs w:val="24"/>
        </w:rPr>
        <w:t xml:space="preserve"> Heatmap depicting downregulated c-Myc target genes in RUNX2-knockdown MDA-</w:t>
      </w:r>
      <w:r w:rsidR="00B83714">
        <w:rPr>
          <w:rFonts w:ascii="Times New Roman" w:hAnsi="Times New Roman" w:hint="eastAsia"/>
          <w:color w:val="000000" w:themeColor="text1"/>
          <w:sz w:val="24"/>
          <w:szCs w:val="24"/>
        </w:rPr>
        <w:t>MB-</w:t>
      </w:r>
      <w:r w:rsidRPr="00A275D8">
        <w:rPr>
          <w:rFonts w:ascii="Times New Roman" w:hAnsi="Times New Roman"/>
          <w:color w:val="000000" w:themeColor="text1"/>
          <w:sz w:val="24"/>
          <w:szCs w:val="24"/>
        </w:rPr>
        <w:t xml:space="preserve">231 cells. </w:t>
      </w:r>
      <w:r w:rsidRPr="00A275D8">
        <w:rPr>
          <w:rFonts w:ascii="Times New Roman" w:hAnsi="Times New Roman"/>
          <w:b/>
          <w:bCs/>
          <w:color w:val="000000" w:themeColor="text1"/>
          <w:sz w:val="24"/>
          <w:szCs w:val="24"/>
        </w:rPr>
        <w:t>D</w:t>
      </w:r>
      <w:r w:rsidRPr="00A275D8">
        <w:rPr>
          <w:rFonts w:ascii="Times New Roman" w:hAnsi="Times New Roman"/>
          <w:color w:val="000000" w:themeColor="text1"/>
          <w:sz w:val="24"/>
          <w:szCs w:val="24"/>
        </w:rPr>
        <w:t xml:space="preserve"> mRNA levels of c-Myc target genes including </w:t>
      </w:r>
      <w:r w:rsidRPr="00A275D8">
        <w:rPr>
          <w:rFonts w:ascii="Times New Roman" w:hAnsi="Times New Roman"/>
          <w:i/>
          <w:iCs/>
          <w:color w:val="000000" w:themeColor="text1"/>
          <w:sz w:val="24"/>
          <w:szCs w:val="24"/>
        </w:rPr>
        <w:t>CDK4</w:t>
      </w:r>
      <w:r w:rsidRPr="00A275D8">
        <w:rPr>
          <w:rFonts w:ascii="Times New Roman" w:hAnsi="Times New Roman"/>
          <w:color w:val="000000" w:themeColor="text1"/>
          <w:sz w:val="24"/>
          <w:szCs w:val="24"/>
        </w:rPr>
        <w:t xml:space="preserve">, </w:t>
      </w:r>
      <w:r w:rsidRPr="00A275D8">
        <w:rPr>
          <w:rFonts w:ascii="Times New Roman" w:hAnsi="Times New Roman"/>
          <w:i/>
          <w:iCs/>
          <w:color w:val="000000" w:themeColor="text1"/>
          <w:sz w:val="24"/>
          <w:szCs w:val="24"/>
        </w:rPr>
        <w:t>PCNA</w:t>
      </w:r>
      <w:r w:rsidRPr="00A275D8">
        <w:rPr>
          <w:rFonts w:ascii="Times New Roman" w:hAnsi="Times New Roman"/>
          <w:color w:val="000000" w:themeColor="text1"/>
          <w:sz w:val="24"/>
          <w:szCs w:val="24"/>
        </w:rPr>
        <w:t xml:space="preserve"> and </w:t>
      </w:r>
      <w:r w:rsidRPr="00A275D8">
        <w:rPr>
          <w:rFonts w:ascii="Times New Roman" w:hAnsi="Times New Roman"/>
          <w:i/>
          <w:iCs/>
          <w:color w:val="000000" w:themeColor="text1"/>
          <w:sz w:val="24"/>
          <w:szCs w:val="24"/>
        </w:rPr>
        <w:t>SLC1A5</w:t>
      </w:r>
      <w:r w:rsidRPr="00A275D8">
        <w:rPr>
          <w:rFonts w:ascii="Times New Roman" w:hAnsi="Times New Roman"/>
          <w:color w:val="000000" w:themeColor="text1"/>
          <w:sz w:val="24"/>
          <w:szCs w:val="24"/>
        </w:rPr>
        <w:t xml:space="preserve"> in the indicated cells were measured by RT–qPCR. *</w:t>
      </w:r>
      <w:r w:rsidRPr="00A275D8">
        <w:rPr>
          <w:rFonts w:ascii="Times New Roman" w:hAnsi="Times New Roman"/>
          <w:i/>
          <w:iCs/>
          <w:color w:val="000000" w:themeColor="text1"/>
          <w:sz w:val="24"/>
          <w:szCs w:val="24"/>
        </w:rPr>
        <w:t>P</w:t>
      </w:r>
      <w:r w:rsidRPr="00A275D8">
        <w:rPr>
          <w:rFonts w:ascii="Times New Roman" w:hAnsi="Times New Roman"/>
          <w:color w:val="000000" w:themeColor="text1"/>
          <w:sz w:val="24"/>
          <w:szCs w:val="24"/>
        </w:rPr>
        <w:t xml:space="preserve"> &lt; 0.05 compared with control cells. Pearson’s correlation analysis of the expression levels of</w:t>
      </w:r>
      <w:r w:rsidRPr="00A275D8">
        <w:rPr>
          <w:rFonts w:ascii="Times New Roman" w:hAnsi="Times New Roman"/>
          <w:i/>
          <w:iCs/>
          <w:color w:val="000000" w:themeColor="text1"/>
          <w:sz w:val="24"/>
          <w:szCs w:val="24"/>
        </w:rPr>
        <w:t xml:space="preserve"> RUNX2</w:t>
      </w:r>
      <w:r w:rsidRPr="00A275D8">
        <w:rPr>
          <w:rFonts w:ascii="Times New Roman" w:hAnsi="Times New Roman"/>
          <w:color w:val="000000" w:themeColor="text1"/>
          <w:sz w:val="24"/>
          <w:szCs w:val="24"/>
        </w:rPr>
        <w:t xml:space="preserve"> with c-Myc target genes (</w:t>
      </w:r>
      <w:r w:rsidRPr="00A275D8">
        <w:rPr>
          <w:rFonts w:ascii="Times New Roman" w:hAnsi="Times New Roman"/>
          <w:b/>
          <w:bCs/>
          <w:color w:val="000000" w:themeColor="text1"/>
          <w:sz w:val="24"/>
          <w:szCs w:val="24"/>
        </w:rPr>
        <w:t>E</w:t>
      </w:r>
      <w:r w:rsidRPr="00A275D8">
        <w:rPr>
          <w:rFonts w:ascii="Times New Roman" w:hAnsi="Times New Roman"/>
          <w:color w:val="000000" w:themeColor="text1"/>
          <w:sz w:val="24"/>
          <w:szCs w:val="24"/>
        </w:rPr>
        <w:t xml:space="preserve">) and </w:t>
      </w:r>
      <w:r w:rsidRPr="00A275D8">
        <w:rPr>
          <w:rFonts w:ascii="Times New Roman" w:hAnsi="Times New Roman"/>
          <w:i/>
          <w:iCs/>
          <w:color w:val="000000" w:themeColor="text1"/>
          <w:sz w:val="24"/>
          <w:szCs w:val="24"/>
        </w:rPr>
        <w:t>RUNX2</w:t>
      </w:r>
      <w:r w:rsidRPr="00A275D8">
        <w:rPr>
          <w:rFonts w:ascii="Times New Roman" w:hAnsi="Times New Roman"/>
          <w:color w:val="000000" w:themeColor="text1"/>
          <w:sz w:val="24"/>
          <w:szCs w:val="24"/>
        </w:rPr>
        <w:t xml:space="preserve"> or c-Myc target gene with</w:t>
      </w:r>
      <w:r w:rsidRPr="00A275D8">
        <w:rPr>
          <w:rFonts w:ascii="Times New Roman" w:hAnsi="Times New Roman"/>
          <w:i/>
          <w:iCs/>
          <w:color w:val="000000" w:themeColor="text1"/>
          <w:sz w:val="24"/>
          <w:szCs w:val="24"/>
        </w:rPr>
        <w:t xml:space="preserve"> </w:t>
      </w:r>
      <w:r w:rsidRPr="00A275D8">
        <w:rPr>
          <w:rFonts w:ascii="Times New Roman" w:hAnsi="Times New Roman"/>
          <w:color w:val="000000" w:themeColor="text1"/>
          <w:sz w:val="24"/>
          <w:szCs w:val="24"/>
        </w:rPr>
        <w:t>lineage markers (</w:t>
      </w:r>
      <w:r w:rsidRPr="00A275D8">
        <w:rPr>
          <w:rFonts w:ascii="Times New Roman" w:hAnsi="Times New Roman"/>
          <w:b/>
          <w:bCs/>
          <w:color w:val="000000" w:themeColor="text1"/>
          <w:sz w:val="24"/>
          <w:szCs w:val="24"/>
        </w:rPr>
        <w:t>F</w:t>
      </w:r>
      <w:r w:rsidRPr="00A275D8">
        <w:rPr>
          <w:rFonts w:ascii="Times New Roman" w:hAnsi="Times New Roman"/>
          <w:color w:val="000000" w:themeColor="text1"/>
          <w:sz w:val="24"/>
          <w:szCs w:val="24"/>
        </w:rPr>
        <w:t>) in breast cancer tissues based on</w:t>
      </w:r>
      <w:r w:rsidRPr="00F629B2">
        <w:rPr>
          <w:rFonts w:ascii="Times New Roman" w:hAnsi="Times New Roman"/>
          <w:color w:val="000000" w:themeColor="text1"/>
          <w:sz w:val="24"/>
          <w:szCs w:val="24"/>
        </w:rPr>
        <w:t xml:space="preserve"> </w:t>
      </w:r>
      <w:r w:rsidR="00B83714" w:rsidRPr="00F629B2">
        <w:rPr>
          <w:rFonts w:ascii="Times New Roman" w:hAnsi="Times New Roman"/>
          <w:color w:val="000000" w:themeColor="text1"/>
          <w:sz w:val="24"/>
          <w:szCs w:val="24"/>
        </w:rPr>
        <w:t xml:space="preserve">the </w:t>
      </w:r>
      <w:r w:rsidRPr="00A275D8">
        <w:rPr>
          <w:rFonts w:ascii="Times New Roman" w:hAnsi="Times New Roman"/>
          <w:color w:val="000000" w:themeColor="text1"/>
          <w:sz w:val="24"/>
          <w:szCs w:val="24"/>
        </w:rPr>
        <w:t>TCGA-BRCA dataset (n = 1089). Data are shown as mean ± SD. Statistical analyses were performed with the unpaired Student’s t test or Pearson’s correlation analysis (E and F).</w:t>
      </w:r>
      <w:r w:rsidR="00F06359" w:rsidRPr="00A275D8">
        <w:rPr>
          <w:rFonts w:ascii="Times New Roman" w:hAnsi="Times New Roman"/>
          <w:color w:val="000000" w:themeColor="text1"/>
          <w:sz w:val="24"/>
          <w:szCs w:val="24"/>
        </w:rPr>
        <w:t xml:space="preserve"> DRGs-KEGG, down regulated genes–Kyoto Encyclopedia of Genes and Genomes;</w:t>
      </w:r>
      <w:r w:rsidR="00F05489" w:rsidRPr="00A275D8">
        <w:rPr>
          <w:rFonts w:ascii="Times New Roman" w:hAnsi="Times New Roman"/>
          <w:color w:val="000000" w:themeColor="text1"/>
          <w:sz w:val="24"/>
          <w:szCs w:val="24"/>
        </w:rPr>
        <w:t xml:space="preserve"> </w:t>
      </w:r>
      <w:r w:rsidR="002C41B5" w:rsidRPr="00A275D8">
        <w:rPr>
          <w:rFonts w:ascii="Times New Roman" w:hAnsi="Times New Roman"/>
          <w:color w:val="000000" w:themeColor="text1"/>
          <w:sz w:val="24"/>
          <w:szCs w:val="24"/>
        </w:rPr>
        <w:t>NES, normalized enrichment score</w:t>
      </w:r>
      <w:bookmarkStart w:id="1" w:name="OLE_LINK2"/>
      <w:r w:rsidR="00F06359" w:rsidRPr="00A275D8">
        <w:rPr>
          <w:rFonts w:ascii="Times New Roman" w:hAnsi="Times New Roman"/>
          <w:color w:val="000000" w:themeColor="text1"/>
          <w:sz w:val="24"/>
          <w:szCs w:val="28"/>
        </w:rPr>
        <w:t>;</w:t>
      </w:r>
      <w:bookmarkEnd w:id="1"/>
      <w:r w:rsidR="00F06359" w:rsidRPr="00A275D8">
        <w:rPr>
          <w:rFonts w:ascii="Times New Roman" w:hAnsi="Times New Roman"/>
          <w:color w:val="000000" w:themeColor="text1"/>
          <w:sz w:val="24"/>
          <w:szCs w:val="28"/>
        </w:rPr>
        <w:t xml:space="preserve"> DDR</w:t>
      </w:r>
      <w:r w:rsidR="00FA4FAF" w:rsidRPr="00A275D8">
        <w:rPr>
          <w:rFonts w:ascii="Times New Roman" w:hAnsi="Times New Roman"/>
          <w:color w:val="000000" w:themeColor="text1"/>
          <w:sz w:val="24"/>
          <w:szCs w:val="28"/>
        </w:rPr>
        <w:t>,</w:t>
      </w:r>
      <w:r w:rsidR="00F06359" w:rsidRPr="00A275D8">
        <w:rPr>
          <w:rFonts w:ascii="Times New Roman" w:hAnsi="Times New Roman"/>
          <w:color w:val="000000" w:themeColor="text1"/>
          <w:sz w:val="24"/>
          <w:szCs w:val="28"/>
        </w:rPr>
        <w:t xml:space="preserve"> DNA damage repair. TPM, transcripts per million.</w:t>
      </w:r>
      <w:r w:rsidR="0000026B" w:rsidRPr="00A275D8">
        <w:rPr>
          <w:rFonts w:ascii="Times New Roman" w:hAnsi="Times New Roman"/>
          <w:color w:val="000000" w:themeColor="text1"/>
          <w:sz w:val="24"/>
          <w:szCs w:val="24"/>
        </w:rPr>
        <w:t xml:space="preserve"> Related to Fig. 2.</w:t>
      </w:r>
    </w:p>
    <w:p w14:paraId="4B51AE8C" w14:textId="060EB96F" w:rsidR="008023F3" w:rsidRPr="00A275D8" w:rsidRDefault="008023F3" w:rsidP="00844184">
      <w:pPr>
        <w:snapToGrid w:val="0"/>
        <w:spacing w:afterLines="50" w:after="156" w:line="360" w:lineRule="auto"/>
        <w:jc w:val="both"/>
        <w:rPr>
          <w:rFonts w:ascii="Times New Roman" w:hAnsi="Times New Roman"/>
          <w:color w:val="000000" w:themeColor="text1"/>
          <w:sz w:val="24"/>
        </w:rPr>
      </w:pPr>
      <w:r w:rsidRPr="00A275D8">
        <w:rPr>
          <w:rFonts w:ascii="Times New Roman" w:hAnsi="Times New Roman"/>
          <w:b/>
          <w:bCs/>
          <w:color w:val="000000" w:themeColor="text1"/>
          <w:sz w:val="24"/>
        </w:rPr>
        <w:t>Fig</w:t>
      </w:r>
      <w:r w:rsidR="0000026B" w:rsidRPr="00A275D8">
        <w:rPr>
          <w:rFonts w:ascii="Times New Roman" w:hAnsi="Times New Roman"/>
          <w:b/>
          <w:bCs/>
          <w:color w:val="000000" w:themeColor="text1"/>
          <w:sz w:val="24"/>
        </w:rPr>
        <w:t xml:space="preserve">. </w:t>
      </w:r>
      <w:r w:rsidRPr="00A275D8">
        <w:rPr>
          <w:rFonts w:ascii="Times New Roman" w:hAnsi="Times New Roman"/>
          <w:b/>
          <w:bCs/>
          <w:color w:val="000000" w:themeColor="text1"/>
          <w:sz w:val="24"/>
        </w:rPr>
        <w:t xml:space="preserve">5 </w:t>
      </w:r>
      <w:r w:rsidR="00844184" w:rsidRPr="00A275D8">
        <w:rPr>
          <w:rFonts w:ascii="Times New Roman" w:hAnsi="Times New Roman"/>
          <w:b/>
          <w:bCs/>
          <w:color w:val="000000" w:themeColor="text1"/>
          <w:sz w:val="24"/>
        </w:rPr>
        <w:t xml:space="preserve">FBXW7 is </w:t>
      </w:r>
      <w:r w:rsidR="00B83714" w:rsidRPr="00B83714">
        <w:rPr>
          <w:rFonts w:ascii="Times New Roman" w:hAnsi="Times New Roman" w:hint="eastAsia"/>
          <w:b/>
          <w:bCs/>
          <w:color w:val="000000" w:themeColor="text1"/>
          <w:sz w:val="24"/>
        </w:rPr>
        <w:t xml:space="preserve">identified as </w:t>
      </w:r>
      <w:r w:rsidR="00844184" w:rsidRPr="00A275D8">
        <w:rPr>
          <w:rFonts w:ascii="Times New Roman" w:hAnsi="Times New Roman"/>
          <w:b/>
          <w:bCs/>
          <w:color w:val="000000" w:themeColor="text1"/>
          <w:sz w:val="24"/>
        </w:rPr>
        <w:t>the E3 ubiquitin ligases of c-Myc modulated by RUNX2. A</w:t>
      </w:r>
      <w:r w:rsidR="00844184" w:rsidRPr="00A275D8">
        <w:rPr>
          <w:rFonts w:ascii="Times New Roman" w:hAnsi="Times New Roman"/>
          <w:color w:val="000000" w:themeColor="text1"/>
          <w:sz w:val="24"/>
        </w:rPr>
        <w:t xml:space="preserve"> The E3 ubiquitin ligase were knocked down with siRNA transfection in MDA-231 cells. The efficiency of the knockdown and </w:t>
      </w:r>
      <w:r w:rsidR="00844184" w:rsidRPr="00F629B2">
        <w:rPr>
          <w:rFonts w:ascii="Times New Roman" w:hAnsi="Times New Roman"/>
          <w:i/>
          <w:iCs/>
          <w:color w:val="000000" w:themeColor="text1"/>
          <w:sz w:val="24"/>
        </w:rPr>
        <w:t>MYC</w:t>
      </w:r>
      <w:r w:rsidR="00844184" w:rsidRPr="00A275D8">
        <w:rPr>
          <w:rFonts w:ascii="Times New Roman" w:hAnsi="Times New Roman"/>
          <w:color w:val="000000" w:themeColor="text1"/>
          <w:sz w:val="24"/>
        </w:rPr>
        <w:t xml:space="preserve"> mRNA levels were evaluated by RT–qPCR. </w:t>
      </w:r>
      <w:r w:rsidR="00844184" w:rsidRPr="00A275D8">
        <w:rPr>
          <w:rFonts w:ascii="Times New Roman" w:hAnsi="Times New Roman"/>
          <w:b/>
          <w:bCs/>
          <w:color w:val="000000" w:themeColor="text1"/>
          <w:sz w:val="24"/>
        </w:rPr>
        <w:t>B</w:t>
      </w:r>
      <w:r w:rsidR="00844184" w:rsidRPr="00A275D8">
        <w:rPr>
          <w:rFonts w:ascii="Times New Roman" w:hAnsi="Times New Roman"/>
          <w:color w:val="000000" w:themeColor="text1"/>
          <w:sz w:val="24"/>
        </w:rPr>
        <w:t xml:space="preserve"> c-Myc protein levels with knockdown of the c-Myc E3 ubiquitin ligases in RUNX2 knockdown or control MDA-231 cells were detected by immunoblot. Data </w:t>
      </w:r>
      <w:proofErr w:type="gramStart"/>
      <w:r w:rsidR="00844184" w:rsidRPr="00A275D8">
        <w:rPr>
          <w:rFonts w:ascii="Times New Roman" w:hAnsi="Times New Roman"/>
          <w:color w:val="000000" w:themeColor="text1"/>
          <w:sz w:val="24"/>
        </w:rPr>
        <w:t>are</w:t>
      </w:r>
      <w:proofErr w:type="gramEnd"/>
      <w:r w:rsidR="00844184" w:rsidRPr="00A275D8">
        <w:rPr>
          <w:rFonts w:ascii="Times New Roman" w:hAnsi="Times New Roman"/>
          <w:color w:val="000000" w:themeColor="text1"/>
          <w:sz w:val="24"/>
        </w:rPr>
        <w:t xml:space="preserve"> shown as the mean ± SD. Statistical analyses were performed with the unpaired </w:t>
      </w:r>
      <w:proofErr w:type="gramStart"/>
      <w:r w:rsidR="00844184" w:rsidRPr="00A275D8">
        <w:rPr>
          <w:rFonts w:ascii="Times New Roman" w:hAnsi="Times New Roman"/>
          <w:color w:val="000000" w:themeColor="text1"/>
          <w:sz w:val="24"/>
        </w:rPr>
        <w:t>Student’s t</w:t>
      </w:r>
      <w:proofErr w:type="gramEnd"/>
      <w:r w:rsidR="00FA4FAF" w:rsidRPr="00A275D8">
        <w:rPr>
          <w:rFonts w:ascii="Times New Roman" w:hAnsi="Times New Roman"/>
          <w:color w:val="000000" w:themeColor="text1"/>
          <w:sz w:val="24"/>
        </w:rPr>
        <w:t>-</w:t>
      </w:r>
      <w:r w:rsidR="00844184" w:rsidRPr="00A275D8">
        <w:rPr>
          <w:rFonts w:ascii="Times New Roman" w:hAnsi="Times New Roman"/>
          <w:color w:val="000000" w:themeColor="text1"/>
          <w:sz w:val="24"/>
        </w:rPr>
        <w:t>test</w:t>
      </w:r>
      <w:r w:rsidR="00FA4FAF" w:rsidRPr="00A275D8">
        <w:rPr>
          <w:rFonts w:ascii="Times New Roman" w:hAnsi="Times New Roman"/>
          <w:color w:val="000000" w:themeColor="text1"/>
          <w:sz w:val="24"/>
        </w:rPr>
        <w:t>.</w:t>
      </w:r>
      <w:r w:rsidR="0000026B" w:rsidRPr="00A275D8">
        <w:rPr>
          <w:rFonts w:ascii="Times New Roman" w:hAnsi="Times New Roman"/>
          <w:color w:val="000000" w:themeColor="text1"/>
          <w:sz w:val="24"/>
        </w:rPr>
        <w:t xml:space="preserve"> </w:t>
      </w:r>
      <w:r w:rsidR="0000026B" w:rsidRPr="00A275D8">
        <w:rPr>
          <w:rFonts w:ascii="Times New Roman" w:hAnsi="Times New Roman"/>
          <w:color w:val="000000" w:themeColor="text1"/>
          <w:sz w:val="24"/>
          <w:szCs w:val="24"/>
        </w:rPr>
        <w:t>Related to Fig. 4.</w:t>
      </w:r>
    </w:p>
    <w:p w14:paraId="4EA00C57" w14:textId="0E982C94" w:rsidR="00CC100C" w:rsidRPr="00A275D8" w:rsidRDefault="00CB6D0A" w:rsidP="0094689C">
      <w:pPr>
        <w:snapToGrid w:val="0"/>
        <w:spacing w:afterLines="50" w:after="156" w:line="360" w:lineRule="auto"/>
        <w:jc w:val="both"/>
        <w:rPr>
          <w:rFonts w:ascii="Times New Roman" w:hAnsi="Times New Roman"/>
          <w:color w:val="000000" w:themeColor="text1"/>
          <w:sz w:val="24"/>
          <w:szCs w:val="24"/>
        </w:rPr>
      </w:pPr>
      <w:r w:rsidRPr="00A275D8">
        <w:rPr>
          <w:rFonts w:ascii="Times New Roman" w:hAnsi="Times New Roman"/>
          <w:b/>
          <w:bCs/>
          <w:color w:val="000000" w:themeColor="text1"/>
          <w:sz w:val="24"/>
          <w:szCs w:val="24"/>
        </w:rPr>
        <w:t>Fig</w:t>
      </w:r>
      <w:r w:rsidR="00AA60D3" w:rsidRPr="00A275D8">
        <w:rPr>
          <w:rFonts w:ascii="Times New Roman" w:hAnsi="Times New Roman"/>
          <w:b/>
          <w:bCs/>
          <w:color w:val="000000" w:themeColor="text1"/>
          <w:sz w:val="24"/>
          <w:szCs w:val="24"/>
        </w:rPr>
        <w:t xml:space="preserve">. </w:t>
      </w:r>
      <w:r w:rsidR="008023F3" w:rsidRPr="00A275D8">
        <w:rPr>
          <w:rFonts w:ascii="Times New Roman" w:hAnsi="Times New Roman"/>
          <w:b/>
          <w:bCs/>
          <w:color w:val="000000" w:themeColor="text1"/>
          <w:sz w:val="24"/>
          <w:szCs w:val="24"/>
        </w:rPr>
        <w:t xml:space="preserve">6 </w:t>
      </w:r>
      <w:r w:rsidRPr="00A275D8">
        <w:rPr>
          <w:rFonts w:ascii="Times New Roman" w:hAnsi="Times New Roman"/>
          <w:color w:val="000000" w:themeColor="text1"/>
          <w:sz w:val="24"/>
          <w:szCs w:val="24"/>
        </w:rPr>
        <w:t>Representative dot plots of flow cytometry for the quantification of GFP</w:t>
      </w:r>
      <w:r w:rsidRPr="00A275D8">
        <w:rPr>
          <w:rFonts w:ascii="Times New Roman" w:hAnsi="Times New Roman"/>
          <w:color w:val="000000" w:themeColor="text1"/>
          <w:sz w:val="24"/>
          <w:szCs w:val="24"/>
          <w:vertAlign w:val="superscript"/>
        </w:rPr>
        <w:t>+</w:t>
      </w:r>
      <w:r w:rsidRPr="00A275D8">
        <w:rPr>
          <w:rFonts w:ascii="Times New Roman" w:hAnsi="Times New Roman"/>
          <w:color w:val="000000" w:themeColor="text1"/>
          <w:sz w:val="24"/>
          <w:szCs w:val="24"/>
        </w:rPr>
        <w:t xml:space="preserve"> cells in the peripheral blood, bone marrow and lung</w:t>
      </w:r>
      <w:r w:rsidR="00B83714">
        <w:rPr>
          <w:rFonts w:ascii="Times New Roman" w:hAnsi="Times New Roman" w:hint="eastAsia"/>
          <w:color w:val="000000" w:themeColor="text1"/>
          <w:sz w:val="24"/>
          <w:szCs w:val="24"/>
        </w:rPr>
        <w:t xml:space="preserve"> tissues</w:t>
      </w:r>
      <w:r w:rsidRPr="00A275D8">
        <w:rPr>
          <w:rFonts w:ascii="Times New Roman" w:hAnsi="Times New Roman"/>
          <w:color w:val="000000" w:themeColor="text1"/>
          <w:sz w:val="24"/>
          <w:szCs w:val="24"/>
        </w:rPr>
        <w:t xml:space="preserve"> collected from the indicated mice shown in Fig</w:t>
      </w:r>
      <w:r w:rsidR="00B83714">
        <w:rPr>
          <w:rFonts w:ascii="Times New Roman" w:hAnsi="Times New Roman" w:hint="eastAsia"/>
          <w:color w:val="000000" w:themeColor="text1"/>
          <w:sz w:val="24"/>
          <w:szCs w:val="24"/>
        </w:rPr>
        <w:t>.</w:t>
      </w:r>
      <w:r w:rsidRPr="00A275D8">
        <w:rPr>
          <w:rFonts w:ascii="Times New Roman" w:hAnsi="Times New Roman"/>
          <w:color w:val="000000" w:themeColor="text1"/>
          <w:sz w:val="24"/>
          <w:szCs w:val="24"/>
        </w:rPr>
        <w:t xml:space="preserve"> 6A </w:t>
      </w:r>
      <w:r w:rsidR="00B83714">
        <w:rPr>
          <w:rFonts w:ascii="Times New Roman" w:hAnsi="Times New Roman" w:hint="eastAsia"/>
          <w:color w:val="000000" w:themeColor="text1"/>
          <w:sz w:val="24"/>
          <w:szCs w:val="24"/>
        </w:rPr>
        <w:t>on</w:t>
      </w:r>
      <w:r w:rsidR="00B83714" w:rsidRPr="00A275D8">
        <w:rPr>
          <w:rFonts w:ascii="Times New Roman" w:hAnsi="Times New Roman"/>
          <w:color w:val="000000" w:themeColor="text1"/>
          <w:sz w:val="24"/>
          <w:szCs w:val="24"/>
        </w:rPr>
        <w:t xml:space="preserve"> </w:t>
      </w:r>
      <w:r w:rsidRPr="00A275D8">
        <w:rPr>
          <w:rFonts w:ascii="Times New Roman" w:hAnsi="Times New Roman"/>
          <w:color w:val="000000" w:themeColor="text1"/>
          <w:sz w:val="24"/>
          <w:szCs w:val="24"/>
        </w:rPr>
        <w:t>day 14 and day 21.</w:t>
      </w:r>
      <w:r w:rsidR="00F05489" w:rsidRPr="00A275D8">
        <w:rPr>
          <w:rFonts w:ascii="Times New Roman" w:hAnsi="Times New Roman"/>
          <w:color w:val="000000" w:themeColor="text1"/>
          <w:sz w:val="24"/>
          <w:szCs w:val="24"/>
        </w:rPr>
        <w:t xml:space="preserve"> CTCs, circulating tumor cells; DTCs, disseminated tumor cells. </w:t>
      </w:r>
    </w:p>
    <w:sectPr w:rsidR="00CC100C" w:rsidRPr="00A275D8" w:rsidSect="002E7A5B">
      <w:footerReference w:type="default" r:id="rId6"/>
      <w:pgSz w:w="12240" w:h="15840" w:code="1"/>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CB511" w14:textId="77777777" w:rsidR="00A23EE7" w:rsidRDefault="00A23EE7" w:rsidP="00CB6D0A">
      <w:pPr>
        <w:spacing w:before="0" w:after="0" w:line="240" w:lineRule="auto"/>
        <w:rPr>
          <w:rFonts w:hint="eastAsia"/>
        </w:rPr>
      </w:pPr>
      <w:r>
        <w:separator/>
      </w:r>
    </w:p>
  </w:endnote>
  <w:endnote w:type="continuationSeparator" w:id="0">
    <w:p w14:paraId="4165B43E" w14:textId="77777777" w:rsidR="00A23EE7" w:rsidRDefault="00A23EE7" w:rsidP="00CB6D0A">
      <w:pPr>
        <w:spacing w:before="0"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5022002"/>
      <w:docPartObj>
        <w:docPartGallery w:val="Page Numbers (Bottom of Page)"/>
        <w:docPartUnique/>
      </w:docPartObj>
    </w:sdtPr>
    <w:sdtContent>
      <w:p w14:paraId="7B0702E7" w14:textId="637078C6" w:rsidR="002E7A5B" w:rsidRDefault="002E7A5B">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119BA610" w14:textId="77777777" w:rsidR="002E7A5B" w:rsidRDefault="002E7A5B">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BBB60" w14:textId="77777777" w:rsidR="00A23EE7" w:rsidRDefault="00A23EE7" w:rsidP="00CB6D0A">
      <w:pPr>
        <w:spacing w:before="0" w:after="0" w:line="240" w:lineRule="auto"/>
        <w:rPr>
          <w:rFonts w:hint="eastAsia"/>
        </w:rPr>
      </w:pPr>
      <w:r>
        <w:separator/>
      </w:r>
    </w:p>
  </w:footnote>
  <w:footnote w:type="continuationSeparator" w:id="0">
    <w:p w14:paraId="11CB98C2" w14:textId="77777777" w:rsidR="00A23EE7" w:rsidRDefault="00A23EE7" w:rsidP="00CB6D0A">
      <w:pPr>
        <w:spacing w:before="0"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00C"/>
    <w:rsid w:val="0000026B"/>
    <w:rsid w:val="00020EF3"/>
    <w:rsid w:val="0004395D"/>
    <w:rsid w:val="000561C5"/>
    <w:rsid w:val="00110DBD"/>
    <w:rsid w:val="00115CA1"/>
    <w:rsid w:val="0015224C"/>
    <w:rsid w:val="00155DEE"/>
    <w:rsid w:val="001701FA"/>
    <w:rsid w:val="001D01E7"/>
    <w:rsid w:val="002C41B5"/>
    <w:rsid w:val="002E7A5B"/>
    <w:rsid w:val="00300801"/>
    <w:rsid w:val="00300961"/>
    <w:rsid w:val="003265FC"/>
    <w:rsid w:val="003309F5"/>
    <w:rsid w:val="003C3E8D"/>
    <w:rsid w:val="004245C2"/>
    <w:rsid w:val="004411E0"/>
    <w:rsid w:val="004878FA"/>
    <w:rsid w:val="004A618D"/>
    <w:rsid w:val="00551A62"/>
    <w:rsid w:val="00552A7F"/>
    <w:rsid w:val="006338D2"/>
    <w:rsid w:val="00660DE4"/>
    <w:rsid w:val="007005C9"/>
    <w:rsid w:val="007130D7"/>
    <w:rsid w:val="00725E81"/>
    <w:rsid w:val="007B3C8C"/>
    <w:rsid w:val="007D2376"/>
    <w:rsid w:val="008023F3"/>
    <w:rsid w:val="00844184"/>
    <w:rsid w:val="00886B0D"/>
    <w:rsid w:val="0094689C"/>
    <w:rsid w:val="00961B86"/>
    <w:rsid w:val="009806A2"/>
    <w:rsid w:val="009A2062"/>
    <w:rsid w:val="00A23EE7"/>
    <w:rsid w:val="00A265DB"/>
    <w:rsid w:val="00A275D8"/>
    <w:rsid w:val="00A55BB4"/>
    <w:rsid w:val="00A61FE1"/>
    <w:rsid w:val="00A62ECE"/>
    <w:rsid w:val="00A75491"/>
    <w:rsid w:val="00AA60D3"/>
    <w:rsid w:val="00AD1CD3"/>
    <w:rsid w:val="00B2630A"/>
    <w:rsid w:val="00B83714"/>
    <w:rsid w:val="00BB4621"/>
    <w:rsid w:val="00BC5A93"/>
    <w:rsid w:val="00C368D5"/>
    <w:rsid w:val="00C83DBB"/>
    <w:rsid w:val="00CA20A8"/>
    <w:rsid w:val="00CB1399"/>
    <w:rsid w:val="00CB6D0A"/>
    <w:rsid w:val="00CC100C"/>
    <w:rsid w:val="00CF0B2D"/>
    <w:rsid w:val="00D46E15"/>
    <w:rsid w:val="00E129A4"/>
    <w:rsid w:val="00E2200E"/>
    <w:rsid w:val="00E24FEF"/>
    <w:rsid w:val="00E53709"/>
    <w:rsid w:val="00E65617"/>
    <w:rsid w:val="00E74D70"/>
    <w:rsid w:val="00F05489"/>
    <w:rsid w:val="00F06359"/>
    <w:rsid w:val="00F16D75"/>
    <w:rsid w:val="00F55D9D"/>
    <w:rsid w:val="00F629B2"/>
    <w:rsid w:val="00FA4F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440A3C"/>
  <w15:chartTrackingRefBased/>
  <w15:docId w15:val="{77C9307B-296B-4262-AE81-CABFA2C29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6D0A"/>
    <w:pPr>
      <w:widowControl w:val="0"/>
      <w:spacing w:before="100" w:beforeAutospacing="1" w:line="276" w:lineRule="auto"/>
    </w:pPr>
    <w:rPr>
      <w:rFonts w:ascii="等线" w:eastAsia="等线" w:hAnsi="等线" w:cs="Times New Roman"/>
      <w:szCs w:val="22"/>
      <w14:ligatures w14:val="none"/>
    </w:rPr>
  </w:style>
  <w:style w:type="paragraph" w:styleId="1">
    <w:name w:val="heading 1"/>
    <w:basedOn w:val="a"/>
    <w:next w:val="a"/>
    <w:link w:val="10"/>
    <w:uiPriority w:val="9"/>
    <w:qFormat/>
    <w:rsid w:val="00CC100C"/>
    <w:pPr>
      <w:keepNext/>
      <w:keepLines/>
      <w:spacing w:before="480" w:beforeAutospacing="0" w:after="80" w:line="278" w:lineRule="auto"/>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CC100C"/>
    <w:pPr>
      <w:keepNext/>
      <w:keepLines/>
      <w:spacing w:before="160" w:beforeAutospacing="0" w:after="80" w:line="278" w:lineRule="auto"/>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CC100C"/>
    <w:pPr>
      <w:keepNext/>
      <w:keepLines/>
      <w:spacing w:before="160" w:beforeAutospacing="0" w:after="80" w:line="278" w:lineRule="auto"/>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CC100C"/>
    <w:pPr>
      <w:keepNext/>
      <w:keepLines/>
      <w:spacing w:before="80" w:beforeAutospacing="0" w:after="40" w:line="278" w:lineRule="auto"/>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CC100C"/>
    <w:pPr>
      <w:keepNext/>
      <w:keepLines/>
      <w:spacing w:before="80" w:beforeAutospacing="0" w:after="40" w:line="278" w:lineRule="auto"/>
      <w:outlineLvl w:val="4"/>
    </w:pPr>
    <w:rPr>
      <w:rFonts w:asciiTheme="minorHAnsi" w:eastAsiaTheme="minorEastAsia" w:hAnsiTheme="minorHAnsi"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CC100C"/>
    <w:pPr>
      <w:keepNext/>
      <w:keepLines/>
      <w:spacing w:before="40" w:beforeAutospacing="0" w:after="0" w:line="278" w:lineRule="auto"/>
      <w:outlineLvl w:val="5"/>
    </w:pPr>
    <w:rPr>
      <w:rFonts w:asciiTheme="minorHAnsi" w:eastAsiaTheme="minorEastAsia" w:hAnsiTheme="minorHAnsi" w:cstheme="majorBidi"/>
      <w:b/>
      <w:bCs/>
      <w:color w:val="0F4761" w:themeColor="accent1" w:themeShade="BF"/>
      <w:szCs w:val="24"/>
      <w14:ligatures w14:val="standardContextual"/>
    </w:rPr>
  </w:style>
  <w:style w:type="paragraph" w:styleId="7">
    <w:name w:val="heading 7"/>
    <w:basedOn w:val="a"/>
    <w:next w:val="a"/>
    <w:link w:val="70"/>
    <w:uiPriority w:val="9"/>
    <w:semiHidden/>
    <w:unhideWhenUsed/>
    <w:qFormat/>
    <w:rsid w:val="00CC100C"/>
    <w:pPr>
      <w:keepNext/>
      <w:keepLines/>
      <w:spacing w:before="40" w:beforeAutospacing="0" w:after="0" w:line="278" w:lineRule="auto"/>
      <w:outlineLvl w:val="6"/>
    </w:pPr>
    <w:rPr>
      <w:rFonts w:asciiTheme="minorHAnsi" w:eastAsiaTheme="minorEastAsia" w:hAnsiTheme="minorHAnsi" w:cstheme="majorBidi"/>
      <w:b/>
      <w:bCs/>
      <w:color w:val="595959" w:themeColor="text1" w:themeTint="A6"/>
      <w:szCs w:val="24"/>
      <w14:ligatures w14:val="standardContextual"/>
    </w:rPr>
  </w:style>
  <w:style w:type="paragraph" w:styleId="8">
    <w:name w:val="heading 8"/>
    <w:basedOn w:val="a"/>
    <w:next w:val="a"/>
    <w:link w:val="80"/>
    <w:uiPriority w:val="9"/>
    <w:semiHidden/>
    <w:unhideWhenUsed/>
    <w:qFormat/>
    <w:rsid w:val="00CC100C"/>
    <w:pPr>
      <w:keepNext/>
      <w:keepLines/>
      <w:spacing w:before="0" w:beforeAutospacing="0" w:after="0" w:line="278" w:lineRule="auto"/>
      <w:outlineLvl w:val="7"/>
    </w:pPr>
    <w:rPr>
      <w:rFonts w:asciiTheme="minorHAnsi" w:eastAsiaTheme="minorEastAsia" w:hAnsiTheme="minorHAnsi" w:cstheme="majorBidi"/>
      <w:color w:val="595959" w:themeColor="text1" w:themeTint="A6"/>
      <w:szCs w:val="24"/>
      <w14:ligatures w14:val="standardContextual"/>
    </w:rPr>
  </w:style>
  <w:style w:type="paragraph" w:styleId="9">
    <w:name w:val="heading 9"/>
    <w:basedOn w:val="a"/>
    <w:next w:val="a"/>
    <w:link w:val="90"/>
    <w:uiPriority w:val="9"/>
    <w:semiHidden/>
    <w:unhideWhenUsed/>
    <w:qFormat/>
    <w:rsid w:val="00CC100C"/>
    <w:pPr>
      <w:keepNext/>
      <w:keepLines/>
      <w:spacing w:before="0" w:beforeAutospacing="0" w:after="0" w:line="278" w:lineRule="auto"/>
      <w:outlineLvl w:val="8"/>
    </w:pPr>
    <w:rPr>
      <w:rFonts w:asciiTheme="minorHAnsi" w:eastAsiaTheme="majorEastAsia" w:hAnsiTheme="minorHAnsi" w:cstheme="majorBidi"/>
      <w:color w:val="595959" w:themeColor="text1" w:themeTint="A6"/>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C100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C100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C100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C100C"/>
    <w:rPr>
      <w:rFonts w:cstheme="majorBidi"/>
      <w:color w:val="0F4761" w:themeColor="accent1" w:themeShade="BF"/>
      <w:sz w:val="28"/>
      <w:szCs w:val="28"/>
    </w:rPr>
  </w:style>
  <w:style w:type="character" w:customStyle="1" w:styleId="50">
    <w:name w:val="标题 5 字符"/>
    <w:basedOn w:val="a0"/>
    <w:link w:val="5"/>
    <w:uiPriority w:val="9"/>
    <w:semiHidden/>
    <w:rsid w:val="00CC100C"/>
    <w:rPr>
      <w:rFonts w:cstheme="majorBidi"/>
      <w:color w:val="0F4761" w:themeColor="accent1" w:themeShade="BF"/>
      <w:sz w:val="24"/>
    </w:rPr>
  </w:style>
  <w:style w:type="character" w:customStyle="1" w:styleId="60">
    <w:name w:val="标题 6 字符"/>
    <w:basedOn w:val="a0"/>
    <w:link w:val="6"/>
    <w:uiPriority w:val="9"/>
    <w:semiHidden/>
    <w:rsid w:val="00CC100C"/>
    <w:rPr>
      <w:rFonts w:cstheme="majorBidi"/>
      <w:b/>
      <w:bCs/>
      <w:color w:val="0F4761" w:themeColor="accent1" w:themeShade="BF"/>
    </w:rPr>
  </w:style>
  <w:style w:type="character" w:customStyle="1" w:styleId="70">
    <w:name w:val="标题 7 字符"/>
    <w:basedOn w:val="a0"/>
    <w:link w:val="7"/>
    <w:uiPriority w:val="9"/>
    <w:semiHidden/>
    <w:rsid w:val="00CC100C"/>
    <w:rPr>
      <w:rFonts w:cstheme="majorBidi"/>
      <w:b/>
      <w:bCs/>
      <w:color w:val="595959" w:themeColor="text1" w:themeTint="A6"/>
    </w:rPr>
  </w:style>
  <w:style w:type="character" w:customStyle="1" w:styleId="80">
    <w:name w:val="标题 8 字符"/>
    <w:basedOn w:val="a0"/>
    <w:link w:val="8"/>
    <w:uiPriority w:val="9"/>
    <w:semiHidden/>
    <w:rsid w:val="00CC100C"/>
    <w:rPr>
      <w:rFonts w:cstheme="majorBidi"/>
      <w:color w:val="595959" w:themeColor="text1" w:themeTint="A6"/>
    </w:rPr>
  </w:style>
  <w:style w:type="character" w:customStyle="1" w:styleId="90">
    <w:name w:val="标题 9 字符"/>
    <w:basedOn w:val="a0"/>
    <w:link w:val="9"/>
    <w:uiPriority w:val="9"/>
    <w:semiHidden/>
    <w:rsid w:val="00CC100C"/>
    <w:rPr>
      <w:rFonts w:eastAsiaTheme="majorEastAsia" w:cstheme="majorBidi"/>
      <w:color w:val="595959" w:themeColor="text1" w:themeTint="A6"/>
    </w:rPr>
  </w:style>
  <w:style w:type="paragraph" w:styleId="a3">
    <w:name w:val="Title"/>
    <w:basedOn w:val="a"/>
    <w:next w:val="a"/>
    <w:link w:val="a4"/>
    <w:uiPriority w:val="10"/>
    <w:qFormat/>
    <w:rsid w:val="00CC100C"/>
    <w:pPr>
      <w:spacing w:before="0" w:beforeAutospacing="0"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CC10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100C"/>
    <w:pPr>
      <w:numPr>
        <w:ilvl w:val="1"/>
      </w:numPr>
      <w:spacing w:before="0" w:beforeAutospacing="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CC100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C100C"/>
    <w:pPr>
      <w:spacing w:before="160" w:beforeAutospacing="0" w:line="278" w:lineRule="auto"/>
      <w:jc w:val="center"/>
    </w:pPr>
    <w:rPr>
      <w:rFonts w:asciiTheme="minorHAnsi" w:eastAsiaTheme="minorEastAsia" w:hAnsiTheme="minorHAnsi" w:cstheme="minorBidi"/>
      <w:i/>
      <w:iCs/>
      <w:color w:val="404040" w:themeColor="text1" w:themeTint="BF"/>
      <w:szCs w:val="24"/>
      <w14:ligatures w14:val="standardContextual"/>
    </w:rPr>
  </w:style>
  <w:style w:type="character" w:customStyle="1" w:styleId="a8">
    <w:name w:val="引用 字符"/>
    <w:basedOn w:val="a0"/>
    <w:link w:val="a7"/>
    <w:uiPriority w:val="29"/>
    <w:rsid w:val="00CC100C"/>
    <w:rPr>
      <w:i/>
      <w:iCs/>
      <w:color w:val="404040" w:themeColor="text1" w:themeTint="BF"/>
    </w:rPr>
  </w:style>
  <w:style w:type="paragraph" w:styleId="a9">
    <w:name w:val="List Paragraph"/>
    <w:basedOn w:val="a"/>
    <w:uiPriority w:val="34"/>
    <w:qFormat/>
    <w:rsid w:val="00CC100C"/>
    <w:pPr>
      <w:spacing w:before="0" w:beforeAutospacing="0" w:line="278" w:lineRule="auto"/>
      <w:ind w:left="720"/>
      <w:contextualSpacing/>
    </w:pPr>
    <w:rPr>
      <w:rFonts w:asciiTheme="minorHAnsi" w:eastAsiaTheme="minorEastAsia" w:hAnsiTheme="minorHAnsi" w:cstheme="minorBidi"/>
      <w:szCs w:val="24"/>
      <w14:ligatures w14:val="standardContextual"/>
    </w:rPr>
  </w:style>
  <w:style w:type="character" w:styleId="aa">
    <w:name w:val="Intense Emphasis"/>
    <w:basedOn w:val="a0"/>
    <w:uiPriority w:val="21"/>
    <w:qFormat/>
    <w:rsid w:val="00CC100C"/>
    <w:rPr>
      <w:i/>
      <w:iCs/>
      <w:color w:val="0F4761" w:themeColor="accent1" w:themeShade="BF"/>
    </w:rPr>
  </w:style>
  <w:style w:type="paragraph" w:styleId="ab">
    <w:name w:val="Intense Quote"/>
    <w:basedOn w:val="a"/>
    <w:next w:val="a"/>
    <w:link w:val="ac"/>
    <w:uiPriority w:val="30"/>
    <w:qFormat/>
    <w:rsid w:val="00CC100C"/>
    <w:pPr>
      <w:pBdr>
        <w:top w:val="single" w:sz="4" w:space="10" w:color="0F4761" w:themeColor="accent1" w:themeShade="BF"/>
        <w:bottom w:val="single" w:sz="4" w:space="10" w:color="0F4761" w:themeColor="accent1" w:themeShade="BF"/>
      </w:pBdr>
      <w:spacing w:before="360" w:beforeAutospacing="0" w:after="360" w:line="278" w:lineRule="auto"/>
      <w:ind w:left="864" w:right="864"/>
      <w:jc w:val="center"/>
    </w:pPr>
    <w:rPr>
      <w:rFonts w:asciiTheme="minorHAnsi" w:eastAsiaTheme="minorEastAsia" w:hAnsiTheme="minorHAnsi" w:cstheme="minorBidi"/>
      <w:i/>
      <w:iCs/>
      <w:color w:val="0F4761" w:themeColor="accent1" w:themeShade="BF"/>
      <w:szCs w:val="24"/>
      <w14:ligatures w14:val="standardContextual"/>
    </w:rPr>
  </w:style>
  <w:style w:type="character" w:customStyle="1" w:styleId="ac">
    <w:name w:val="明显引用 字符"/>
    <w:basedOn w:val="a0"/>
    <w:link w:val="ab"/>
    <w:uiPriority w:val="30"/>
    <w:rsid w:val="00CC100C"/>
    <w:rPr>
      <w:i/>
      <w:iCs/>
      <w:color w:val="0F4761" w:themeColor="accent1" w:themeShade="BF"/>
    </w:rPr>
  </w:style>
  <w:style w:type="character" w:styleId="ad">
    <w:name w:val="Intense Reference"/>
    <w:basedOn w:val="a0"/>
    <w:uiPriority w:val="32"/>
    <w:qFormat/>
    <w:rsid w:val="00CC100C"/>
    <w:rPr>
      <w:b/>
      <w:bCs/>
      <w:smallCaps/>
      <w:color w:val="0F4761" w:themeColor="accent1" w:themeShade="BF"/>
      <w:spacing w:val="5"/>
    </w:rPr>
  </w:style>
  <w:style w:type="paragraph" w:styleId="ae">
    <w:name w:val="header"/>
    <w:basedOn w:val="a"/>
    <w:link w:val="af"/>
    <w:uiPriority w:val="99"/>
    <w:unhideWhenUsed/>
    <w:rsid w:val="00CB6D0A"/>
    <w:pPr>
      <w:tabs>
        <w:tab w:val="center" w:pos="4153"/>
        <w:tab w:val="right" w:pos="8306"/>
      </w:tabs>
      <w:snapToGrid w:val="0"/>
      <w:spacing w:before="0" w:beforeAutospacing="0" w:line="240" w:lineRule="auto"/>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CB6D0A"/>
    <w:rPr>
      <w:sz w:val="18"/>
      <w:szCs w:val="18"/>
    </w:rPr>
  </w:style>
  <w:style w:type="paragraph" w:styleId="af0">
    <w:name w:val="footer"/>
    <w:basedOn w:val="a"/>
    <w:link w:val="af1"/>
    <w:uiPriority w:val="99"/>
    <w:unhideWhenUsed/>
    <w:rsid w:val="00CB6D0A"/>
    <w:pPr>
      <w:tabs>
        <w:tab w:val="center" w:pos="4153"/>
        <w:tab w:val="right" w:pos="8306"/>
      </w:tabs>
      <w:snapToGrid w:val="0"/>
      <w:spacing w:before="0" w:beforeAutospacing="0" w:line="240" w:lineRule="auto"/>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CB6D0A"/>
    <w:rPr>
      <w:sz w:val="18"/>
      <w:szCs w:val="18"/>
    </w:rPr>
  </w:style>
  <w:style w:type="paragraph" w:styleId="af2">
    <w:name w:val="Revision"/>
    <w:hidden/>
    <w:uiPriority w:val="99"/>
    <w:semiHidden/>
    <w:rsid w:val="00155DEE"/>
    <w:pPr>
      <w:spacing w:after="0" w:line="240" w:lineRule="auto"/>
    </w:pPr>
    <w:rPr>
      <w:rFonts w:ascii="等线" w:eastAsia="等线" w:hAnsi="等线" w:cs="Times New Roman"/>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46180">
      <w:bodyDiv w:val="1"/>
      <w:marLeft w:val="0"/>
      <w:marRight w:val="0"/>
      <w:marTop w:val="0"/>
      <w:marBottom w:val="0"/>
      <w:divBdr>
        <w:top w:val="none" w:sz="0" w:space="0" w:color="auto"/>
        <w:left w:val="none" w:sz="0" w:space="0" w:color="auto"/>
        <w:bottom w:val="none" w:sz="0" w:space="0" w:color="auto"/>
        <w:right w:val="none" w:sz="0" w:space="0" w:color="auto"/>
      </w:divBdr>
    </w:div>
    <w:div w:id="544101816">
      <w:bodyDiv w:val="1"/>
      <w:marLeft w:val="0"/>
      <w:marRight w:val="0"/>
      <w:marTop w:val="0"/>
      <w:marBottom w:val="0"/>
      <w:divBdr>
        <w:top w:val="none" w:sz="0" w:space="0" w:color="auto"/>
        <w:left w:val="none" w:sz="0" w:space="0" w:color="auto"/>
        <w:bottom w:val="none" w:sz="0" w:space="0" w:color="auto"/>
        <w:right w:val="none" w:sz="0" w:space="0" w:color="auto"/>
      </w:divBdr>
    </w:div>
    <w:div w:id="728043473">
      <w:bodyDiv w:val="1"/>
      <w:marLeft w:val="0"/>
      <w:marRight w:val="0"/>
      <w:marTop w:val="0"/>
      <w:marBottom w:val="0"/>
      <w:divBdr>
        <w:top w:val="none" w:sz="0" w:space="0" w:color="auto"/>
        <w:left w:val="none" w:sz="0" w:space="0" w:color="auto"/>
        <w:bottom w:val="none" w:sz="0" w:space="0" w:color="auto"/>
        <w:right w:val="none" w:sz="0" w:space="0" w:color="auto"/>
      </w:divBdr>
    </w:div>
    <w:div w:id="864362513">
      <w:bodyDiv w:val="1"/>
      <w:marLeft w:val="0"/>
      <w:marRight w:val="0"/>
      <w:marTop w:val="0"/>
      <w:marBottom w:val="0"/>
      <w:divBdr>
        <w:top w:val="none" w:sz="0" w:space="0" w:color="auto"/>
        <w:left w:val="none" w:sz="0" w:space="0" w:color="auto"/>
        <w:bottom w:val="none" w:sz="0" w:space="0" w:color="auto"/>
        <w:right w:val="none" w:sz="0" w:space="0" w:color="auto"/>
      </w:divBdr>
    </w:div>
    <w:div w:id="988905462">
      <w:bodyDiv w:val="1"/>
      <w:marLeft w:val="0"/>
      <w:marRight w:val="0"/>
      <w:marTop w:val="0"/>
      <w:marBottom w:val="0"/>
      <w:divBdr>
        <w:top w:val="none" w:sz="0" w:space="0" w:color="auto"/>
        <w:left w:val="none" w:sz="0" w:space="0" w:color="auto"/>
        <w:bottom w:val="none" w:sz="0" w:space="0" w:color="auto"/>
        <w:right w:val="none" w:sz="0" w:space="0" w:color="auto"/>
      </w:divBdr>
    </w:div>
    <w:div w:id="1602837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756</Words>
  <Characters>3823</Characters>
  <Application>Microsoft Office Word</Application>
  <DocSecurity>0</DocSecurity>
  <Lines>54</Lines>
  <Paragraphs>8</Paragraphs>
  <ScaleCrop>false</ScaleCrop>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hh1361</dc:creator>
  <cp:keywords/>
  <dc:description/>
  <cp:lastModifiedBy>hh1361</cp:lastModifiedBy>
  <cp:revision>5</cp:revision>
  <dcterms:created xsi:type="dcterms:W3CDTF">2025-06-06T09:57:00Z</dcterms:created>
  <dcterms:modified xsi:type="dcterms:W3CDTF">2025-07-27T07:39:00Z</dcterms:modified>
</cp:coreProperties>
</file>