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014" w:rsidRPr="00ED2C1F" w:rsidRDefault="003D2014" w:rsidP="003D2014">
      <w:pPr>
        <w:rPr>
          <w:rFonts w:ascii="Times New Roman" w:eastAsia="宋体" w:hAnsi="Times New Roman" w:cs="Times New Roman"/>
          <w:b/>
          <w:color w:val="000000"/>
          <w:szCs w:val="21"/>
        </w:rPr>
      </w:pPr>
      <w:bookmarkStart w:id="0" w:name="_Hlk68011847"/>
      <w:r w:rsidRPr="00ED2C1F">
        <w:rPr>
          <w:rFonts w:ascii="Times New Roman" w:eastAsia="宋体" w:hAnsi="Times New Roman" w:cs="Times New Roman"/>
          <w:b/>
          <w:color w:val="000000"/>
          <w:szCs w:val="21"/>
        </w:rPr>
        <w:t>Supplemental Information</w:t>
      </w:r>
    </w:p>
    <w:p w:rsidR="003D2014" w:rsidRPr="00ED2C1F" w:rsidRDefault="003D2014" w:rsidP="003D2014">
      <w:pPr>
        <w:rPr>
          <w:rFonts w:ascii="Times New Roman" w:eastAsia="宋体" w:hAnsi="Times New Roman" w:cs="Times New Roman"/>
          <w:b/>
          <w:color w:val="000000"/>
          <w:szCs w:val="21"/>
        </w:rPr>
      </w:pPr>
    </w:p>
    <w:p w:rsidR="003D2014" w:rsidRPr="00ED2C1F" w:rsidRDefault="003D2014" w:rsidP="003D2014">
      <w:pPr>
        <w:rPr>
          <w:rFonts w:ascii="Times New Roman" w:eastAsia="宋体" w:hAnsi="Times New Roman" w:cs="Times New Roman"/>
          <w:b/>
          <w:color w:val="000000"/>
          <w:szCs w:val="21"/>
        </w:rPr>
      </w:pPr>
      <w:r w:rsidRPr="00ED2C1F">
        <w:rPr>
          <w:rFonts w:ascii="Times New Roman" w:eastAsia="宋体" w:hAnsi="Times New Roman" w:cs="Times New Roman"/>
          <w:b/>
          <w:color w:val="000000"/>
          <w:szCs w:val="21"/>
        </w:rPr>
        <w:t>Supplemental Figure</w:t>
      </w:r>
      <w:bookmarkEnd w:id="0"/>
      <w:r w:rsidRPr="00ED2C1F">
        <w:rPr>
          <w:rFonts w:ascii="Times New Roman" w:eastAsia="宋体" w:hAnsi="Times New Roman" w:cs="Times New Roman"/>
          <w:b/>
          <w:color w:val="000000"/>
          <w:szCs w:val="21"/>
        </w:rPr>
        <w:t>s and Legends</w:t>
      </w:r>
    </w:p>
    <w:p w:rsidR="000952EF" w:rsidRPr="00ED2C1F" w:rsidRDefault="004E27AC">
      <w:r w:rsidRPr="00ED2C1F">
        <w:rPr>
          <w:noProof/>
        </w:rPr>
        <w:drawing>
          <wp:inline distT="0" distB="0" distL="0" distR="0">
            <wp:extent cx="5266055" cy="6684645"/>
            <wp:effectExtent l="19050" t="0" r="0" b="0"/>
            <wp:docPr id="7" name="图片 1" descr="C:\Users\LmtLab\Desktop\返修-小CDD20251023\delete\补充材料图\TIF补充图1023-1\Fig.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mtLab\Desktop\返修-小CDD20251023\delete\补充材料图\TIF补充图1023-1\Fig.S1.tif"/>
                    <pic:cNvPicPr>
                      <a:picLocks noChangeAspect="1" noChangeArrowheads="1"/>
                    </pic:cNvPicPr>
                  </pic:nvPicPr>
                  <pic:blipFill>
                    <a:blip r:embed="rId6" cstate="print"/>
                    <a:srcRect/>
                    <a:stretch>
                      <a:fillRect/>
                    </a:stretch>
                  </pic:blipFill>
                  <pic:spPr bwMode="auto">
                    <a:xfrm>
                      <a:off x="0" y="0"/>
                      <a:ext cx="5266055" cy="6684645"/>
                    </a:xfrm>
                    <a:prstGeom prst="rect">
                      <a:avLst/>
                    </a:prstGeom>
                    <a:noFill/>
                    <a:ln w="9525">
                      <a:noFill/>
                      <a:miter lim="800000"/>
                      <a:headEnd/>
                      <a:tailEnd/>
                    </a:ln>
                  </pic:spPr>
                </pic:pic>
              </a:graphicData>
            </a:graphic>
          </wp:inline>
        </w:drawing>
      </w:r>
    </w:p>
    <w:p w:rsidR="003D2014" w:rsidRPr="00ED2C1F" w:rsidRDefault="003D2014"/>
    <w:p w:rsidR="003D2014" w:rsidRPr="00ED2C1F" w:rsidRDefault="003D2014" w:rsidP="003D2014">
      <w:pPr>
        <w:widowControl/>
        <w:rPr>
          <w:rFonts w:ascii="Times New Roman" w:hAnsi="Times New Roman" w:cs="Times New Roman"/>
        </w:rPr>
      </w:pPr>
      <w:r w:rsidRPr="00ED2C1F">
        <w:rPr>
          <w:rFonts w:ascii="Times New Roman" w:hAnsi="Times New Roman" w:cs="Times New Roman"/>
          <w:b/>
          <w:bCs/>
        </w:rPr>
        <w:t>Fig. S1 FUT2 synergistically enhances pancreatic cancer cell death following radiotherapy.</w:t>
      </w:r>
      <w:r w:rsidRPr="00ED2C1F">
        <w:rPr>
          <w:rFonts w:ascii="Times New Roman" w:hAnsi="Times New Roman" w:cs="Times New Roman"/>
        </w:rPr>
        <w:t xml:space="preserve"> (</w:t>
      </w:r>
      <w:r w:rsidRPr="00ED2C1F">
        <w:rPr>
          <w:rFonts w:ascii="Times New Roman" w:hAnsi="Times New Roman" w:cs="Times New Roman"/>
          <w:b/>
          <w:bCs/>
        </w:rPr>
        <w:t xml:space="preserve">A </w:t>
      </w:r>
      <w:r w:rsidRPr="00ED2C1F">
        <w:rPr>
          <w:rFonts w:ascii="Times New Roman" w:hAnsi="Times New Roman" w:cs="Times New Roman"/>
        </w:rPr>
        <w:t>to</w:t>
      </w:r>
      <w:r w:rsidRPr="00ED2C1F">
        <w:rPr>
          <w:rFonts w:ascii="Times New Roman" w:hAnsi="Times New Roman" w:cs="Times New Roman"/>
          <w:b/>
          <w:bCs/>
        </w:rPr>
        <w:t xml:space="preserve"> C</w:t>
      </w:r>
      <w:r w:rsidRPr="00ED2C1F">
        <w:rPr>
          <w:rFonts w:ascii="Times New Roman" w:hAnsi="Times New Roman" w:cs="Times New Roman"/>
        </w:rPr>
        <w:t>) Quality check of evenness of sgRNA reads (A), missed sgRNAs (B) and mapping ratio (C) of the in vivo CRISPR screening data. (</w:t>
      </w:r>
      <w:r w:rsidRPr="00ED2C1F">
        <w:rPr>
          <w:rFonts w:ascii="Times New Roman" w:hAnsi="Times New Roman" w:cs="Times New Roman"/>
          <w:b/>
          <w:bCs/>
        </w:rPr>
        <w:t>D</w:t>
      </w:r>
      <w:r w:rsidRPr="00ED2C1F">
        <w:rPr>
          <w:rFonts w:ascii="Times New Roman" w:hAnsi="Times New Roman" w:cs="Times New Roman"/>
        </w:rPr>
        <w:t>) Overexpression of FUT2 in KPC cells was confirmed by immunoblotting analysis. (</w:t>
      </w:r>
      <w:r w:rsidRPr="00ED2C1F">
        <w:rPr>
          <w:rFonts w:ascii="Times New Roman" w:hAnsi="Times New Roman" w:cs="Times New Roman"/>
          <w:b/>
          <w:bCs/>
        </w:rPr>
        <w:t xml:space="preserve">E </w:t>
      </w:r>
      <w:r w:rsidRPr="00ED2C1F">
        <w:rPr>
          <w:rFonts w:ascii="Times New Roman" w:hAnsi="Times New Roman" w:cs="Times New Roman"/>
        </w:rPr>
        <w:t>and</w:t>
      </w:r>
      <w:r w:rsidRPr="00ED2C1F">
        <w:rPr>
          <w:rFonts w:ascii="Times New Roman" w:hAnsi="Times New Roman" w:cs="Times New Roman"/>
          <w:b/>
          <w:bCs/>
        </w:rPr>
        <w:t xml:space="preserve"> F</w:t>
      </w:r>
      <w:r w:rsidRPr="00ED2C1F">
        <w:rPr>
          <w:rFonts w:ascii="Times New Roman" w:hAnsi="Times New Roman" w:cs="Times New Roman"/>
        </w:rPr>
        <w:t>) Subcutaneous transplantation of EV- or FUT2-overexpressing KPC cells into C57BL/6 mice and the mice were then treated with or without RT at 14th day. Tumor images are shown (E). Tumor weight was measured (F). (</w:t>
      </w:r>
      <w:r w:rsidRPr="00ED2C1F">
        <w:rPr>
          <w:rFonts w:ascii="Times New Roman" w:hAnsi="Times New Roman" w:cs="Times New Roman"/>
          <w:b/>
          <w:bCs/>
        </w:rPr>
        <w:t>G</w:t>
      </w:r>
      <w:r w:rsidRPr="00ED2C1F">
        <w:rPr>
          <w:rFonts w:ascii="Times New Roman" w:hAnsi="Times New Roman" w:cs="Times New Roman"/>
        </w:rPr>
        <w:t>)</w:t>
      </w:r>
      <w:r w:rsidRPr="00ED2C1F">
        <w:rPr>
          <w:rFonts w:ascii="Times New Roman" w:hAnsi="Times New Roman" w:cs="Times New Roman"/>
          <w:b/>
          <w:bCs/>
        </w:rPr>
        <w:t xml:space="preserve"> </w:t>
      </w:r>
      <w:r w:rsidRPr="00ED2C1F">
        <w:rPr>
          <w:rFonts w:ascii="Times New Roman" w:hAnsi="Times New Roman" w:cs="Times New Roman"/>
        </w:rPr>
        <w:lastRenderedPageBreak/>
        <w:t>Representative images of colony formation of KPC cells overexpressing EV or FUT2 following exposure to varying doses of RT. (</w:t>
      </w:r>
      <w:r w:rsidRPr="00ED2C1F">
        <w:rPr>
          <w:rFonts w:ascii="Times New Roman" w:hAnsi="Times New Roman" w:cs="Times New Roman"/>
          <w:b/>
          <w:bCs/>
        </w:rPr>
        <w:t xml:space="preserve">H </w:t>
      </w:r>
      <w:r w:rsidRPr="00ED2C1F">
        <w:rPr>
          <w:rFonts w:ascii="Times New Roman" w:hAnsi="Times New Roman" w:cs="Times New Roman"/>
        </w:rPr>
        <w:t>and</w:t>
      </w:r>
      <w:r w:rsidRPr="00ED2C1F">
        <w:rPr>
          <w:rFonts w:ascii="Times New Roman" w:hAnsi="Times New Roman" w:cs="Times New Roman"/>
          <w:b/>
          <w:bCs/>
        </w:rPr>
        <w:t xml:space="preserve"> I</w:t>
      </w:r>
      <w:r w:rsidRPr="00ED2C1F">
        <w:rPr>
          <w:rFonts w:ascii="Times New Roman" w:hAnsi="Times New Roman" w:cs="Times New Roman"/>
        </w:rPr>
        <w:t>)</w:t>
      </w:r>
      <w:r w:rsidRPr="00ED2C1F">
        <w:rPr>
          <w:rFonts w:ascii="Times New Roman" w:hAnsi="Times New Roman" w:cs="Times New Roman"/>
          <w:b/>
          <w:bCs/>
        </w:rPr>
        <w:t xml:space="preserve"> </w:t>
      </w:r>
      <w:r w:rsidRPr="00ED2C1F">
        <w:rPr>
          <w:rFonts w:ascii="Times New Roman" w:hAnsi="Times New Roman" w:cs="Times New Roman"/>
        </w:rPr>
        <w:t xml:space="preserve">Subcutaneous transplantation of EV- or FUT2-overexpressing KPC cells into C57BL/6 mice and the mice were then treated with or without RT at 14th day. Representative images of </w:t>
      </w:r>
      <w:r w:rsidRPr="00ED2C1F">
        <w:rPr>
          <w:rFonts w:ascii="Times New Roman" w:hAnsi="Times New Roman" w:cs="Times New Roman" w:hint="eastAsia"/>
        </w:rPr>
        <w:t>Ki67, TUNEL, cleaved caspase-3 and FUT2</w:t>
      </w:r>
      <w:r w:rsidRPr="00ED2C1F">
        <w:rPr>
          <w:rFonts w:ascii="Times New Roman" w:hAnsi="Times New Roman" w:cs="Times New Roman"/>
        </w:rPr>
        <w:t xml:space="preserve"> staining of tumor (H) and flow cytometry (I) are shown. Scale bar, 100 μm. (</w:t>
      </w:r>
      <w:r w:rsidRPr="00ED2C1F">
        <w:rPr>
          <w:rFonts w:ascii="Times New Roman" w:hAnsi="Times New Roman" w:cs="Times New Roman"/>
          <w:b/>
          <w:bCs/>
        </w:rPr>
        <w:t>J</w:t>
      </w:r>
      <w:r w:rsidRPr="00ED2C1F">
        <w:rPr>
          <w:rFonts w:ascii="Times New Roman" w:hAnsi="Times New Roman" w:cs="Times New Roman"/>
        </w:rPr>
        <w:t>) Enzymatically dead FUT2 (FUT2-ED) was constructed by introducing point mutations V206G, T288N and A300T into wild-type FUT2 (FUT2-WT). The relative enzyme activity of FUT2 ED was measured compared with WT in KPC cells. (</w:t>
      </w:r>
      <w:r w:rsidRPr="00ED2C1F">
        <w:rPr>
          <w:rFonts w:ascii="Times New Roman" w:hAnsi="Times New Roman" w:cs="Times New Roman"/>
          <w:b/>
          <w:bCs/>
        </w:rPr>
        <w:t>K</w:t>
      </w:r>
      <w:r w:rsidRPr="00ED2C1F">
        <w:rPr>
          <w:rFonts w:ascii="Times New Roman" w:hAnsi="Times New Roman" w:cs="Times New Roman"/>
        </w:rPr>
        <w:t>) Representative images of colony formation of KPC cells overexpressing EV, FUT2 WT, or ED following exposure to varying doses of RT. (</w:t>
      </w:r>
      <w:r w:rsidRPr="00ED2C1F">
        <w:rPr>
          <w:rFonts w:ascii="Times New Roman" w:hAnsi="Times New Roman" w:cs="Times New Roman"/>
          <w:b/>
          <w:bCs/>
        </w:rPr>
        <w:t>L</w:t>
      </w:r>
      <w:r w:rsidRPr="00ED2C1F">
        <w:rPr>
          <w:rFonts w:ascii="Times New Roman" w:hAnsi="Times New Roman" w:cs="Times New Roman"/>
        </w:rPr>
        <w:t>) Overexpression of FUT2 WT or ED in KPC cells was confirmed by immunoblotting analysis. (</w:t>
      </w:r>
      <w:r w:rsidRPr="00ED2C1F">
        <w:rPr>
          <w:rFonts w:ascii="Times New Roman" w:hAnsi="Times New Roman" w:cs="Times New Roman"/>
          <w:b/>
          <w:bCs/>
        </w:rPr>
        <w:t xml:space="preserve">M </w:t>
      </w:r>
      <w:r w:rsidRPr="00ED2C1F">
        <w:rPr>
          <w:rFonts w:ascii="Times New Roman" w:hAnsi="Times New Roman" w:cs="Times New Roman"/>
        </w:rPr>
        <w:t>to</w:t>
      </w:r>
      <w:r w:rsidRPr="00ED2C1F">
        <w:rPr>
          <w:rFonts w:ascii="Times New Roman" w:hAnsi="Times New Roman" w:cs="Times New Roman"/>
          <w:b/>
          <w:bCs/>
        </w:rPr>
        <w:t xml:space="preserve"> P</w:t>
      </w:r>
      <w:r w:rsidRPr="00ED2C1F">
        <w:rPr>
          <w:rFonts w:ascii="Times New Roman" w:hAnsi="Times New Roman" w:cs="Times New Roman"/>
        </w:rPr>
        <w:t>) Subcutaneous transplantation of EV-, FUT2 WT-, or ED-overexpressing KPC cells into C57BL/6 mice and the mice were then treated with RT at 14th day. Tumor images (M), measurement of tumor weight (N), representative images of Ki67 and TUNEL staining (O), representative images of flow cytometry (P) are shown. Scale bar, 100 μm. (</w:t>
      </w:r>
      <w:r w:rsidRPr="00ED2C1F">
        <w:rPr>
          <w:rFonts w:ascii="Times New Roman" w:hAnsi="Times New Roman" w:cs="Times New Roman"/>
          <w:b/>
          <w:bCs/>
        </w:rPr>
        <w:t xml:space="preserve">Q </w:t>
      </w:r>
      <w:r w:rsidRPr="00ED2C1F">
        <w:rPr>
          <w:rFonts w:ascii="Times New Roman" w:hAnsi="Times New Roman" w:cs="Times New Roman"/>
        </w:rPr>
        <w:t>to</w:t>
      </w:r>
      <w:r w:rsidRPr="00ED2C1F">
        <w:rPr>
          <w:rFonts w:ascii="Times New Roman" w:hAnsi="Times New Roman" w:cs="Times New Roman"/>
          <w:b/>
          <w:bCs/>
        </w:rPr>
        <w:t xml:space="preserve"> S</w:t>
      </w:r>
      <w:r w:rsidRPr="00ED2C1F">
        <w:rPr>
          <w:rFonts w:ascii="Times New Roman" w:hAnsi="Times New Roman" w:cs="Times New Roman"/>
        </w:rPr>
        <w:t>) KPC cells expressing shNT, shFUT2, and shFUT2 rescued with rFUT2 WT or ED were subcutaneously injected to C57BL/6 mice that were then treated with RT at 14th day. Immunoblotting analyses of indicated proteins (Q). Tumor volumes (R) and tumor weight (S) were measured. *</w:t>
      </w:r>
      <w:r w:rsidRPr="00ED2C1F">
        <w:rPr>
          <w:rFonts w:ascii="Times New Roman" w:hAnsi="Times New Roman" w:cs="Times New Roman"/>
          <w:i/>
          <w:iCs/>
        </w:rPr>
        <w:t>p</w:t>
      </w:r>
      <w:r w:rsidRPr="00ED2C1F">
        <w:rPr>
          <w:rFonts w:ascii="Times New Roman" w:hAnsi="Times New Roman" w:cs="Times New Roman"/>
        </w:rPr>
        <w:t xml:space="preserve"> &lt; 0.05; **</w:t>
      </w:r>
      <w:r w:rsidRPr="00ED2C1F">
        <w:rPr>
          <w:rFonts w:ascii="Times New Roman" w:hAnsi="Times New Roman" w:cs="Times New Roman"/>
          <w:i/>
          <w:iCs/>
        </w:rPr>
        <w:t>p</w:t>
      </w:r>
      <w:r w:rsidRPr="00ED2C1F">
        <w:rPr>
          <w:rFonts w:ascii="Times New Roman" w:hAnsi="Times New Roman" w:cs="Times New Roman"/>
        </w:rPr>
        <w:t xml:space="preserve"> &lt; 0.01; ***</w:t>
      </w:r>
      <w:r w:rsidRPr="00ED2C1F">
        <w:rPr>
          <w:rFonts w:ascii="Times New Roman" w:hAnsi="Times New Roman" w:cs="Times New Roman"/>
          <w:i/>
          <w:iCs/>
        </w:rPr>
        <w:t>p</w:t>
      </w:r>
      <w:r w:rsidRPr="00ED2C1F">
        <w:rPr>
          <w:rFonts w:ascii="Times New Roman" w:hAnsi="Times New Roman" w:cs="Times New Roman"/>
        </w:rPr>
        <w:t xml:space="preserve"> &lt; 0.001; ****</w:t>
      </w:r>
      <w:r w:rsidRPr="00ED2C1F">
        <w:rPr>
          <w:rFonts w:ascii="Times New Roman" w:hAnsi="Times New Roman" w:cs="Times New Roman"/>
          <w:i/>
          <w:iCs/>
        </w:rPr>
        <w:t>p</w:t>
      </w:r>
      <w:r w:rsidRPr="00ED2C1F">
        <w:rPr>
          <w:rFonts w:ascii="Times New Roman" w:hAnsi="Times New Roman" w:cs="Times New Roman"/>
        </w:rPr>
        <w:t xml:space="preserve"> &lt; 0.0001; N.S., not significant; two-way ANOVA [(</w:t>
      </w:r>
      <w:r w:rsidRPr="00ED2C1F">
        <w:rPr>
          <w:rFonts w:ascii="Times New Roman" w:hAnsi="Times New Roman" w:cs="Times New Roman"/>
          <w:b/>
          <w:bCs/>
        </w:rPr>
        <w:t>F</w:t>
      </w:r>
      <w:r w:rsidRPr="00ED2C1F">
        <w:rPr>
          <w:rFonts w:ascii="Times New Roman" w:hAnsi="Times New Roman" w:cs="Times New Roman"/>
        </w:rPr>
        <w:t>), (</w:t>
      </w:r>
      <w:r w:rsidRPr="00ED2C1F">
        <w:rPr>
          <w:rFonts w:ascii="Times New Roman" w:hAnsi="Times New Roman" w:cs="Times New Roman"/>
          <w:b/>
          <w:bCs/>
        </w:rPr>
        <w:t>N</w:t>
      </w:r>
      <w:r w:rsidRPr="00ED2C1F">
        <w:rPr>
          <w:rFonts w:ascii="Times New Roman" w:hAnsi="Times New Roman" w:cs="Times New Roman"/>
        </w:rPr>
        <w:t>), (</w:t>
      </w:r>
      <w:r w:rsidRPr="00ED2C1F">
        <w:rPr>
          <w:rFonts w:ascii="Times New Roman" w:hAnsi="Times New Roman" w:cs="Times New Roman"/>
          <w:b/>
          <w:bCs/>
        </w:rPr>
        <w:t>R</w:t>
      </w:r>
      <w:r w:rsidRPr="00ED2C1F">
        <w:rPr>
          <w:rFonts w:ascii="Times New Roman" w:hAnsi="Times New Roman" w:cs="Times New Roman"/>
        </w:rPr>
        <w:t>) and (</w:t>
      </w:r>
      <w:r w:rsidRPr="00ED2C1F">
        <w:rPr>
          <w:rFonts w:ascii="Times New Roman" w:hAnsi="Times New Roman" w:cs="Times New Roman"/>
          <w:b/>
          <w:bCs/>
        </w:rPr>
        <w:t>S</w:t>
      </w:r>
      <w:r w:rsidRPr="00ED2C1F">
        <w:rPr>
          <w:rFonts w:ascii="Times New Roman" w:hAnsi="Times New Roman" w:cs="Times New Roman"/>
        </w:rPr>
        <w:t>)] or Two tailed Student’s t test (</w:t>
      </w:r>
      <w:r w:rsidRPr="00ED2C1F">
        <w:rPr>
          <w:rFonts w:ascii="Times New Roman" w:hAnsi="Times New Roman" w:cs="Times New Roman"/>
          <w:b/>
          <w:bCs/>
        </w:rPr>
        <w:t>J</w:t>
      </w:r>
      <w:r w:rsidRPr="00ED2C1F">
        <w:rPr>
          <w:rFonts w:ascii="Times New Roman" w:hAnsi="Times New Roman" w:cs="Times New Roman"/>
        </w:rPr>
        <w:t>).</w:t>
      </w:r>
    </w:p>
    <w:p w:rsidR="003D2014" w:rsidRPr="00ED2C1F" w:rsidRDefault="003D2014"/>
    <w:p w:rsidR="003D2014" w:rsidRPr="00ED2C1F" w:rsidRDefault="004E27AC">
      <w:r w:rsidRPr="00ED2C1F">
        <w:rPr>
          <w:noProof/>
        </w:rPr>
        <w:drawing>
          <wp:inline distT="0" distB="0" distL="0" distR="0">
            <wp:extent cx="5271135" cy="6029325"/>
            <wp:effectExtent l="19050" t="0" r="5715" b="0"/>
            <wp:docPr id="8" name="图片 2" descr="C:\Users\LmtLab\Desktop\返修-小CDD20251023\delete\补充材料图\TIF补充图1023-1\Fig.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mtLab\Desktop\返修-小CDD20251023\delete\补充材料图\TIF补充图1023-1\Fig.S2.tif"/>
                    <pic:cNvPicPr>
                      <a:picLocks noChangeAspect="1" noChangeArrowheads="1"/>
                    </pic:cNvPicPr>
                  </pic:nvPicPr>
                  <pic:blipFill>
                    <a:blip r:embed="rId7" cstate="print"/>
                    <a:srcRect/>
                    <a:stretch>
                      <a:fillRect/>
                    </a:stretch>
                  </pic:blipFill>
                  <pic:spPr bwMode="auto">
                    <a:xfrm>
                      <a:off x="0" y="0"/>
                      <a:ext cx="5271135" cy="6029325"/>
                    </a:xfrm>
                    <a:prstGeom prst="rect">
                      <a:avLst/>
                    </a:prstGeom>
                    <a:noFill/>
                    <a:ln w="9525">
                      <a:noFill/>
                      <a:miter lim="800000"/>
                      <a:headEnd/>
                      <a:tailEnd/>
                    </a:ln>
                  </pic:spPr>
                </pic:pic>
              </a:graphicData>
            </a:graphic>
          </wp:inline>
        </w:drawing>
      </w:r>
    </w:p>
    <w:p w:rsidR="003D2014" w:rsidRPr="00ED2C1F" w:rsidRDefault="003D2014"/>
    <w:p w:rsidR="003D2014" w:rsidRPr="00ED2C1F" w:rsidRDefault="003D2014" w:rsidP="003D2014">
      <w:pPr>
        <w:widowControl/>
        <w:rPr>
          <w:rFonts w:ascii="Times New Roman" w:hAnsi="Times New Roman" w:cs="Times New Roman"/>
        </w:rPr>
      </w:pPr>
      <w:r w:rsidRPr="00ED2C1F">
        <w:rPr>
          <w:rFonts w:ascii="Times New Roman" w:hAnsi="Times New Roman" w:cs="Times New Roman"/>
          <w:b/>
          <w:bCs/>
        </w:rPr>
        <w:t>Fig. S2 FUT2 enhances radiotherapy efficacy by suppressing LCN2 expression.</w:t>
      </w:r>
      <w:r w:rsidRPr="00ED2C1F">
        <w:rPr>
          <w:rFonts w:ascii="Times New Roman" w:hAnsi="Times New Roman" w:cs="Times New Roman"/>
        </w:rPr>
        <w:t xml:space="preserve"> (</w:t>
      </w:r>
      <w:r w:rsidRPr="00ED2C1F">
        <w:rPr>
          <w:rFonts w:ascii="Times New Roman" w:hAnsi="Times New Roman" w:cs="Times New Roman"/>
          <w:b/>
          <w:bCs/>
        </w:rPr>
        <w:t>A</w:t>
      </w:r>
      <w:r w:rsidRPr="00ED2C1F">
        <w:rPr>
          <w:rFonts w:ascii="Times New Roman" w:hAnsi="Times New Roman" w:cs="Times New Roman"/>
        </w:rPr>
        <w:t>) Expression levels of LCN2 mRNA were measured in PANC-1 cells overexpressing EV, FUT2 WT, or ED in the absence or presence of RT</w:t>
      </w:r>
      <w:r w:rsidRPr="00ED2C1F">
        <w:rPr>
          <w:rFonts w:ascii="Times New Roman" w:hAnsi="Times New Roman" w:cs="Times New Roman" w:hint="eastAsia"/>
        </w:rPr>
        <w:t>, with samples collected 12 hours post-RT</w:t>
      </w:r>
      <w:r w:rsidRPr="00ED2C1F">
        <w:rPr>
          <w:rFonts w:ascii="Times New Roman" w:hAnsi="Times New Roman" w:cs="Times New Roman"/>
        </w:rPr>
        <w:t>. (</w:t>
      </w:r>
      <w:r w:rsidRPr="00ED2C1F">
        <w:rPr>
          <w:rFonts w:ascii="Times New Roman" w:hAnsi="Times New Roman" w:cs="Times New Roman"/>
          <w:b/>
          <w:bCs/>
        </w:rPr>
        <w:t>B</w:t>
      </w:r>
      <w:r w:rsidRPr="00ED2C1F">
        <w:rPr>
          <w:rFonts w:ascii="Times New Roman" w:hAnsi="Times New Roman" w:cs="Times New Roman"/>
        </w:rPr>
        <w:t>) Expression levels of LCN2 mRNA were measured in KPC and PANC-1 cells expressing shNT or shFUT2 in the absence or presence of RT</w:t>
      </w:r>
      <w:r w:rsidRPr="00ED2C1F">
        <w:rPr>
          <w:rFonts w:ascii="Times New Roman" w:hAnsi="Times New Roman" w:cs="Times New Roman" w:hint="eastAsia"/>
        </w:rPr>
        <w:t>, with samples collected 12 hours post-RT</w:t>
      </w:r>
      <w:r w:rsidRPr="00ED2C1F">
        <w:rPr>
          <w:rFonts w:ascii="Times New Roman" w:hAnsi="Times New Roman" w:cs="Times New Roman"/>
        </w:rPr>
        <w:t>. (</w:t>
      </w:r>
      <w:r w:rsidRPr="00ED2C1F">
        <w:rPr>
          <w:rFonts w:ascii="Times New Roman" w:hAnsi="Times New Roman" w:cs="Times New Roman"/>
          <w:b/>
          <w:bCs/>
        </w:rPr>
        <w:t>C</w:t>
      </w:r>
      <w:r w:rsidRPr="00ED2C1F">
        <w:rPr>
          <w:rFonts w:ascii="Times New Roman" w:hAnsi="Times New Roman" w:cs="Times New Roman"/>
        </w:rPr>
        <w:t>) Immunoblotting analyses of indicated proteins in PANC-1 cells overexpressing EV, FUT2 WT, or ED</w:t>
      </w:r>
      <w:r w:rsidRPr="00ED2C1F">
        <w:rPr>
          <w:rFonts w:ascii="Times New Roman" w:hAnsi="Times New Roman" w:cs="Times New Roman" w:hint="eastAsia"/>
        </w:rPr>
        <w:t xml:space="preserve"> at 24 hours post-RT</w:t>
      </w:r>
      <w:r w:rsidRPr="00ED2C1F">
        <w:rPr>
          <w:rFonts w:ascii="Times New Roman" w:hAnsi="Times New Roman" w:cs="Times New Roman"/>
        </w:rPr>
        <w:t>. (</w:t>
      </w:r>
      <w:r w:rsidRPr="00ED2C1F">
        <w:rPr>
          <w:rFonts w:ascii="Times New Roman" w:hAnsi="Times New Roman" w:cs="Times New Roman"/>
          <w:b/>
          <w:bCs/>
        </w:rPr>
        <w:t>D</w:t>
      </w:r>
      <w:r w:rsidRPr="00ED2C1F">
        <w:rPr>
          <w:rFonts w:ascii="Times New Roman" w:hAnsi="Times New Roman" w:cs="Times New Roman"/>
        </w:rPr>
        <w:t>) Immunoblotting analyses of indicated proteins in PANC-1 cells expressing shNT, shFUT2, and shFUT2 rescued with rFUT2 WT or ED. (</w:t>
      </w:r>
      <w:r w:rsidRPr="00ED2C1F">
        <w:rPr>
          <w:rFonts w:ascii="Times New Roman" w:hAnsi="Times New Roman" w:cs="Times New Roman"/>
          <w:b/>
          <w:bCs/>
        </w:rPr>
        <w:t xml:space="preserve">E </w:t>
      </w:r>
      <w:r w:rsidRPr="00ED2C1F">
        <w:rPr>
          <w:rFonts w:ascii="Times New Roman" w:hAnsi="Times New Roman" w:cs="Times New Roman"/>
        </w:rPr>
        <w:t>to</w:t>
      </w:r>
      <w:r w:rsidRPr="00ED2C1F">
        <w:rPr>
          <w:rFonts w:ascii="Times New Roman" w:hAnsi="Times New Roman" w:cs="Times New Roman"/>
          <w:b/>
          <w:bCs/>
        </w:rPr>
        <w:t xml:space="preserve"> H</w:t>
      </w:r>
      <w:r w:rsidRPr="00ED2C1F">
        <w:rPr>
          <w:rFonts w:ascii="Times New Roman" w:hAnsi="Times New Roman" w:cs="Times New Roman"/>
        </w:rPr>
        <w:t>) Subcutaneous transplantation of EV or FUT2-overexpressing KPC cells into C57BL/6 mice that were then treated with RT at 14th day. Exogenous LCN2 supplementation was performed as described in the supplementary methods. Tumor images (E), Tumor weight (F), representative images of Ki67 and TUNEL staining (G), representative images of flow cytometry (H) are shown. Scale bar, 100 μm.</w:t>
      </w:r>
      <w:r w:rsidRPr="00ED2C1F">
        <w:rPr>
          <w:rFonts w:ascii="Times New Roman" w:hAnsi="Times New Roman" w:cs="Times New Roman"/>
          <w:b/>
          <w:bCs/>
        </w:rPr>
        <w:t xml:space="preserve"> </w:t>
      </w:r>
      <w:r w:rsidRPr="00ED2C1F">
        <w:rPr>
          <w:rFonts w:ascii="Times New Roman" w:hAnsi="Times New Roman" w:cs="Times New Roman"/>
        </w:rPr>
        <w:t>(</w:t>
      </w:r>
      <w:r w:rsidRPr="00ED2C1F">
        <w:rPr>
          <w:rFonts w:ascii="Times New Roman" w:hAnsi="Times New Roman" w:cs="Times New Roman"/>
          <w:b/>
          <w:bCs/>
        </w:rPr>
        <w:t xml:space="preserve">I </w:t>
      </w:r>
      <w:r w:rsidRPr="00ED2C1F">
        <w:rPr>
          <w:rFonts w:ascii="Times New Roman" w:hAnsi="Times New Roman" w:cs="Times New Roman"/>
        </w:rPr>
        <w:t>to</w:t>
      </w:r>
      <w:r w:rsidRPr="00ED2C1F">
        <w:rPr>
          <w:rFonts w:ascii="Times New Roman" w:hAnsi="Times New Roman" w:cs="Times New Roman"/>
          <w:b/>
          <w:bCs/>
        </w:rPr>
        <w:t xml:space="preserve"> </w:t>
      </w:r>
      <w:r w:rsidRPr="00ED2C1F">
        <w:rPr>
          <w:rFonts w:ascii="Times New Roman" w:hAnsi="Times New Roman" w:cs="Times New Roman" w:hint="eastAsia"/>
          <w:b/>
          <w:bCs/>
        </w:rPr>
        <w:t>M</w:t>
      </w:r>
      <w:r w:rsidRPr="00ED2C1F">
        <w:rPr>
          <w:rFonts w:ascii="Times New Roman" w:hAnsi="Times New Roman" w:cs="Times New Roman"/>
        </w:rPr>
        <w:t>) KPC cells were subcutaneously transplanted into C57BL/6 mice that were then treated with RT or LCN2 neutralizing antibodies as described in the supplementary methods</w:t>
      </w:r>
      <w:r w:rsidRPr="00ED2C1F">
        <w:rPr>
          <w:rFonts w:ascii="Times New Roman" w:hAnsi="Times New Roman" w:cs="Times New Roman" w:hint="eastAsia"/>
        </w:rPr>
        <w:t xml:space="preserve">. </w:t>
      </w:r>
      <w:r w:rsidRPr="00ED2C1F">
        <w:rPr>
          <w:rFonts w:ascii="Times New Roman" w:hAnsi="Times New Roman" w:cs="Times New Roman"/>
        </w:rPr>
        <w:t>ELISA of secretory LCN2 in the tumor tissues</w:t>
      </w:r>
      <w:r w:rsidRPr="00ED2C1F">
        <w:rPr>
          <w:rFonts w:ascii="Times New Roman" w:hAnsi="Times New Roman" w:cs="Times New Roman" w:hint="eastAsia"/>
        </w:rPr>
        <w:t xml:space="preserve"> (I), Tumor images (J), Tumor weight (K), representative images of Ki67 and TUNEL staining (L), representative images of flow cytometry (M) are shown</w:t>
      </w:r>
      <w:r w:rsidRPr="00ED2C1F">
        <w:rPr>
          <w:rFonts w:ascii="Times New Roman" w:hAnsi="Times New Roman" w:cs="Times New Roman"/>
        </w:rPr>
        <w:t>.  Scale bar, 100 μm.</w:t>
      </w:r>
      <w:r w:rsidRPr="00ED2C1F">
        <w:rPr>
          <w:rFonts w:ascii="Times New Roman" w:hAnsi="Times New Roman" w:cs="Times New Roman"/>
          <w:b/>
          <w:bCs/>
        </w:rPr>
        <w:t xml:space="preserve"> </w:t>
      </w:r>
      <w:r w:rsidRPr="00ED2C1F">
        <w:rPr>
          <w:rFonts w:ascii="Times New Roman" w:hAnsi="Times New Roman" w:cs="Times New Roman"/>
        </w:rPr>
        <w:t>**</w:t>
      </w:r>
      <w:r w:rsidRPr="00ED2C1F">
        <w:rPr>
          <w:rFonts w:ascii="Times New Roman" w:hAnsi="Times New Roman" w:cs="Times New Roman"/>
          <w:i/>
          <w:iCs/>
        </w:rPr>
        <w:t>p</w:t>
      </w:r>
      <w:r w:rsidRPr="00ED2C1F">
        <w:rPr>
          <w:rFonts w:ascii="Times New Roman" w:hAnsi="Times New Roman" w:cs="Times New Roman"/>
        </w:rPr>
        <w:t xml:space="preserve"> &lt; 0.01; ***</w:t>
      </w:r>
      <w:r w:rsidRPr="00ED2C1F">
        <w:rPr>
          <w:rFonts w:ascii="Times New Roman" w:hAnsi="Times New Roman" w:cs="Times New Roman"/>
          <w:i/>
          <w:iCs/>
        </w:rPr>
        <w:t>p</w:t>
      </w:r>
      <w:r w:rsidRPr="00ED2C1F">
        <w:rPr>
          <w:rFonts w:ascii="Times New Roman" w:hAnsi="Times New Roman" w:cs="Times New Roman"/>
        </w:rPr>
        <w:t xml:space="preserve"> &lt; 0.001; ****</w:t>
      </w:r>
      <w:r w:rsidRPr="00ED2C1F">
        <w:rPr>
          <w:rFonts w:ascii="Times New Roman" w:hAnsi="Times New Roman" w:cs="Times New Roman"/>
          <w:i/>
          <w:iCs/>
        </w:rPr>
        <w:t>p</w:t>
      </w:r>
      <w:r w:rsidRPr="00ED2C1F">
        <w:rPr>
          <w:rFonts w:ascii="Times New Roman" w:hAnsi="Times New Roman" w:cs="Times New Roman"/>
        </w:rPr>
        <w:t xml:space="preserve"> &lt; 0.0001; N.S., not significant; two-way ANOVA </w:t>
      </w:r>
      <w:r w:rsidRPr="00ED2C1F">
        <w:rPr>
          <w:rFonts w:ascii="Times New Roman" w:hAnsi="Times New Roman" w:cs="Times New Roman" w:hint="eastAsia"/>
        </w:rPr>
        <w:t>[(</w:t>
      </w:r>
      <w:r w:rsidRPr="00ED2C1F">
        <w:rPr>
          <w:rFonts w:ascii="Times New Roman" w:hAnsi="Times New Roman" w:cs="Times New Roman" w:hint="eastAsia"/>
          <w:b/>
          <w:bCs/>
        </w:rPr>
        <w:t>A</w:t>
      </w:r>
      <w:r w:rsidRPr="00ED2C1F">
        <w:rPr>
          <w:rFonts w:ascii="Times New Roman" w:hAnsi="Times New Roman" w:cs="Times New Roman" w:hint="eastAsia"/>
        </w:rPr>
        <w:t>), (</w:t>
      </w:r>
      <w:r w:rsidRPr="00ED2C1F">
        <w:rPr>
          <w:rFonts w:ascii="Times New Roman" w:hAnsi="Times New Roman" w:cs="Times New Roman" w:hint="eastAsia"/>
          <w:b/>
          <w:bCs/>
        </w:rPr>
        <w:t>B</w:t>
      </w:r>
      <w:r w:rsidRPr="00ED2C1F">
        <w:rPr>
          <w:rFonts w:ascii="Times New Roman" w:hAnsi="Times New Roman" w:cs="Times New Roman" w:hint="eastAsia"/>
        </w:rPr>
        <w:t>), (</w:t>
      </w:r>
      <w:r w:rsidRPr="00ED2C1F">
        <w:rPr>
          <w:rFonts w:ascii="Times New Roman" w:hAnsi="Times New Roman" w:cs="Times New Roman" w:hint="eastAsia"/>
          <w:b/>
          <w:bCs/>
        </w:rPr>
        <w:t>F</w:t>
      </w:r>
      <w:r w:rsidRPr="00ED2C1F">
        <w:rPr>
          <w:rFonts w:ascii="Times New Roman" w:hAnsi="Times New Roman" w:cs="Times New Roman" w:hint="eastAsia"/>
        </w:rPr>
        <w:t>), (</w:t>
      </w:r>
      <w:r w:rsidRPr="00ED2C1F">
        <w:rPr>
          <w:rFonts w:ascii="Times New Roman" w:hAnsi="Times New Roman" w:cs="Times New Roman" w:hint="eastAsia"/>
          <w:b/>
          <w:bCs/>
        </w:rPr>
        <w:t>I</w:t>
      </w:r>
      <w:r w:rsidRPr="00ED2C1F">
        <w:rPr>
          <w:rFonts w:ascii="Times New Roman" w:hAnsi="Times New Roman" w:cs="Times New Roman" w:hint="eastAsia"/>
        </w:rPr>
        <w:t>) and (</w:t>
      </w:r>
      <w:r w:rsidRPr="00ED2C1F">
        <w:rPr>
          <w:rFonts w:ascii="Times New Roman" w:hAnsi="Times New Roman" w:cs="Times New Roman" w:hint="eastAsia"/>
          <w:b/>
          <w:bCs/>
        </w:rPr>
        <w:t>K</w:t>
      </w:r>
      <w:r w:rsidRPr="00ED2C1F">
        <w:rPr>
          <w:rFonts w:ascii="Times New Roman" w:hAnsi="Times New Roman" w:cs="Times New Roman" w:hint="eastAsia"/>
        </w:rPr>
        <w:t>)].</w:t>
      </w:r>
    </w:p>
    <w:p w:rsidR="003D2014" w:rsidRPr="00ED2C1F" w:rsidRDefault="003D2014"/>
    <w:p w:rsidR="003D2014" w:rsidRPr="00ED2C1F" w:rsidRDefault="004E27AC">
      <w:r w:rsidRPr="00ED2C1F">
        <w:rPr>
          <w:rFonts w:hint="eastAsia"/>
          <w:noProof/>
        </w:rPr>
        <w:drawing>
          <wp:inline distT="0" distB="0" distL="0" distR="0">
            <wp:extent cx="5241925" cy="1393825"/>
            <wp:effectExtent l="19050" t="0" r="0" b="0"/>
            <wp:docPr id="9" name="图片 3" descr="C:\Users\LmtLab\Desktop\返修-小CDD20251023\delete\补充材料图\TIF补充图1023-1\Fig.S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mtLab\Desktop\返修-小CDD20251023\delete\补充材料图\TIF补充图1023-1\Fig.S3.tif"/>
                    <pic:cNvPicPr>
                      <a:picLocks noChangeAspect="1" noChangeArrowheads="1"/>
                    </pic:cNvPicPr>
                  </pic:nvPicPr>
                  <pic:blipFill>
                    <a:blip r:embed="rId8" cstate="print"/>
                    <a:srcRect/>
                    <a:stretch>
                      <a:fillRect/>
                    </a:stretch>
                  </pic:blipFill>
                  <pic:spPr bwMode="auto">
                    <a:xfrm>
                      <a:off x="0" y="0"/>
                      <a:ext cx="5241925" cy="1393825"/>
                    </a:xfrm>
                    <a:prstGeom prst="rect">
                      <a:avLst/>
                    </a:prstGeom>
                    <a:noFill/>
                    <a:ln w="9525">
                      <a:noFill/>
                      <a:miter lim="800000"/>
                      <a:headEnd/>
                      <a:tailEnd/>
                    </a:ln>
                  </pic:spPr>
                </pic:pic>
              </a:graphicData>
            </a:graphic>
          </wp:inline>
        </w:drawing>
      </w:r>
    </w:p>
    <w:p w:rsidR="003D2014" w:rsidRPr="00ED2C1F" w:rsidRDefault="003D2014"/>
    <w:p w:rsidR="003D2014" w:rsidRPr="00ED2C1F" w:rsidRDefault="003D2014" w:rsidP="003D2014">
      <w:pPr>
        <w:widowControl/>
        <w:rPr>
          <w:rFonts w:ascii="Times New Roman" w:hAnsi="Times New Roman" w:cs="Times New Roman"/>
        </w:rPr>
      </w:pPr>
      <w:r w:rsidRPr="00ED2C1F">
        <w:rPr>
          <w:rFonts w:ascii="Times New Roman" w:hAnsi="Times New Roman" w:cs="Times New Roman"/>
          <w:b/>
          <w:bCs/>
        </w:rPr>
        <w:t>Fig. S3 FUT2 represses LCN2 transcription by facilitating NR2F2 destabilization.</w:t>
      </w:r>
      <w:r w:rsidRPr="00ED2C1F">
        <w:rPr>
          <w:rFonts w:ascii="Times New Roman" w:hAnsi="Times New Roman" w:cs="Times New Roman"/>
        </w:rPr>
        <w:t xml:space="preserve"> (</w:t>
      </w:r>
      <w:r w:rsidRPr="00ED2C1F">
        <w:rPr>
          <w:rFonts w:ascii="Times New Roman" w:hAnsi="Times New Roman" w:cs="Times New Roman"/>
          <w:b/>
          <w:bCs/>
        </w:rPr>
        <w:t xml:space="preserve">A </w:t>
      </w:r>
      <w:r w:rsidRPr="00ED2C1F">
        <w:rPr>
          <w:rFonts w:ascii="Times New Roman" w:hAnsi="Times New Roman" w:cs="Times New Roman"/>
        </w:rPr>
        <w:t>to</w:t>
      </w:r>
      <w:r w:rsidRPr="00ED2C1F">
        <w:rPr>
          <w:rFonts w:ascii="Times New Roman" w:hAnsi="Times New Roman" w:cs="Times New Roman"/>
          <w:b/>
          <w:bCs/>
        </w:rPr>
        <w:t xml:space="preserve"> C</w:t>
      </w:r>
      <w:r w:rsidRPr="00ED2C1F">
        <w:rPr>
          <w:rFonts w:ascii="Times New Roman" w:hAnsi="Times New Roman" w:cs="Times New Roman"/>
        </w:rPr>
        <w:t>) Immunoblotting analyses of indicated proteins in KPC or PANC-1 cells with the indicated genetic manipulation. (</w:t>
      </w:r>
      <w:r w:rsidRPr="00ED2C1F">
        <w:rPr>
          <w:rFonts w:ascii="Times New Roman" w:hAnsi="Times New Roman" w:cs="Times New Roman"/>
          <w:b/>
          <w:bCs/>
        </w:rPr>
        <w:t xml:space="preserve">D </w:t>
      </w:r>
      <w:r w:rsidRPr="00ED2C1F">
        <w:rPr>
          <w:rFonts w:ascii="Times New Roman" w:hAnsi="Times New Roman" w:cs="Times New Roman"/>
        </w:rPr>
        <w:t>and</w:t>
      </w:r>
      <w:r w:rsidRPr="00ED2C1F">
        <w:rPr>
          <w:rFonts w:ascii="Times New Roman" w:hAnsi="Times New Roman" w:cs="Times New Roman"/>
          <w:b/>
          <w:bCs/>
        </w:rPr>
        <w:t xml:space="preserve"> E</w:t>
      </w:r>
      <w:r w:rsidRPr="00ED2C1F">
        <w:rPr>
          <w:rFonts w:ascii="Times New Roman" w:hAnsi="Times New Roman" w:cs="Times New Roman"/>
        </w:rPr>
        <w:t>) Expression levels of LCN2 protein (D) and mRNA (E) were measured in PANC-1 cells overexpressing EV or NR2F2-Flag. ****P &lt; 0.0001; Two tailed Student’s t test (</w:t>
      </w:r>
      <w:r w:rsidRPr="00ED2C1F">
        <w:rPr>
          <w:rFonts w:ascii="Times New Roman" w:hAnsi="Times New Roman" w:cs="Times New Roman"/>
          <w:b/>
          <w:bCs/>
        </w:rPr>
        <w:t>E</w:t>
      </w:r>
      <w:r w:rsidRPr="00ED2C1F">
        <w:rPr>
          <w:rFonts w:ascii="Times New Roman" w:hAnsi="Times New Roman" w:cs="Times New Roman"/>
        </w:rPr>
        <w:t>).</w:t>
      </w:r>
    </w:p>
    <w:p w:rsidR="003D2014" w:rsidRPr="00ED2C1F" w:rsidRDefault="003D2014"/>
    <w:p w:rsidR="003D2014" w:rsidRPr="00ED2C1F" w:rsidRDefault="004E27AC">
      <w:r w:rsidRPr="00ED2C1F">
        <w:rPr>
          <w:rFonts w:hint="eastAsia"/>
          <w:noProof/>
        </w:rPr>
        <w:drawing>
          <wp:inline distT="0" distB="0" distL="0" distR="0">
            <wp:extent cx="5271135" cy="1564640"/>
            <wp:effectExtent l="19050" t="0" r="5715" b="0"/>
            <wp:docPr id="10" name="图片 4" descr="C:\Users\LmtLab\Desktop\返修-小CDD20251023\delete\补充材料图\TIF补充图1023-1\Fig.S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mtLab\Desktop\返修-小CDD20251023\delete\补充材料图\TIF补充图1023-1\Fig.S4.tif"/>
                    <pic:cNvPicPr>
                      <a:picLocks noChangeAspect="1" noChangeArrowheads="1"/>
                    </pic:cNvPicPr>
                  </pic:nvPicPr>
                  <pic:blipFill>
                    <a:blip r:embed="rId9" cstate="print"/>
                    <a:srcRect/>
                    <a:stretch>
                      <a:fillRect/>
                    </a:stretch>
                  </pic:blipFill>
                  <pic:spPr bwMode="auto">
                    <a:xfrm>
                      <a:off x="0" y="0"/>
                      <a:ext cx="5271135" cy="1564640"/>
                    </a:xfrm>
                    <a:prstGeom prst="rect">
                      <a:avLst/>
                    </a:prstGeom>
                    <a:noFill/>
                    <a:ln w="9525">
                      <a:noFill/>
                      <a:miter lim="800000"/>
                      <a:headEnd/>
                      <a:tailEnd/>
                    </a:ln>
                  </pic:spPr>
                </pic:pic>
              </a:graphicData>
            </a:graphic>
          </wp:inline>
        </w:drawing>
      </w:r>
    </w:p>
    <w:p w:rsidR="003D2014" w:rsidRPr="00ED2C1F" w:rsidRDefault="003D2014"/>
    <w:p w:rsidR="003D2014" w:rsidRPr="00ED2C1F" w:rsidRDefault="003D2014" w:rsidP="003D2014">
      <w:pPr>
        <w:widowControl/>
        <w:rPr>
          <w:rFonts w:ascii="Times New Roman" w:hAnsi="Times New Roman" w:cs="Times New Roman"/>
        </w:rPr>
      </w:pPr>
      <w:r w:rsidRPr="00ED2C1F">
        <w:rPr>
          <w:rFonts w:ascii="Times New Roman" w:hAnsi="Times New Roman" w:cs="Times New Roman"/>
          <w:b/>
          <w:bCs/>
        </w:rPr>
        <w:t xml:space="preserve">Fig. S4 FUT2 promotes NR2F2 degradation through ubiquitination at lysine 362 via the proteasomal pathway. </w:t>
      </w:r>
      <w:r w:rsidRPr="00ED2C1F">
        <w:rPr>
          <w:rFonts w:ascii="Times New Roman" w:hAnsi="Times New Roman" w:cs="Times New Roman"/>
        </w:rPr>
        <w:t>(</w:t>
      </w:r>
      <w:r w:rsidRPr="00ED2C1F">
        <w:rPr>
          <w:rFonts w:ascii="Times New Roman" w:hAnsi="Times New Roman" w:cs="Times New Roman"/>
          <w:b/>
          <w:bCs/>
        </w:rPr>
        <w:t>A</w:t>
      </w:r>
      <w:r w:rsidRPr="00ED2C1F">
        <w:rPr>
          <w:rFonts w:ascii="Times New Roman" w:hAnsi="Times New Roman" w:cs="Times New Roman"/>
        </w:rPr>
        <w:t>) Ubiquitination assays of NR2F2 in FUT2-overexpressing KPC cells transfected with NR2F2-Flag and HA-ub (WT or K48R). (</w:t>
      </w:r>
      <w:r w:rsidRPr="00ED2C1F">
        <w:rPr>
          <w:rFonts w:ascii="Times New Roman" w:hAnsi="Times New Roman" w:cs="Times New Roman"/>
          <w:b/>
          <w:bCs/>
        </w:rPr>
        <w:t>B</w:t>
      </w:r>
      <w:r w:rsidRPr="00ED2C1F">
        <w:rPr>
          <w:rFonts w:ascii="Times New Roman" w:hAnsi="Times New Roman" w:cs="Times New Roman"/>
        </w:rPr>
        <w:t>) NR2F2-Flag was subjected to LC‒MS and identified three potential ubiquitination sites.</w:t>
      </w:r>
    </w:p>
    <w:p w:rsidR="003D2014" w:rsidRPr="00ED2C1F" w:rsidRDefault="003D2014"/>
    <w:p w:rsidR="003D2014" w:rsidRPr="00ED2C1F" w:rsidRDefault="004E27AC">
      <w:r w:rsidRPr="00ED2C1F">
        <w:rPr>
          <w:rFonts w:hint="eastAsia"/>
          <w:noProof/>
        </w:rPr>
        <w:drawing>
          <wp:inline distT="0" distB="0" distL="0" distR="0">
            <wp:extent cx="5271135" cy="3662680"/>
            <wp:effectExtent l="19050" t="0" r="5715" b="0"/>
            <wp:docPr id="11" name="图片 5" descr="C:\Users\LmtLab\Desktop\返修-小CDD20251023\delete\补充材料图\TIF补充图1023-1\Fig.S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mtLab\Desktop\返修-小CDD20251023\delete\补充材料图\TIF补充图1023-1\Fig.S5.tif"/>
                    <pic:cNvPicPr>
                      <a:picLocks noChangeAspect="1" noChangeArrowheads="1"/>
                    </pic:cNvPicPr>
                  </pic:nvPicPr>
                  <pic:blipFill>
                    <a:blip r:embed="rId10" cstate="print"/>
                    <a:srcRect/>
                    <a:stretch>
                      <a:fillRect/>
                    </a:stretch>
                  </pic:blipFill>
                  <pic:spPr bwMode="auto">
                    <a:xfrm>
                      <a:off x="0" y="0"/>
                      <a:ext cx="5271135" cy="3662680"/>
                    </a:xfrm>
                    <a:prstGeom prst="rect">
                      <a:avLst/>
                    </a:prstGeom>
                    <a:noFill/>
                    <a:ln w="9525">
                      <a:noFill/>
                      <a:miter lim="800000"/>
                      <a:headEnd/>
                      <a:tailEnd/>
                    </a:ln>
                  </pic:spPr>
                </pic:pic>
              </a:graphicData>
            </a:graphic>
          </wp:inline>
        </w:drawing>
      </w:r>
    </w:p>
    <w:p w:rsidR="003D2014" w:rsidRPr="00ED2C1F" w:rsidRDefault="003D2014"/>
    <w:p w:rsidR="003D2014" w:rsidRPr="00ED2C1F" w:rsidRDefault="003D2014" w:rsidP="003D2014">
      <w:pPr>
        <w:widowControl/>
        <w:rPr>
          <w:rFonts w:ascii="Times New Roman" w:hAnsi="Times New Roman" w:cs="Times New Roman"/>
        </w:rPr>
      </w:pPr>
      <w:r w:rsidRPr="00ED2C1F">
        <w:rPr>
          <w:rFonts w:ascii="Times New Roman" w:hAnsi="Times New Roman" w:cs="Times New Roman"/>
          <w:b/>
          <w:bCs/>
        </w:rPr>
        <w:t xml:space="preserve">Fig. S5 FUT2 promotes NR2F2 degradation by facilitating its interaction with the E3 ubiquitin ligase FBXO2. </w:t>
      </w:r>
      <w:r w:rsidRPr="00ED2C1F">
        <w:rPr>
          <w:rFonts w:ascii="Times New Roman" w:hAnsi="Times New Roman" w:cs="Times New Roman" w:hint="eastAsia"/>
          <w:b/>
          <w:bCs/>
        </w:rPr>
        <w:t xml:space="preserve">(A) The protein levels of Flag-NR2F2 K362R were detected in KPC and PANC-1 cells with the indicated genetic manipulation and MG132 treatment. </w:t>
      </w:r>
      <w:r w:rsidRPr="00ED2C1F">
        <w:rPr>
          <w:rFonts w:ascii="Times New Roman" w:hAnsi="Times New Roman" w:cs="Times New Roman"/>
        </w:rPr>
        <w:t>(</w:t>
      </w:r>
      <w:r w:rsidRPr="00ED2C1F">
        <w:rPr>
          <w:rFonts w:ascii="Times New Roman" w:hAnsi="Times New Roman" w:cs="Times New Roman" w:hint="eastAsia"/>
          <w:b/>
          <w:bCs/>
        </w:rPr>
        <w:t>B</w:t>
      </w:r>
      <w:r w:rsidRPr="00ED2C1F">
        <w:rPr>
          <w:rFonts w:ascii="Times New Roman" w:hAnsi="Times New Roman" w:cs="Times New Roman"/>
        </w:rPr>
        <w:t>) The protein levels of Flag-FUT2 were detected in KPC and PANC-1 cells with the indicated genetic manipulation and MG132 treatment. (</w:t>
      </w:r>
      <w:r w:rsidRPr="00ED2C1F">
        <w:rPr>
          <w:rFonts w:ascii="Times New Roman" w:hAnsi="Times New Roman" w:cs="Times New Roman" w:hint="eastAsia"/>
          <w:b/>
          <w:bCs/>
        </w:rPr>
        <w:t>C</w:t>
      </w:r>
      <w:r w:rsidRPr="00ED2C1F">
        <w:rPr>
          <w:rFonts w:ascii="Times New Roman" w:hAnsi="Times New Roman" w:cs="Times New Roman"/>
        </w:rPr>
        <w:t>) The Co-IP assay in HEK293T cells was performed to test the interaction of FBXO2-HA with NR2F2-Flag in the absence or presence of FUT2 overexpression. (</w:t>
      </w:r>
      <w:r w:rsidRPr="00ED2C1F">
        <w:rPr>
          <w:rFonts w:ascii="Times New Roman" w:hAnsi="Times New Roman" w:cs="Times New Roman" w:hint="eastAsia"/>
          <w:b/>
          <w:bCs/>
        </w:rPr>
        <w:t>D</w:t>
      </w:r>
      <w:r w:rsidRPr="00ED2C1F">
        <w:rPr>
          <w:rFonts w:ascii="Times New Roman" w:hAnsi="Times New Roman" w:cs="Times New Roman"/>
          <w:b/>
          <w:bCs/>
        </w:rPr>
        <w:t xml:space="preserve"> </w:t>
      </w:r>
      <w:r w:rsidRPr="00ED2C1F">
        <w:rPr>
          <w:rFonts w:ascii="Times New Roman" w:hAnsi="Times New Roman" w:cs="Times New Roman"/>
        </w:rPr>
        <w:t>and</w:t>
      </w:r>
      <w:r w:rsidRPr="00ED2C1F">
        <w:rPr>
          <w:rFonts w:ascii="Times New Roman" w:hAnsi="Times New Roman" w:cs="Times New Roman"/>
          <w:b/>
          <w:bCs/>
        </w:rPr>
        <w:t xml:space="preserve"> </w:t>
      </w:r>
      <w:r w:rsidRPr="00ED2C1F">
        <w:rPr>
          <w:rFonts w:ascii="Times New Roman" w:hAnsi="Times New Roman" w:cs="Times New Roman" w:hint="eastAsia"/>
          <w:b/>
          <w:bCs/>
        </w:rPr>
        <w:t>E</w:t>
      </w:r>
      <w:r w:rsidRPr="00ED2C1F">
        <w:rPr>
          <w:rFonts w:ascii="Times New Roman" w:hAnsi="Times New Roman" w:cs="Times New Roman"/>
        </w:rPr>
        <w:t>) In vitro pulldown and immunoblotting assays were performed with indicated proteins to test the direct interaction of NR2F2 (</w:t>
      </w:r>
      <w:r w:rsidRPr="00ED2C1F">
        <w:rPr>
          <w:rFonts w:ascii="Times New Roman" w:hAnsi="Times New Roman" w:cs="Times New Roman" w:hint="eastAsia"/>
        </w:rPr>
        <w:t>D</w:t>
      </w:r>
      <w:r w:rsidRPr="00ED2C1F">
        <w:rPr>
          <w:rFonts w:ascii="Times New Roman" w:hAnsi="Times New Roman" w:cs="Times New Roman"/>
        </w:rPr>
        <w:t>) or FBXO2 (</w:t>
      </w:r>
      <w:r w:rsidRPr="00ED2C1F">
        <w:rPr>
          <w:rFonts w:ascii="Times New Roman" w:hAnsi="Times New Roman" w:cs="Times New Roman" w:hint="eastAsia"/>
        </w:rPr>
        <w:t>E</w:t>
      </w:r>
      <w:r w:rsidRPr="00ED2C1F">
        <w:rPr>
          <w:rFonts w:ascii="Times New Roman" w:hAnsi="Times New Roman" w:cs="Times New Roman"/>
        </w:rPr>
        <w:t xml:space="preserve">) with FUT2-FL/N/C. GST-tagged NR2F2 and His-tagged FUT2-FL/N/C were purified from </w:t>
      </w:r>
      <w:r w:rsidRPr="00ED2C1F">
        <w:rPr>
          <w:rFonts w:ascii="Times New Roman" w:hAnsi="Times New Roman" w:cs="Times New Roman"/>
          <w:i/>
          <w:iCs/>
        </w:rPr>
        <w:t xml:space="preserve">E.coli </w:t>
      </w:r>
      <w:r w:rsidRPr="00ED2C1F">
        <w:rPr>
          <w:rFonts w:ascii="Times New Roman" w:hAnsi="Times New Roman" w:cs="Times New Roman"/>
        </w:rPr>
        <w:t>and incubated together.</w:t>
      </w:r>
    </w:p>
    <w:p w:rsidR="003D2014" w:rsidRPr="00ED2C1F" w:rsidRDefault="003D2014"/>
    <w:p w:rsidR="003D2014" w:rsidRPr="00ED2C1F" w:rsidRDefault="004E27AC">
      <w:r w:rsidRPr="00ED2C1F">
        <w:rPr>
          <w:rFonts w:hint="eastAsia"/>
          <w:noProof/>
        </w:rPr>
        <w:drawing>
          <wp:inline distT="0" distB="0" distL="0" distR="0">
            <wp:extent cx="5256530" cy="5173345"/>
            <wp:effectExtent l="19050" t="0" r="1270" b="0"/>
            <wp:docPr id="12" name="图片 6" descr="C:\Users\LmtLab\Desktop\返修-小CDD20251023\delete\补充材料图\TIF补充图1023-1\Fig.S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mtLab\Desktop\返修-小CDD20251023\delete\补充材料图\TIF补充图1023-1\Fig.S6.tif"/>
                    <pic:cNvPicPr>
                      <a:picLocks noChangeAspect="1" noChangeArrowheads="1"/>
                    </pic:cNvPicPr>
                  </pic:nvPicPr>
                  <pic:blipFill>
                    <a:blip r:embed="rId11" cstate="print"/>
                    <a:srcRect/>
                    <a:stretch>
                      <a:fillRect/>
                    </a:stretch>
                  </pic:blipFill>
                  <pic:spPr bwMode="auto">
                    <a:xfrm>
                      <a:off x="0" y="0"/>
                      <a:ext cx="5256530" cy="5173345"/>
                    </a:xfrm>
                    <a:prstGeom prst="rect">
                      <a:avLst/>
                    </a:prstGeom>
                    <a:noFill/>
                    <a:ln w="9525">
                      <a:noFill/>
                      <a:miter lim="800000"/>
                      <a:headEnd/>
                      <a:tailEnd/>
                    </a:ln>
                  </pic:spPr>
                </pic:pic>
              </a:graphicData>
            </a:graphic>
          </wp:inline>
        </w:drawing>
      </w:r>
    </w:p>
    <w:p w:rsidR="003D2014" w:rsidRPr="00ED2C1F" w:rsidRDefault="003D2014"/>
    <w:p w:rsidR="003D2014" w:rsidRPr="00ED2C1F" w:rsidRDefault="003D2014" w:rsidP="003D2014">
      <w:pPr>
        <w:widowControl/>
        <w:rPr>
          <w:rFonts w:ascii="Times New Roman" w:hAnsi="Times New Roman" w:cs="Times New Roman"/>
        </w:rPr>
      </w:pPr>
      <w:r w:rsidRPr="00ED2C1F">
        <w:rPr>
          <w:rFonts w:ascii="Times New Roman" w:hAnsi="Times New Roman" w:cs="Times New Roman"/>
          <w:b/>
          <w:bCs/>
        </w:rPr>
        <w:t>Fig. S6 METTL14-mediated m6A modification represses FUT2 expression following radiotherapy.</w:t>
      </w:r>
      <w:r w:rsidRPr="00ED2C1F">
        <w:rPr>
          <w:rFonts w:ascii="Times New Roman" w:hAnsi="Times New Roman" w:cs="Times New Roman"/>
        </w:rPr>
        <w:t xml:space="preserve"> (</w:t>
      </w:r>
      <w:r w:rsidRPr="00ED2C1F">
        <w:rPr>
          <w:rFonts w:ascii="Times New Roman" w:hAnsi="Times New Roman" w:cs="Times New Roman"/>
          <w:b/>
          <w:bCs/>
        </w:rPr>
        <w:t>A</w:t>
      </w:r>
      <w:r w:rsidRPr="00ED2C1F">
        <w:rPr>
          <w:rFonts w:ascii="Times New Roman" w:hAnsi="Times New Roman" w:cs="Times New Roman"/>
        </w:rPr>
        <w:t>) The decay rates of FUT2 mRNA were determined at 0, 2, 4, 6h after treating with actinomycin D (ActD, 5ug/ml) in PANC-1 cells with or without RT treatment. (</w:t>
      </w:r>
      <w:r w:rsidRPr="00ED2C1F">
        <w:rPr>
          <w:rFonts w:ascii="Times New Roman" w:hAnsi="Times New Roman" w:cs="Times New Roman"/>
          <w:b/>
          <w:bCs/>
        </w:rPr>
        <w:t>B</w:t>
      </w:r>
      <w:r w:rsidRPr="00ED2C1F">
        <w:rPr>
          <w:rFonts w:ascii="Times New Roman" w:hAnsi="Times New Roman" w:cs="Times New Roman"/>
        </w:rPr>
        <w:t>) Immunoblotting analyses of indicated proteins in cells treated with RT for the indicated time. (</w:t>
      </w:r>
      <w:r w:rsidRPr="00ED2C1F">
        <w:rPr>
          <w:rFonts w:ascii="Times New Roman" w:hAnsi="Times New Roman" w:cs="Times New Roman"/>
          <w:b/>
          <w:bCs/>
        </w:rPr>
        <w:t>C</w:t>
      </w:r>
      <w:r w:rsidRPr="00ED2C1F">
        <w:rPr>
          <w:rFonts w:ascii="Times New Roman" w:hAnsi="Times New Roman" w:cs="Times New Roman"/>
        </w:rPr>
        <w:t>) The decay rates of FUT2 mRNA were determined at 0, 2, 4, 6h after treating with ActD (5ug/ml) in irradiated PANC-1 cells expressing shNT or shMETTL14. (</w:t>
      </w:r>
      <w:r w:rsidRPr="00ED2C1F">
        <w:rPr>
          <w:rFonts w:ascii="Times New Roman" w:hAnsi="Times New Roman" w:cs="Times New Roman"/>
          <w:b/>
          <w:bCs/>
        </w:rPr>
        <w:t>D</w:t>
      </w:r>
      <w:r w:rsidRPr="00ED2C1F">
        <w:rPr>
          <w:rFonts w:ascii="Times New Roman" w:hAnsi="Times New Roman" w:cs="Times New Roman"/>
        </w:rPr>
        <w:t>) Transcript levels of wild-type and mutant FUT2 in PANC-1 cells expressing shNT or shMETTL14 were detected by dual-luciferase assays. (</w:t>
      </w:r>
      <w:r w:rsidRPr="00ED2C1F">
        <w:rPr>
          <w:rFonts w:ascii="Times New Roman" w:hAnsi="Times New Roman" w:cs="Times New Roman"/>
          <w:b/>
          <w:bCs/>
        </w:rPr>
        <w:t>E</w:t>
      </w:r>
      <w:r w:rsidRPr="00ED2C1F">
        <w:rPr>
          <w:rFonts w:ascii="Times New Roman" w:hAnsi="Times New Roman" w:cs="Times New Roman"/>
        </w:rPr>
        <w:t>) Overexpression of METTL14 in KPC cells was confirmed by immunoblotting analyses. (</w:t>
      </w:r>
      <w:r w:rsidRPr="00ED2C1F">
        <w:rPr>
          <w:rFonts w:ascii="Times New Roman" w:hAnsi="Times New Roman" w:cs="Times New Roman"/>
          <w:b/>
          <w:bCs/>
        </w:rPr>
        <w:t>F</w:t>
      </w:r>
      <w:r w:rsidRPr="00ED2C1F">
        <w:rPr>
          <w:rFonts w:ascii="Times New Roman" w:hAnsi="Times New Roman" w:cs="Times New Roman"/>
        </w:rPr>
        <w:t>) EV- or METTL14- overexpressing KPC cells transfected with either Vector or FUT2 were injected subcutaneously into C57BL/6 mice, and the mice were then treated with RT at 14th day. Quantifications of tumor proliferative and dead index determined by Ki67 and TUNEL staining were shown. (</w:t>
      </w:r>
      <w:r w:rsidRPr="00ED2C1F">
        <w:rPr>
          <w:rFonts w:ascii="Times New Roman" w:hAnsi="Times New Roman" w:cs="Times New Roman"/>
          <w:b/>
          <w:bCs/>
        </w:rPr>
        <w:t>G</w:t>
      </w:r>
      <w:r w:rsidRPr="00ED2C1F">
        <w:rPr>
          <w:rFonts w:ascii="Times New Roman" w:hAnsi="Times New Roman" w:cs="Times New Roman"/>
        </w:rPr>
        <w:t xml:space="preserve"> and </w:t>
      </w:r>
      <w:r w:rsidRPr="00ED2C1F">
        <w:rPr>
          <w:rFonts w:ascii="Times New Roman" w:hAnsi="Times New Roman" w:cs="Times New Roman"/>
          <w:b/>
          <w:bCs/>
        </w:rPr>
        <w:t>H</w:t>
      </w:r>
      <w:r w:rsidRPr="00ED2C1F">
        <w:rPr>
          <w:rFonts w:ascii="Times New Roman" w:hAnsi="Times New Roman" w:cs="Times New Roman"/>
        </w:rPr>
        <w:t>) Expression levels of METTL14 mRNA were measured in PANC-1 cells with the indicated genetic manipulation. *p &lt; 0.05; **p &lt; 0.01; ***p &lt; 0.001; ****p &lt; 0.0001; N.S., not significant; two-way ANOVA [(</w:t>
      </w:r>
      <w:r w:rsidRPr="00ED2C1F">
        <w:rPr>
          <w:rFonts w:ascii="Times New Roman" w:hAnsi="Times New Roman" w:cs="Times New Roman"/>
          <w:b/>
          <w:bCs/>
        </w:rPr>
        <w:t>A</w:t>
      </w:r>
      <w:r w:rsidRPr="00ED2C1F">
        <w:rPr>
          <w:rFonts w:ascii="Times New Roman" w:hAnsi="Times New Roman" w:cs="Times New Roman"/>
        </w:rPr>
        <w:t>), (</w:t>
      </w:r>
      <w:r w:rsidRPr="00ED2C1F">
        <w:rPr>
          <w:rFonts w:ascii="Times New Roman" w:hAnsi="Times New Roman" w:cs="Times New Roman"/>
          <w:b/>
          <w:bCs/>
        </w:rPr>
        <w:t>C</w:t>
      </w:r>
      <w:r w:rsidRPr="00ED2C1F">
        <w:rPr>
          <w:rFonts w:ascii="Times New Roman" w:hAnsi="Times New Roman" w:cs="Times New Roman"/>
        </w:rPr>
        <w:t>), (</w:t>
      </w:r>
      <w:r w:rsidRPr="00ED2C1F">
        <w:rPr>
          <w:rFonts w:ascii="Times New Roman" w:hAnsi="Times New Roman" w:cs="Times New Roman"/>
          <w:b/>
          <w:bCs/>
        </w:rPr>
        <w:t>D</w:t>
      </w:r>
      <w:r w:rsidRPr="00ED2C1F">
        <w:rPr>
          <w:rFonts w:ascii="Times New Roman" w:hAnsi="Times New Roman" w:cs="Times New Roman"/>
        </w:rPr>
        <w:t>) and (</w:t>
      </w:r>
      <w:r w:rsidRPr="00ED2C1F">
        <w:rPr>
          <w:rFonts w:ascii="Times New Roman" w:hAnsi="Times New Roman" w:cs="Times New Roman"/>
          <w:b/>
          <w:bCs/>
        </w:rPr>
        <w:t>F</w:t>
      </w:r>
      <w:r w:rsidRPr="00ED2C1F">
        <w:rPr>
          <w:rFonts w:ascii="Times New Roman" w:hAnsi="Times New Roman" w:cs="Times New Roman"/>
        </w:rPr>
        <w:t>-</w:t>
      </w:r>
      <w:r w:rsidRPr="00ED2C1F">
        <w:rPr>
          <w:rFonts w:ascii="Times New Roman" w:hAnsi="Times New Roman" w:cs="Times New Roman"/>
          <w:b/>
          <w:bCs/>
        </w:rPr>
        <w:t>H</w:t>
      </w:r>
      <w:r w:rsidRPr="00ED2C1F">
        <w:rPr>
          <w:rFonts w:ascii="Times New Roman" w:hAnsi="Times New Roman" w:cs="Times New Roman"/>
        </w:rPr>
        <w:t>)].</w:t>
      </w:r>
    </w:p>
    <w:p w:rsidR="003D2014" w:rsidRPr="00ED2C1F" w:rsidRDefault="003D2014"/>
    <w:p w:rsidR="00404E33" w:rsidRPr="00ED2C1F" w:rsidRDefault="00404E33"/>
    <w:p w:rsidR="003D2014" w:rsidRPr="00ED2C1F" w:rsidRDefault="003D2014" w:rsidP="003D2014">
      <w:pPr>
        <w:widowControl/>
        <w:spacing w:line="360" w:lineRule="auto"/>
        <w:rPr>
          <w:rFonts w:ascii="Times New Roman" w:eastAsia="等线" w:hAnsi="Times New Roman" w:cs="Times New Roman"/>
          <w:b/>
          <w:bCs/>
          <w:szCs w:val="21"/>
        </w:rPr>
      </w:pPr>
      <w:r w:rsidRPr="00ED2C1F">
        <w:rPr>
          <w:rFonts w:ascii="Times New Roman" w:eastAsia="等线" w:hAnsi="Times New Roman" w:cs="Times New Roman"/>
          <w:b/>
          <w:bCs/>
          <w:szCs w:val="21"/>
        </w:rPr>
        <w:t>Plasmids construction and transfection</w:t>
      </w:r>
    </w:p>
    <w:p w:rsidR="003D2014" w:rsidRPr="00ED2C1F" w:rsidRDefault="003D2014" w:rsidP="003D2014">
      <w:pPr>
        <w:widowControl/>
        <w:spacing w:line="360" w:lineRule="auto"/>
        <w:rPr>
          <w:rFonts w:ascii="Times New Roman" w:eastAsia="等线" w:hAnsi="Times New Roman" w:cs="Times New Roman"/>
          <w:szCs w:val="21"/>
        </w:rPr>
      </w:pPr>
      <w:r w:rsidRPr="00ED2C1F">
        <w:rPr>
          <w:rFonts w:ascii="Times New Roman" w:eastAsia="等线" w:hAnsi="Times New Roman" w:cs="Times New Roman"/>
          <w:szCs w:val="21"/>
        </w:rPr>
        <w:t>PCR-amplified mouse FUT2, NR2F2, FBXO2, LCN2</w:t>
      </w:r>
      <w:r w:rsidRPr="00ED2C1F">
        <w:rPr>
          <w:rFonts w:ascii="Times New Roman" w:eastAsia="等线" w:hAnsi="Times New Roman" w:cs="Times New Roman" w:hint="eastAsia"/>
          <w:szCs w:val="21"/>
        </w:rPr>
        <w:t>, METTL14</w:t>
      </w:r>
      <w:r w:rsidRPr="00ED2C1F">
        <w:rPr>
          <w:rFonts w:ascii="Times New Roman" w:eastAsia="等线" w:hAnsi="Times New Roman" w:cs="Times New Roman"/>
          <w:szCs w:val="21"/>
        </w:rPr>
        <w:t xml:space="preserve"> were cloned into pCDH-</w:t>
      </w:r>
      <w:r w:rsidRPr="00ED2C1F">
        <w:rPr>
          <w:rFonts w:ascii="Times New Roman" w:eastAsia="等线" w:hAnsi="Times New Roman" w:cs="Times New Roman" w:hint="eastAsia"/>
          <w:szCs w:val="21"/>
        </w:rPr>
        <w:t>SFB-</w:t>
      </w:r>
      <w:r w:rsidRPr="00ED2C1F">
        <w:rPr>
          <w:rFonts w:ascii="Times New Roman" w:eastAsia="等线" w:hAnsi="Times New Roman" w:cs="Times New Roman"/>
          <w:szCs w:val="21"/>
        </w:rPr>
        <w:t xml:space="preserve">Flag, pCDH-hygro, pCDH-HA or </w:t>
      </w:r>
      <w:bookmarkStart w:id="1" w:name="OLE_LINK1"/>
      <w:r w:rsidRPr="00ED2C1F">
        <w:rPr>
          <w:rFonts w:ascii="Times New Roman" w:eastAsia="等线" w:hAnsi="Times New Roman" w:cs="Times New Roman"/>
          <w:szCs w:val="21"/>
        </w:rPr>
        <w:t>pET28a-His</w:t>
      </w:r>
      <w:bookmarkEnd w:id="1"/>
      <w:r w:rsidRPr="00ED2C1F">
        <w:rPr>
          <w:rFonts w:ascii="Times New Roman" w:eastAsia="等线" w:hAnsi="Times New Roman" w:cs="Times New Roman" w:hint="eastAsia"/>
          <w:szCs w:val="21"/>
        </w:rPr>
        <w:t>/GST</w:t>
      </w:r>
      <w:r w:rsidRPr="00ED2C1F">
        <w:rPr>
          <w:rFonts w:ascii="Times New Roman" w:eastAsia="等线" w:hAnsi="Times New Roman" w:cs="Times New Roman"/>
          <w:szCs w:val="21"/>
        </w:rPr>
        <w:t xml:space="preserve"> vectors. FUT2-V206G/T288N/A300T,</w:t>
      </w:r>
      <w:r w:rsidRPr="00ED2C1F">
        <w:rPr>
          <w:rFonts w:ascii="Times New Roman" w:eastAsia="等线" w:hAnsi="Times New Roman" w:cs="Times New Roman" w:hint="eastAsia"/>
          <w:szCs w:val="21"/>
        </w:rPr>
        <w:t xml:space="preserve"> </w:t>
      </w:r>
      <w:r w:rsidRPr="00ED2C1F">
        <w:rPr>
          <w:rFonts w:ascii="Times New Roman" w:hAnsi="Times New Roman" w:cs="Times New Roman" w:hint="eastAsia"/>
          <w:color w:val="000000" w:themeColor="text1"/>
          <w:szCs w:val="21"/>
        </w:rPr>
        <w:t>NR2F2-L364A/L365A</w:t>
      </w:r>
      <w:r w:rsidRPr="00ED2C1F">
        <w:rPr>
          <w:rFonts w:ascii="Times New Roman" w:eastAsia="等线" w:hAnsi="Times New Roman" w:cs="Times New Roman" w:hint="eastAsia"/>
          <w:szCs w:val="21"/>
        </w:rPr>
        <w:t xml:space="preserve">, </w:t>
      </w:r>
      <w:r w:rsidRPr="00ED2C1F">
        <w:rPr>
          <w:rFonts w:ascii="Times New Roman" w:eastAsia="等线" w:hAnsi="Times New Roman" w:cs="Times New Roman"/>
          <w:szCs w:val="21"/>
        </w:rPr>
        <w:t xml:space="preserve">NR2F2-K301R, -K362R, -K389R </w:t>
      </w:r>
      <w:r w:rsidRPr="00ED2C1F">
        <w:rPr>
          <w:rFonts w:ascii="Times New Roman" w:eastAsia="等线" w:hAnsi="Times New Roman" w:cs="Times New Roman" w:hint="eastAsia"/>
          <w:szCs w:val="21"/>
        </w:rPr>
        <w:t>and FUT 3</w:t>
      </w:r>
      <w:r w:rsidRPr="00ED2C1F">
        <w:rPr>
          <w:rFonts w:ascii="Times New Roman" w:eastAsia="等线" w:hAnsi="Times New Roman" w:cs="Times New Roman"/>
          <w:szCs w:val="21"/>
        </w:rPr>
        <w:t>’</w:t>
      </w:r>
      <w:r w:rsidRPr="00ED2C1F">
        <w:rPr>
          <w:rFonts w:ascii="Times New Roman" w:eastAsia="等线" w:hAnsi="Times New Roman" w:cs="Times New Roman" w:hint="eastAsia"/>
          <w:szCs w:val="21"/>
        </w:rPr>
        <w:t xml:space="preserve"> UTR-MUT </w:t>
      </w:r>
      <w:r w:rsidRPr="00ED2C1F">
        <w:rPr>
          <w:rFonts w:ascii="Times New Roman" w:eastAsia="等线" w:hAnsi="Times New Roman" w:cs="Times New Roman"/>
          <w:szCs w:val="21"/>
        </w:rPr>
        <w:t>were generated using a QuikChange sitedirected mutagenesis kit (Stratagene, La Jolla, CA, USA). HA-ub, H</w:t>
      </w:r>
      <w:bookmarkStart w:id="2" w:name="OLE_LINK12"/>
      <w:r w:rsidRPr="00ED2C1F">
        <w:rPr>
          <w:rFonts w:ascii="Times New Roman" w:eastAsia="等线" w:hAnsi="Times New Roman" w:cs="Times New Roman"/>
          <w:szCs w:val="21"/>
        </w:rPr>
        <w:t>A-</w:t>
      </w:r>
      <w:bookmarkEnd w:id="2"/>
      <w:r w:rsidRPr="00ED2C1F">
        <w:rPr>
          <w:rFonts w:ascii="Times New Roman" w:eastAsia="等线" w:hAnsi="Times New Roman" w:cs="Times New Roman"/>
          <w:szCs w:val="21"/>
        </w:rPr>
        <w:t>K6R-ub, HA</w:t>
      </w:r>
      <w:r w:rsidRPr="00ED2C1F">
        <w:rPr>
          <w:rFonts w:ascii="Times New Roman" w:eastAsia="等线" w:hAnsi="Times New Roman" w:cs="Times New Roman" w:hint="eastAsia"/>
          <w:szCs w:val="21"/>
        </w:rPr>
        <w:t>-</w:t>
      </w:r>
      <w:r w:rsidRPr="00ED2C1F">
        <w:rPr>
          <w:rFonts w:ascii="Times New Roman" w:eastAsia="等线" w:hAnsi="Times New Roman" w:cs="Times New Roman"/>
          <w:szCs w:val="21"/>
        </w:rPr>
        <w:t>K11R-ub, HA-K27R-ub, HA-K29R-ub, HA-K33R-ub, HA-K48R-ub or HA-K63R-ub were obtained from The Tenth People's Hospital of Shanghai, Tongji University. shRNA constructs were generated by inserting target sequences into a pGIPZ backbone digested with XhoI and EcoRI, using ClonExpress® II</w:t>
      </w:r>
      <w:r w:rsidRPr="00ED2C1F">
        <w:rPr>
          <w:rFonts w:ascii="Times New Roman" w:eastAsia="等线" w:hAnsi="Times New Roman" w:cs="Times New Roman" w:hint="eastAsia"/>
          <w:szCs w:val="21"/>
        </w:rPr>
        <w:t xml:space="preserve"> </w:t>
      </w:r>
      <w:r w:rsidRPr="00ED2C1F">
        <w:rPr>
          <w:rFonts w:ascii="Times New Roman" w:eastAsia="等线" w:hAnsi="Times New Roman" w:cs="Times New Roman"/>
          <w:szCs w:val="21"/>
        </w:rPr>
        <w:t>One Step Cloning Kit. All the target sequences are shown in the table S1. Plasmid transfection was conducted using Lipofectamine 3000 transfection reagent from Invitrogen (Carlsbad, CA, USA) according to the manufacturer’s instructions.</w:t>
      </w:r>
    </w:p>
    <w:p w:rsidR="003D2014" w:rsidRPr="00ED2C1F" w:rsidRDefault="003D2014" w:rsidP="003D2014">
      <w:pPr>
        <w:rPr>
          <w:rFonts w:ascii="Times New Roman" w:eastAsia="宋体" w:hAnsi="Times New Roman" w:cs="Times New Roman"/>
          <w:bCs/>
          <w:color w:val="000000"/>
          <w:szCs w:val="21"/>
        </w:rPr>
      </w:pPr>
    </w:p>
    <w:p w:rsidR="003D2014" w:rsidRPr="00ED2C1F" w:rsidRDefault="003D2014" w:rsidP="003D2014">
      <w:pPr>
        <w:spacing w:line="360" w:lineRule="auto"/>
        <w:rPr>
          <w:rFonts w:ascii="Times New Roman" w:eastAsia="等线" w:hAnsi="Times New Roman" w:cs="Times New Roman"/>
        </w:rPr>
      </w:pPr>
      <w:r w:rsidRPr="00ED2C1F">
        <w:rPr>
          <w:rFonts w:ascii="Times New Roman" w:eastAsia="等线" w:hAnsi="Times New Roman" w:cs="Times New Roman"/>
          <w:b/>
          <w:bCs/>
          <w:szCs w:val="21"/>
        </w:rPr>
        <w:t>Antibodies and reagents</w:t>
      </w:r>
      <w:r w:rsidRPr="00ED2C1F">
        <w:rPr>
          <w:rFonts w:ascii="Times New Roman" w:eastAsia="等线" w:hAnsi="Times New Roman" w:cs="Times New Roman"/>
        </w:rPr>
        <w:t xml:space="preserve"> </w:t>
      </w:r>
    </w:p>
    <w:p w:rsidR="003D2014" w:rsidRPr="00ED2C1F" w:rsidRDefault="003D2014" w:rsidP="003D2014">
      <w:pPr>
        <w:spacing w:line="360" w:lineRule="auto"/>
        <w:rPr>
          <w:rFonts w:ascii="Times New Roman" w:eastAsia="等线" w:hAnsi="Times New Roman" w:cs="Times New Roman"/>
          <w:szCs w:val="21"/>
        </w:rPr>
      </w:pPr>
      <w:r w:rsidRPr="00ED2C1F">
        <w:rPr>
          <w:rFonts w:ascii="Times New Roman" w:eastAsia="等线" w:hAnsi="Times New Roman" w:cs="Times New Roman"/>
          <w:szCs w:val="21"/>
        </w:rPr>
        <w:t xml:space="preserve">The primary antibodies used in this study are as follows: </w:t>
      </w:r>
      <w:bookmarkStart w:id="3" w:name="OLE_LINK8"/>
      <w:r w:rsidRPr="00ED2C1F">
        <w:rPr>
          <w:rFonts w:ascii="Times New Roman" w:eastAsia="等线" w:hAnsi="Times New Roman" w:cs="Times New Roman"/>
          <w:szCs w:val="21"/>
        </w:rPr>
        <w:t>FUT2 (</w:t>
      </w:r>
      <w:bookmarkStart w:id="4" w:name="OLE_LINK9"/>
      <w:r w:rsidRPr="00ED2C1F">
        <w:rPr>
          <w:rFonts w:ascii="Times New Roman" w:eastAsia="等线" w:hAnsi="Times New Roman" w:cs="Times New Roman"/>
          <w:szCs w:val="21"/>
        </w:rPr>
        <w:t>rabbit</w:t>
      </w:r>
      <w:bookmarkEnd w:id="4"/>
      <w:r w:rsidRPr="00ED2C1F">
        <w:rPr>
          <w:rFonts w:ascii="Times New Roman" w:eastAsia="等线" w:hAnsi="Times New Roman" w:cs="Times New Roman"/>
          <w:szCs w:val="21"/>
        </w:rPr>
        <w:t>, Thermo Fisher Scientific, PA5-53159, 1:200 for IHC or IF)</w:t>
      </w:r>
      <w:bookmarkEnd w:id="3"/>
      <w:r w:rsidRPr="00ED2C1F">
        <w:rPr>
          <w:rFonts w:ascii="Times New Roman" w:eastAsia="等线" w:hAnsi="Times New Roman" w:cs="Times New Roman"/>
          <w:szCs w:val="21"/>
        </w:rPr>
        <w:t xml:space="preserve">, FUT2 (mouse, Santa Cruz Biotechnology, sc-100742, 1:200 for WB), </w:t>
      </w:r>
      <w:r w:rsidRPr="00ED2C1F">
        <w:rPr>
          <w:rFonts w:ascii="Times New Roman" w:eastAsia="等线" w:hAnsi="Times New Roman" w:cs="Times New Roman" w:hint="eastAsia"/>
          <w:szCs w:val="21"/>
        </w:rPr>
        <w:t>K</w:t>
      </w:r>
      <w:r w:rsidRPr="00ED2C1F">
        <w:rPr>
          <w:rFonts w:ascii="Times New Roman" w:eastAsia="等线" w:hAnsi="Times New Roman" w:cs="Times New Roman"/>
          <w:szCs w:val="21"/>
        </w:rPr>
        <w:t>i67 (rabbit, Thermo Fisher Scientific, PA5-19462, 1:200 for IHC), CD8a (rat, Thermo Fisher Scientifi, 14-0081-82, 1:200 for IF), β-Actin (mouse, Abmart, 1:5000 for WB), LCN2 (rabbit, Abcam, ab63929, 1:200 for IHC or IF, 1:1000 for WB), NR2F2 (mouse, R&amp;D Systems, PP-H7147-00, 1:1000 for WB), FLAG (rabbit, Abbkine, ABT2011, 1:4000 for WB), HA (rabbit, Cell Signaling Technology, 3724S, 1:1000 for WB), FBXO2 (rabbit, Proteintech, 14590-1-AP, 1:2000 for WB), SKP1 (rabbit, Cell Signaling Technology, 2156, 1:1000 for WB), METTL14 (rabbit, Proteintech, HPA038002, 1:2000 for WB), m6A (rabbit, Synaptic Systems, 202 003, 1:2000 for dot blot)</w:t>
      </w:r>
      <w:r w:rsidRPr="00ED2C1F">
        <w:rPr>
          <w:rFonts w:ascii="Times New Roman" w:eastAsia="等线" w:hAnsi="Times New Roman" w:cs="Times New Roman" w:hint="eastAsia"/>
          <w:szCs w:val="21"/>
        </w:rPr>
        <w:t>, TFEB</w:t>
      </w:r>
      <w:r w:rsidRPr="00ED2C1F">
        <w:rPr>
          <w:rFonts w:ascii="Times New Roman" w:eastAsia="等线" w:hAnsi="Times New Roman" w:cs="Times New Roman"/>
          <w:szCs w:val="21"/>
        </w:rPr>
        <w:t xml:space="preserve"> (rabbit, Proteintech, 13372-1-AP, 1:</w:t>
      </w:r>
      <w:r w:rsidRPr="00ED2C1F">
        <w:rPr>
          <w:rFonts w:ascii="Times New Roman" w:eastAsia="等线" w:hAnsi="Times New Roman" w:cs="Times New Roman" w:hint="eastAsia"/>
          <w:szCs w:val="21"/>
        </w:rPr>
        <w:t>1</w:t>
      </w:r>
      <w:r w:rsidRPr="00ED2C1F">
        <w:rPr>
          <w:rFonts w:ascii="Times New Roman" w:eastAsia="等线" w:hAnsi="Times New Roman" w:cs="Times New Roman"/>
          <w:szCs w:val="21"/>
        </w:rPr>
        <w:t>000 for WB)</w:t>
      </w:r>
      <w:r w:rsidRPr="00ED2C1F">
        <w:rPr>
          <w:rFonts w:ascii="Times New Roman" w:eastAsia="等线" w:hAnsi="Times New Roman" w:cs="Times New Roman" w:hint="eastAsia"/>
          <w:szCs w:val="21"/>
        </w:rPr>
        <w:t xml:space="preserve">, TEAD3 </w:t>
      </w:r>
      <w:r w:rsidRPr="00ED2C1F">
        <w:rPr>
          <w:rFonts w:ascii="Times New Roman" w:eastAsia="等线" w:hAnsi="Times New Roman" w:cs="Times New Roman"/>
          <w:szCs w:val="21"/>
        </w:rPr>
        <w:t>(rabbit, Proteintech, 13120-1-AP, 1:</w:t>
      </w:r>
      <w:r w:rsidRPr="00ED2C1F">
        <w:rPr>
          <w:rFonts w:ascii="Times New Roman" w:eastAsia="等线" w:hAnsi="Times New Roman" w:cs="Times New Roman" w:hint="eastAsia"/>
          <w:szCs w:val="21"/>
        </w:rPr>
        <w:t>1</w:t>
      </w:r>
      <w:r w:rsidRPr="00ED2C1F">
        <w:rPr>
          <w:rFonts w:ascii="Times New Roman" w:eastAsia="等线" w:hAnsi="Times New Roman" w:cs="Times New Roman"/>
          <w:szCs w:val="21"/>
        </w:rPr>
        <w:t>000 for WB)</w:t>
      </w:r>
      <w:r w:rsidRPr="00ED2C1F">
        <w:rPr>
          <w:rFonts w:ascii="Times New Roman" w:eastAsia="等线" w:hAnsi="Times New Roman" w:cs="Times New Roman" w:hint="eastAsia"/>
          <w:szCs w:val="21"/>
        </w:rPr>
        <w:t xml:space="preserve">, CTNNBIP1 </w:t>
      </w:r>
      <w:r w:rsidRPr="00ED2C1F">
        <w:rPr>
          <w:rFonts w:ascii="Times New Roman" w:eastAsia="等线" w:hAnsi="Times New Roman" w:cs="Times New Roman"/>
          <w:szCs w:val="21"/>
        </w:rPr>
        <w:t>(rabbit, Abcam, ab129011, 1:1000 for WB)</w:t>
      </w:r>
      <w:r w:rsidRPr="00ED2C1F">
        <w:rPr>
          <w:rFonts w:ascii="Times New Roman" w:eastAsia="等线" w:hAnsi="Times New Roman" w:cs="Times New Roman" w:hint="eastAsia"/>
          <w:szCs w:val="21"/>
        </w:rPr>
        <w:t xml:space="preserve">, ZNF865 </w:t>
      </w:r>
      <w:r w:rsidRPr="00ED2C1F">
        <w:rPr>
          <w:rFonts w:ascii="Times New Roman" w:eastAsia="等线" w:hAnsi="Times New Roman" w:cs="Times New Roman"/>
          <w:szCs w:val="21"/>
        </w:rPr>
        <w:t>(rabbit, Thermo Fisher Scientific, PA5-49280, 1:</w:t>
      </w:r>
      <w:r w:rsidRPr="00ED2C1F">
        <w:rPr>
          <w:rFonts w:ascii="Times New Roman" w:eastAsia="等线" w:hAnsi="Times New Roman" w:cs="Times New Roman" w:hint="eastAsia"/>
          <w:szCs w:val="21"/>
        </w:rPr>
        <w:t>10</w:t>
      </w:r>
      <w:r w:rsidRPr="00ED2C1F">
        <w:rPr>
          <w:rFonts w:ascii="Times New Roman" w:eastAsia="等线" w:hAnsi="Times New Roman" w:cs="Times New Roman"/>
          <w:szCs w:val="21"/>
        </w:rPr>
        <w:t xml:space="preserve">00 for </w:t>
      </w:r>
      <w:r w:rsidRPr="00ED2C1F">
        <w:rPr>
          <w:rFonts w:ascii="Times New Roman" w:eastAsia="等线" w:hAnsi="Times New Roman" w:cs="Times New Roman" w:hint="eastAsia"/>
          <w:szCs w:val="21"/>
        </w:rPr>
        <w:t>WB</w:t>
      </w:r>
      <w:r w:rsidRPr="00ED2C1F">
        <w:rPr>
          <w:rFonts w:ascii="Times New Roman" w:eastAsia="等线" w:hAnsi="Times New Roman" w:cs="Times New Roman"/>
          <w:szCs w:val="21"/>
        </w:rPr>
        <w:t>)</w:t>
      </w:r>
      <w:r w:rsidRPr="00ED2C1F">
        <w:rPr>
          <w:rFonts w:ascii="Times New Roman" w:eastAsia="等线" w:hAnsi="Times New Roman" w:cs="Times New Roman" w:hint="eastAsia"/>
          <w:szCs w:val="21"/>
        </w:rPr>
        <w:t xml:space="preserve">, </w:t>
      </w:r>
      <w:r w:rsidRPr="00ED2C1F">
        <w:rPr>
          <w:rFonts w:ascii="Times New Roman" w:eastAsia="等线" w:hAnsi="Times New Roman" w:cs="Times New Roman"/>
          <w:szCs w:val="21"/>
        </w:rPr>
        <w:t>METTL</w:t>
      </w:r>
      <w:r w:rsidRPr="00ED2C1F">
        <w:rPr>
          <w:rFonts w:ascii="Times New Roman" w:eastAsia="等线" w:hAnsi="Times New Roman" w:cs="Times New Roman" w:hint="eastAsia"/>
          <w:szCs w:val="21"/>
        </w:rPr>
        <w:t>3</w:t>
      </w:r>
      <w:r w:rsidRPr="00ED2C1F">
        <w:rPr>
          <w:rFonts w:ascii="Times New Roman" w:eastAsia="等线" w:hAnsi="Times New Roman" w:cs="Times New Roman"/>
          <w:szCs w:val="21"/>
        </w:rPr>
        <w:t xml:space="preserve"> (rabbit, Proteintech, 15073-1-AP, 1:2000 for WB)</w:t>
      </w:r>
      <w:r w:rsidRPr="00ED2C1F">
        <w:rPr>
          <w:rFonts w:ascii="Times New Roman" w:eastAsia="等线" w:hAnsi="Times New Roman" w:cs="Times New Roman" w:hint="eastAsia"/>
          <w:szCs w:val="21"/>
        </w:rPr>
        <w:t xml:space="preserve">, </w:t>
      </w:r>
      <w:r w:rsidRPr="00ED2C1F">
        <w:rPr>
          <w:rFonts w:ascii="Times New Roman" w:eastAsia="等线" w:hAnsi="Times New Roman" w:cs="Times New Roman"/>
          <w:szCs w:val="21"/>
        </w:rPr>
        <w:t>METTL</w:t>
      </w:r>
      <w:r w:rsidRPr="00ED2C1F">
        <w:rPr>
          <w:rFonts w:ascii="Times New Roman" w:eastAsia="等线" w:hAnsi="Times New Roman" w:cs="Times New Roman" w:hint="eastAsia"/>
          <w:szCs w:val="21"/>
        </w:rPr>
        <w:t>16</w:t>
      </w:r>
      <w:r w:rsidRPr="00ED2C1F">
        <w:rPr>
          <w:rFonts w:ascii="Times New Roman" w:eastAsia="等线" w:hAnsi="Times New Roman" w:cs="Times New Roman"/>
          <w:szCs w:val="21"/>
        </w:rPr>
        <w:t xml:space="preserve"> (rabbit, Proteintech, 19924-1-AP, 1:</w:t>
      </w:r>
      <w:r w:rsidRPr="00ED2C1F">
        <w:rPr>
          <w:rFonts w:ascii="Times New Roman" w:eastAsia="等线" w:hAnsi="Times New Roman" w:cs="Times New Roman" w:hint="eastAsia"/>
          <w:szCs w:val="21"/>
        </w:rPr>
        <w:t>1</w:t>
      </w:r>
      <w:r w:rsidRPr="00ED2C1F">
        <w:rPr>
          <w:rFonts w:ascii="Times New Roman" w:eastAsia="等线" w:hAnsi="Times New Roman" w:cs="Times New Roman"/>
          <w:szCs w:val="21"/>
        </w:rPr>
        <w:t>000 for WB)</w:t>
      </w:r>
      <w:r w:rsidRPr="00ED2C1F">
        <w:rPr>
          <w:rFonts w:ascii="Times New Roman" w:eastAsia="等线" w:hAnsi="Times New Roman" w:cs="Times New Roman" w:hint="eastAsia"/>
          <w:szCs w:val="21"/>
        </w:rPr>
        <w:t xml:space="preserve">, WTAP </w:t>
      </w:r>
      <w:bookmarkStart w:id="5" w:name="OLE_LINK2"/>
      <w:r w:rsidRPr="00ED2C1F">
        <w:rPr>
          <w:rFonts w:ascii="Times New Roman" w:eastAsia="等线" w:hAnsi="Times New Roman" w:cs="Times New Roman"/>
          <w:szCs w:val="21"/>
        </w:rPr>
        <w:t>(mouse, Proteintech, 60188-1-Ig, 1:</w:t>
      </w:r>
      <w:r w:rsidRPr="00ED2C1F">
        <w:rPr>
          <w:rFonts w:ascii="Times New Roman" w:eastAsia="等线" w:hAnsi="Times New Roman" w:cs="Times New Roman" w:hint="eastAsia"/>
          <w:szCs w:val="21"/>
        </w:rPr>
        <w:t>4</w:t>
      </w:r>
      <w:r w:rsidRPr="00ED2C1F">
        <w:rPr>
          <w:rFonts w:ascii="Times New Roman" w:eastAsia="等线" w:hAnsi="Times New Roman" w:cs="Times New Roman"/>
          <w:szCs w:val="21"/>
        </w:rPr>
        <w:t>000 for WB)</w:t>
      </w:r>
      <w:bookmarkEnd w:id="5"/>
      <w:r w:rsidRPr="00ED2C1F">
        <w:rPr>
          <w:rFonts w:ascii="Times New Roman" w:eastAsia="等线" w:hAnsi="Times New Roman" w:cs="Times New Roman" w:hint="eastAsia"/>
          <w:szCs w:val="21"/>
        </w:rPr>
        <w:t xml:space="preserve">, VIRMA </w:t>
      </w:r>
      <w:r w:rsidRPr="00ED2C1F">
        <w:rPr>
          <w:rFonts w:ascii="Times New Roman" w:eastAsia="等线" w:hAnsi="Times New Roman" w:cs="Times New Roman"/>
          <w:szCs w:val="21"/>
        </w:rPr>
        <w:t>(rabbit, Proteintech, 25712-1-AP, 1:</w:t>
      </w:r>
      <w:r w:rsidRPr="00ED2C1F">
        <w:rPr>
          <w:rFonts w:ascii="Times New Roman" w:eastAsia="等线" w:hAnsi="Times New Roman" w:cs="Times New Roman" w:hint="eastAsia"/>
          <w:szCs w:val="21"/>
        </w:rPr>
        <w:t>1</w:t>
      </w:r>
      <w:r w:rsidRPr="00ED2C1F">
        <w:rPr>
          <w:rFonts w:ascii="Times New Roman" w:eastAsia="等线" w:hAnsi="Times New Roman" w:cs="Times New Roman"/>
          <w:szCs w:val="21"/>
        </w:rPr>
        <w:t>000 for WB)</w:t>
      </w:r>
      <w:r w:rsidRPr="00ED2C1F">
        <w:rPr>
          <w:rFonts w:ascii="Times New Roman" w:eastAsia="等线" w:hAnsi="Times New Roman" w:cs="Times New Roman" w:hint="eastAsia"/>
          <w:szCs w:val="21"/>
        </w:rPr>
        <w:t xml:space="preserve">, GST-tag </w:t>
      </w:r>
      <w:r w:rsidRPr="00ED2C1F">
        <w:rPr>
          <w:rFonts w:ascii="Times New Roman" w:eastAsia="等线" w:hAnsi="Times New Roman" w:cs="Times New Roman"/>
          <w:szCs w:val="21"/>
        </w:rPr>
        <w:t>(mouse, ABclonal, AE001, 1:</w:t>
      </w:r>
      <w:r w:rsidRPr="00ED2C1F">
        <w:rPr>
          <w:rFonts w:ascii="Times New Roman" w:eastAsia="等线" w:hAnsi="Times New Roman" w:cs="Times New Roman" w:hint="eastAsia"/>
          <w:szCs w:val="21"/>
        </w:rPr>
        <w:t>5</w:t>
      </w:r>
      <w:r w:rsidRPr="00ED2C1F">
        <w:rPr>
          <w:rFonts w:ascii="Times New Roman" w:eastAsia="等线" w:hAnsi="Times New Roman" w:cs="Times New Roman"/>
          <w:szCs w:val="21"/>
        </w:rPr>
        <w:t>000 for WB)</w:t>
      </w:r>
      <w:r w:rsidRPr="00ED2C1F">
        <w:rPr>
          <w:rFonts w:ascii="Times New Roman" w:eastAsia="等线" w:hAnsi="Times New Roman" w:cs="Times New Roman" w:hint="eastAsia"/>
          <w:szCs w:val="21"/>
        </w:rPr>
        <w:t xml:space="preserve">, His-tag </w:t>
      </w:r>
      <w:r w:rsidRPr="00ED2C1F">
        <w:rPr>
          <w:rFonts w:ascii="Times New Roman" w:eastAsia="等线" w:hAnsi="Times New Roman" w:cs="Times New Roman"/>
          <w:szCs w:val="21"/>
        </w:rPr>
        <w:t>(mouse, Proteintech, 66005-1-Ig, 1:</w:t>
      </w:r>
      <w:r w:rsidRPr="00ED2C1F">
        <w:rPr>
          <w:rFonts w:ascii="Times New Roman" w:eastAsia="等线" w:hAnsi="Times New Roman" w:cs="Times New Roman" w:hint="eastAsia"/>
          <w:szCs w:val="21"/>
        </w:rPr>
        <w:t>5</w:t>
      </w:r>
      <w:r w:rsidRPr="00ED2C1F">
        <w:rPr>
          <w:rFonts w:ascii="Times New Roman" w:eastAsia="等线" w:hAnsi="Times New Roman" w:cs="Times New Roman"/>
          <w:szCs w:val="21"/>
        </w:rPr>
        <w:t>000 for WB)</w:t>
      </w:r>
      <w:r w:rsidRPr="00ED2C1F">
        <w:rPr>
          <w:rFonts w:ascii="Times New Roman" w:eastAsia="等线" w:hAnsi="Times New Roman" w:cs="Times New Roman" w:hint="eastAsia"/>
          <w:szCs w:val="21"/>
        </w:rPr>
        <w:t xml:space="preserve">, </w:t>
      </w:r>
      <w:r w:rsidRPr="00ED2C1F">
        <w:rPr>
          <w:rFonts w:ascii="Times New Roman" w:eastAsia="等线" w:hAnsi="Times New Roman" w:cs="Times New Roman"/>
          <w:szCs w:val="21"/>
        </w:rPr>
        <w:t>C</w:t>
      </w:r>
      <w:r w:rsidRPr="00ED2C1F">
        <w:rPr>
          <w:rFonts w:ascii="Times New Roman" w:eastAsia="等线" w:hAnsi="Times New Roman" w:cs="Times New Roman" w:hint="eastAsia"/>
          <w:szCs w:val="21"/>
        </w:rPr>
        <w:t>leaved caspase-3</w:t>
      </w:r>
      <w:r w:rsidRPr="00ED2C1F">
        <w:rPr>
          <w:rFonts w:ascii="Times New Roman" w:eastAsia="等线" w:hAnsi="Times New Roman" w:cs="Times New Roman"/>
          <w:szCs w:val="21"/>
        </w:rPr>
        <w:t xml:space="preserve"> (rabbit, Cell Signaling Technology, </w:t>
      </w:r>
      <w:r w:rsidRPr="00ED2C1F">
        <w:rPr>
          <w:rFonts w:ascii="Times New Roman" w:eastAsia="等线" w:hAnsi="Times New Roman" w:cs="Times New Roman" w:hint="eastAsia"/>
          <w:szCs w:val="21"/>
        </w:rPr>
        <w:t>9664S</w:t>
      </w:r>
      <w:r w:rsidRPr="00ED2C1F">
        <w:rPr>
          <w:rFonts w:ascii="Times New Roman" w:eastAsia="等线" w:hAnsi="Times New Roman" w:cs="Times New Roman"/>
          <w:szCs w:val="21"/>
        </w:rPr>
        <w:t>, 1:</w:t>
      </w:r>
      <w:r w:rsidRPr="00ED2C1F">
        <w:rPr>
          <w:rFonts w:ascii="Times New Roman" w:eastAsia="等线" w:hAnsi="Times New Roman" w:cs="Times New Roman" w:hint="eastAsia"/>
          <w:szCs w:val="21"/>
        </w:rPr>
        <w:t>10</w:t>
      </w:r>
      <w:r w:rsidRPr="00ED2C1F">
        <w:rPr>
          <w:rFonts w:ascii="Times New Roman" w:eastAsia="等线" w:hAnsi="Times New Roman" w:cs="Times New Roman"/>
          <w:szCs w:val="21"/>
        </w:rPr>
        <w:t>00 for IHC or WB)</w:t>
      </w:r>
      <w:r w:rsidRPr="00ED2C1F">
        <w:rPr>
          <w:rFonts w:ascii="Times New Roman" w:eastAsia="等线" w:hAnsi="Times New Roman" w:cs="Times New Roman" w:hint="eastAsia"/>
          <w:szCs w:val="21"/>
        </w:rPr>
        <w:t>.</w:t>
      </w:r>
    </w:p>
    <w:p w:rsidR="003D2014" w:rsidRPr="00ED2C1F" w:rsidRDefault="003D2014" w:rsidP="003D2014">
      <w:pPr>
        <w:widowControl/>
        <w:spacing w:line="360" w:lineRule="auto"/>
        <w:rPr>
          <w:rFonts w:ascii="Times New Roman" w:eastAsia="等线" w:hAnsi="Times New Roman" w:cs="Times New Roman"/>
          <w:szCs w:val="21"/>
        </w:rPr>
      </w:pPr>
      <w:r w:rsidRPr="00ED2C1F">
        <w:rPr>
          <w:rFonts w:ascii="Times New Roman" w:eastAsia="等线" w:hAnsi="Times New Roman" w:cs="Times New Roman"/>
          <w:szCs w:val="21"/>
        </w:rPr>
        <w:t xml:space="preserve">The secondary antibodies goat anti-mouse IgG HRP (G-21040), goat anti-rabbit HRP (G-21234), </w:t>
      </w:r>
      <w:bookmarkStart w:id="6" w:name="OLE_LINK7"/>
      <w:r w:rsidRPr="00ED2C1F">
        <w:rPr>
          <w:rFonts w:ascii="Times New Roman" w:eastAsia="等线" w:hAnsi="Times New Roman" w:cs="Times New Roman"/>
          <w:szCs w:val="21"/>
        </w:rPr>
        <w:t>Donkey</w:t>
      </w:r>
      <w:bookmarkEnd w:id="6"/>
      <w:r w:rsidRPr="00ED2C1F">
        <w:rPr>
          <w:rFonts w:ascii="Times New Roman" w:eastAsia="等线" w:hAnsi="Times New Roman" w:cs="Times New Roman"/>
          <w:szCs w:val="21"/>
        </w:rPr>
        <w:t xml:space="preserve"> anti-rabbit Alexa Fluor™ Plus 488 (A32790) and Donkey anti-rat Alexa Fluor™ Plus 555 (A48270) were purchased from Thermo Fisher Scientific (Shanghai, China).</w:t>
      </w:r>
    </w:p>
    <w:p w:rsidR="003D2014" w:rsidRPr="00ED2C1F" w:rsidRDefault="003D2014" w:rsidP="003D2014">
      <w:pPr>
        <w:widowControl/>
        <w:spacing w:line="360" w:lineRule="auto"/>
        <w:rPr>
          <w:rFonts w:ascii="Times New Roman" w:eastAsia="等线" w:hAnsi="Times New Roman" w:cs="Times New Roman"/>
          <w:szCs w:val="21"/>
        </w:rPr>
      </w:pPr>
      <w:r w:rsidRPr="00ED2C1F">
        <w:rPr>
          <w:rFonts w:ascii="Times New Roman" w:eastAsia="等线" w:hAnsi="Times New Roman" w:cs="Times New Roman"/>
          <w:szCs w:val="21"/>
        </w:rPr>
        <w:t>Reagents: AnnexinV-FITC/PI apoptosis detection kit (556547, BD).</w:t>
      </w:r>
      <w:r w:rsidRPr="00ED2C1F">
        <w:rPr>
          <w:rFonts w:ascii="Times New Roman" w:eastAsia="等线" w:hAnsi="Times New Roman" w:cs="Times New Roman"/>
        </w:rPr>
        <w:t xml:space="preserve"> </w:t>
      </w:r>
      <w:r w:rsidRPr="00ED2C1F">
        <w:rPr>
          <w:rFonts w:ascii="Times New Roman" w:eastAsia="等线" w:hAnsi="Times New Roman" w:cs="Times New Roman"/>
          <w:szCs w:val="21"/>
        </w:rPr>
        <w:t>TransDectect double-luciferase reporter assay kit (RF201, TransGen Biotech). GDP-Glo</w:t>
      </w:r>
      <w:r w:rsidRPr="00ED2C1F">
        <w:rPr>
          <w:rFonts w:ascii="Times New Roman" w:eastAsia="等线" w:hAnsi="Times New Roman" w:cs="Times New Roman"/>
          <w:szCs w:val="21"/>
          <w:vertAlign w:val="superscript"/>
        </w:rPr>
        <w:t>TM</w:t>
      </w:r>
      <w:r w:rsidRPr="00ED2C1F">
        <w:rPr>
          <w:rFonts w:ascii="Times New Roman" w:eastAsia="等线" w:hAnsi="Times New Roman" w:cs="Times New Roman"/>
          <w:szCs w:val="21"/>
        </w:rPr>
        <w:t xml:space="preserve"> Glycosyltransferase Assay kit (V6961, Promega). 4’,6-diamidino-2-phenylindole (D9542),</w:t>
      </w:r>
      <w:r w:rsidRPr="00ED2C1F">
        <w:rPr>
          <w:rFonts w:ascii="Times New Roman" w:eastAsia="等线" w:hAnsi="Times New Roman" w:cs="Times New Roman"/>
          <w:color w:val="000000"/>
          <w:sz w:val="20"/>
          <w:szCs w:val="20"/>
        </w:rPr>
        <w:t xml:space="preserve"> </w:t>
      </w:r>
      <w:bookmarkStart w:id="7" w:name="OLE_LINK26"/>
      <w:r w:rsidRPr="00ED2C1F">
        <w:rPr>
          <w:rFonts w:ascii="Times New Roman" w:eastAsia="等线" w:hAnsi="Times New Roman" w:cs="Times New Roman"/>
          <w:szCs w:val="21"/>
        </w:rPr>
        <w:t>GenElute mRNA miniprep kit</w:t>
      </w:r>
      <w:bookmarkEnd w:id="7"/>
      <w:r w:rsidRPr="00ED2C1F">
        <w:rPr>
          <w:rFonts w:ascii="Times New Roman" w:eastAsia="等线" w:hAnsi="Times New Roman" w:cs="Times New Roman"/>
          <w:szCs w:val="21"/>
        </w:rPr>
        <w:t xml:space="preserve"> (DMN10) were purchased from Sigma-Aldrich (St. Louis, MO, USA). TUNEL BrightRed Apoptosis Detection Kit (A113-03), ClonExpress® II</w:t>
      </w:r>
      <w:r w:rsidRPr="00ED2C1F">
        <w:rPr>
          <w:rFonts w:ascii="Times New Roman" w:eastAsia="等线" w:hAnsi="Times New Roman" w:cs="Times New Roman" w:hint="eastAsia"/>
          <w:szCs w:val="21"/>
        </w:rPr>
        <w:t xml:space="preserve"> </w:t>
      </w:r>
      <w:r w:rsidRPr="00ED2C1F">
        <w:rPr>
          <w:rFonts w:ascii="Times New Roman" w:eastAsia="等线" w:hAnsi="Times New Roman" w:cs="Times New Roman"/>
          <w:szCs w:val="21"/>
        </w:rPr>
        <w:t>One Step Cloning Kit</w:t>
      </w:r>
      <w:r w:rsidRPr="00ED2C1F">
        <w:rPr>
          <w:rFonts w:ascii="Times New Roman" w:eastAsia="等线" w:hAnsi="Times New Roman" w:cs="Times New Roman" w:hint="eastAsia"/>
          <w:szCs w:val="21"/>
        </w:rPr>
        <w:t xml:space="preserve"> (C112),</w:t>
      </w:r>
      <w:r w:rsidRPr="00ED2C1F">
        <w:rPr>
          <w:rFonts w:ascii="Times New Roman" w:eastAsia="等线" w:hAnsi="Times New Roman" w:cs="Times New Roman"/>
          <w:szCs w:val="21"/>
        </w:rPr>
        <w:t xml:space="preserve"> Trizol reagent (R401-01), HiScript reverse transcriptase (R323-01), FastPure Cell/Tissue Total RNA Isolation Kit V2 (RC112), Taq </w:t>
      </w:r>
      <w:r w:rsidRPr="00ED2C1F">
        <w:rPr>
          <w:rFonts w:ascii="Times New Roman" w:eastAsia="等线" w:hAnsi="Times New Roman" w:cs="Times New Roman" w:hint="eastAsia"/>
          <w:szCs w:val="21"/>
        </w:rPr>
        <w:t>P</w:t>
      </w:r>
      <w:r w:rsidRPr="00ED2C1F">
        <w:rPr>
          <w:rFonts w:ascii="Times New Roman" w:eastAsia="等线" w:hAnsi="Times New Roman" w:cs="Times New Roman"/>
          <w:szCs w:val="21"/>
        </w:rPr>
        <w:t xml:space="preserve">ro Universal SYBR qPCR </w:t>
      </w:r>
      <w:r w:rsidRPr="00ED2C1F">
        <w:rPr>
          <w:rFonts w:ascii="Times New Roman" w:eastAsia="等线" w:hAnsi="Times New Roman" w:cs="Times New Roman" w:hint="eastAsia"/>
          <w:szCs w:val="21"/>
        </w:rPr>
        <w:t>M</w:t>
      </w:r>
      <w:r w:rsidRPr="00ED2C1F">
        <w:rPr>
          <w:rFonts w:ascii="Times New Roman" w:eastAsia="等线" w:hAnsi="Times New Roman" w:cs="Times New Roman"/>
          <w:szCs w:val="21"/>
        </w:rPr>
        <w:t xml:space="preserve">aster </w:t>
      </w:r>
      <w:r w:rsidRPr="00ED2C1F">
        <w:rPr>
          <w:rFonts w:ascii="Times New Roman" w:eastAsia="等线" w:hAnsi="Times New Roman" w:cs="Times New Roman" w:hint="eastAsia"/>
          <w:szCs w:val="21"/>
        </w:rPr>
        <w:t>M</w:t>
      </w:r>
      <w:r w:rsidRPr="00ED2C1F">
        <w:rPr>
          <w:rFonts w:ascii="Times New Roman" w:eastAsia="等线" w:hAnsi="Times New Roman" w:cs="Times New Roman"/>
          <w:szCs w:val="21"/>
        </w:rPr>
        <w:t>ix (Q</w:t>
      </w:r>
      <w:r w:rsidRPr="00ED2C1F">
        <w:rPr>
          <w:rFonts w:ascii="Times New Roman" w:eastAsia="等线" w:hAnsi="Times New Roman" w:cs="Times New Roman" w:hint="eastAsia"/>
          <w:szCs w:val="21"/>
        </w:rPr>
        <w:t>712</w:t>
      </w:r>
      <w:r w:rsidRPr="00ED2C1F">
        <w:rPr>
          <w:rFonts w:ascii="Times New Roman" w:eastAsia="等线" w:hAnsi="Times New Roman" w:cs="Times New Roman"/>
          <w:szCs w:val="21"/>
        </w:rPr>
        <w:t>-02), Protein A/G Magnetic Beads (PB101-01), Mouse CD8</w:t>
      </w:r>
      <w:r w:rsidRPr="00ED2C1F">
        <w:rPr>
          <w:rFonts w:ascii="Times New Roman" w:eastAsia="等线" w:hAnsi="Times New Roman" w:cs="Times New Roman"/>
          <w:szCs w:val="21"/>
          <w:vertAlign w:val="superscript"/>
        </w:rPr>
        <w:t>+</w:t>
      </w:r>
      <w:r w:rsidRPr="00ED2C1F">
        <w:rPr>
          <w:rFonts w:ascii="Times New Roman" w:eastAsia="等线" w:hAnsi="Times New Roman" w:cs="Times New Roman"/>
          <w:szCs w:val="21"/>
        </w:rPr>
        <w:t xml:space="preserve"> T Cell Isolation Kit (CS103-01) </w:t>
      </w:r>
      <w:bookmarkStart w:id="8" w:name="OLE_LINK25"/>
      <w:r w:rsidRPr="00ED2C1F">
        <w:rPr>
          <w:rFonts w:ascii="Times New Roman" w:eastAsia="等线" w:hAnsi="Times New Roman" w:cs="Times New Roman"/>
          <w:szCs w:val="21"/>
        </w:rPr>
        <w:t>were purchased from</w:t>
      </w:r>
      <w:bookmarkEnd w:id="8"/>
      <w:r w:rsidRPr="00ED2C1F">
        <w:rPr>
          <w:rFonts w:ascii="Times New Roman" w:eastAsia="等线" w:hAnsi="Times New Roman" w:cs="Times New Roman"/>
          <w:szCs w:val="21"/>
        </w:rPr>
        <w:t xml:space="preserve"> Vazyme (Nanjing, China). Anti-FLAG </w:t>
      </w:r>
      <w:bookmarkStart w:id="9" w:name="_Hlk193980479"/>
      <w:r w:rsidRPr="00ED2C1F">
        <w:rPr>
          <w:rFonts w:ascii="Times New Roman" w:eastAsia="等线" w:hAnsi="Times New Roman" w:cs="Times New Roman"/>
          <w:szCs w:val="21"/>
        </w:rPr>
        <w:t>M2 magnetic beads</w:t>
      </w:r>
      <w:bookmarkEnd w:id="9"/>
      <w:r w:rsidRPr="00ED2C1F">
        <w:rPr>
          <w:rFonts w:ascii="Times New Roman" w:eastAsia="等线" w:hAnsi="Times New Roman" w:cs="Times New Roman"/>
          <w:szCs w:val="21"/>
        </w:rPr>
        <w:t xml:space="preserve"> (M8823), chromatin IP assay kit (17-295), RIPA lysis buffer, puromycin and hygromycin were purchased from Merck/Millipore (Darmstadt, Germany). Lipocalin-2/NGAL Protein (HY-P70658A), MG-132 (HY-13259), Actinomycin D (HY-17559), Cycloheximide (HY-12320)</w:t>
      </w:r>
      <w:r w:rsidRPr="00ED2C1F">
        <w:rPr>
          <w:rFonts w:ascii="Times New Roman" w:eastAsia="等线" w:hAnsi="Times New Roman" w:cs="Times New Roman" w:hint="eastAsia"/>
          <w:szCs w:val="21"/>
        </w:rPr>
        <w:t xml:space="preserve">, </w:t>
      </w:r>
      <w:r w:rsidRPr="00ED2C1F">
        <w:rPr>
          <w:rFonts w:ascii="Times New Roman" w:eastAsia="等线" w:hAnsi="Times New Roman" w:cs="Times New Roman"/>
          <w:szCs w:val="21"/>
        </w:rPr>
        <w:t>CIA1</w:t>
      </w:r>
      <w:r w:rsidRPr="00ED2C1F">
        <w:rPr>
          <w:rFonts w:ascii="Times New Roman" w:eastAsia="等线" w:hAnsi="Times New Roman" w:cs="Times New Roman" w:hint="eastAsia"/>
          <w:szCs w:val="21"/>
        </w:rPr>
        <w:t xml:space="preserve"> (</w:t>
      </w:r>
      <w:r w:rsidRPr="00ED2C1F">
        <w:rPr>
          <w:rFonts w:ascii="Times New Roman" w:eastAsia="等线" w:hAnsi="Times New Roman" w:cs="Times New Roman"/>
          <w:szCs w:val="21"/>
        </w:rPr>
        <w:t>HY-156190A</w:t>
      </w:r>
      <w:r w:rsidRPr="00ED2C1F">
        <w:rPr>
          <w:rFonts w:ascii="Times New Roman" w:eastAsia="等线" w:hAnsi="Times New Roman" w:cs="Times New Roman" w:hint="eastAsia"/>
          <w:szCs w:val="21"/>
        </w:rPr>
        <w:t>)</w:t>
      </w:r>
      <w:r w:rsidRPr="00ED2C1F">
        <w:rPr>
          <w:rFonts w:ascii="Times New Roman" w:eastAsia="等线" w:hAnsi="Times New Roman" w:cs="Times New Roman"/>
          <w:szCs w:val="21"/>
        </w:rPr>
        <w:t xml:space="preserve"> were bought from MedChemExpress.</w:t>
      </w:r>
    </w:p>
    <w:p w:rsidR="003D2014" w:rsidRPr="00ED2C1F" w:rsidRDefault="003D2014" w:rsidP="003D2014">
      <w:pPr>
        <w:widowControl/>
        <w:spacing w:line="360" w:lineRule="auto"/>
        <w:rPr>
          <w:rFonts w:ascii="Times New Roman" w:eastAsia="等线" w:hAnsi="Times New Roman" w:cs="Times New Roman"/>
          <w:color w:val="FF0000"/>
          <w:szCs w:val="21"/>
        </w:rPr>
      </w:pPr>
    </w:p>
    <w:p w:rsidR="003D2014" w:rsidRPr="00ED2C1F" w:rsidRDefault="003D2014" w:rsidP="003D2014">
      <w:pPr>
        <w:widowControl/>
        <w:spacing w:line="360" w:lineRule="auto"/>
        <w:rPr>
          <w:rFonts w:ascii="Times New Roman" w:eastAsia="等线" w:hAnsi="Times New Roman" w:cs="Times New Roman"/>
          <w:b/>
          <w:bCs/>
          <w:szCs w:val="21"/>
        </w:rPr>
      </w:pPr>
      <w:r w:rsidRPr="00ED2C1F">
        <w:rPr>
          <w:rFonts w:ascii="Times New Roman" w:eastAsia="等线" w:hAnsi="Times New Roman" w:cs="Times New Roman"/>
          <w:b/>
          <w:bCs/>
          <w:szCs w:val="21"/>
        </w:rPr>
        <w:t>Lentivirus packaging and infection</w:t>
      </w:r>
    </w:p>
    <w:p w:rsidR="003D2014" w:rsidRPr="00ED2C1F" w:rsidRDefault="003D2014" w:rsidP="003D2014">
      <w:pPr>
        <w:widowControl/>
        <w:spacing w:line="360" w:lineRule="auto"/>
        <w:rPr>
          <w:rFonts w:ascii="Times New Roman" w:eastAsia="等线" w:hAnsi="Times New Roman" w:cs="Times New Roman"/>
          <w:szCs w:val="21"/>
        </w:rPr>
      </w:pPr>
      <w:r w:rsidRPr="00ED2C1F">
        <w:rPr>
          <w:rFonts w:ascii="Times New Roman" w:eastAsia="等线" w:hAnsi="Times New Roman" w:cs="Times New Roman"/>
          <w:szCs w:val="21"/>
        </w:rPr>
        <w:t>The lentivirus was packaged in HEK293T cells transfected with the target plasmids, psPAX2 (Addgene #12260), and pMD2.G (Addgene #12259) at a ratio of 4:3:1 using polyethylenimine as the transfection reagent. All plasmids used were endotoxin-free. Viral supernatants were collected 48 hours post-transfection, filtered through a 0.22-µm membrane, and used to infect KPC or P</w:t>
      </w:r>
      <w:r w:rsidRPr="00ED2C1F">
        <w:rPr>
          <w:rFonts w:ascii="Times New Roman" w:eastAsia="等线" w:hAnsi="Times New Roman" w:cs="Times New Roman" w:hint="eastAsia"/>
          <w:szCs w:val="21"/>
        </w:rPr>
        <w:t xml:space="preserve">ANC-1 </w:t>
      </w:r>
      <w:r w:rsidRPr="00ED2C1F">
        <w:rPr>
          <w:rFonts w:ascii="Times New Roman" w:eastAsia="等线" w:hAnsi="Times New Roman" w:cs="Times New Roman"/>
          <w:szCs w:val="21"/>
        </w:rPr>
        <w:t>cells in the presence of polybrene for 12–16 hours. The efficiency of overexpression or knockdown was confirmed by western blot.</w:t>
      </w:r>
    </w:p>
    <w:p w:rsidR="003D2014" w:rsidRPr="00ED2C1F" w:rsidRDefault="003D2014" w:rsidP="003D2014">
      <w:pPr>
        <w:widowControl/>
        <w:spacing w:line="360" w:lineRule="auto"/>
        <w:rPr>
          <w:rFonts w:ascii="Times New Roman" w:eastAsia="等线" w:hAnsi="Times New Roman" w:cs="Times New Roman"/>
          <w:szCs w:val="21"/>
        </w:rPr>
      </w:pPr>
    </w:p>
    <w:p w:rsidR="003D2014" w:rsidRPr="00ED2C1F" w:rsidRDefault="003D2014" w:rsidP="003D2014">
      <w:pPr>
        <w:widowControl/>
        <w:spacing w:line="360" w:lineRule="auto"/>
        <w:rPr>
          <w:rFonts w:ascii="Times New Roman" w:eastAsia="等线" w:hAnsi="Times New Roman" w:cs="Times New Roman"/>
          <w:b/>
          <w:bCs/>
          <w:szCs w:val="21"/>
        </w:rPr>
      </w:pPr>
      <w:r w:rsidRPr="00ED2C1F">
        <w:rPr>
          <w:rFonts w:ascii="Times New Roman" w:eastAsia="等线" w:hAnsi="Times New Roman" w:cs="Times New Roman"/>
          <w:b/>
          <w:bCs/>
          <w:szCs w:val="21"/>
        </w:rPr>
        <w:t xml:space="preserve">Western </w:t>
      </w:r>
      <w:r w:rsidRPr="00ED2C1F">
        <w:rPr>
          <w:rFonts w:ascii="Times New Roman" w:eastAsia="等线" w:hAnsi="Times New Roman" w:cs="Times New Roman" w:hint="eastAsia"/>
          <w:b/>
          <w:bCs/>
          <w:szCs w:val="21"/>
        </w:rPr>
        <w:t>b</w:t>
      </w:r>
      <w:r w:rsidRPr="00ED2C1F">
        <w:rPr>
          <w:rFonts w:ascii="Times New Roman" w:eastAsia="等线" w:hAnsi="Times New Roman" w:cs="Times New Roman"/>
          <w:b/>
          <w:bCs/>
          <w:szCs w:val="21"/>
        </w:rPr>
        <w:t xml:space="preserve">lot </w:t>
      </w:r>
      <w:r w:rsidRPr="00ED2C1F">
        <w:rPr>
          <w:rFonts w:ascii="Times New Roman" w:eastAsia="等线" w:hAnsi="Times New Roman" w:cs="Times New Roman" w:hint="eastAsia"/>
          <w:b/>
          <w:bCs/>
          <w:szCs w:val="21"/>
        </w:rPr>
        <w:t>a</w:t>
      </w:r>
      <w:r w:rsidRPr="00ED2C1F">
        <w:rPr>
          <w:rFonts w:ascii="Times New Roman" w:eastAsia="等线" w:hAnsi="Times New Roman" w:cs="Times New Roman"/>
          <w:b/>
          <w:bCs/>
          <w:szCs w:val="21"/>
        </w:rPr>
        <w:t>nalysis</w:t>
      </w:r>
    </w:p>
    <w:p w:rsidR="003D2014" w:rsidRPr="00ED2C1F" w:rsidRDefault="003D2014" w:rsidP="003D2014">
      <w:pPr>
        <w:widowControl/>
        <w:spacing w:line="360" w:lineRule="auto"/>
        <w:rPr>
          <w:rFonts w:ascii="Times New Roman" w:eastAsia="等线" w:hAnsi="Times New Roman" w:cs="Times New Roman"/>
          <w:szCs w:val="21"/>
        </w:rPr>
      </w:pPr>
      <w:r w:rsidRPr="00ED2C1F">
        <w:rPr>
          <w:rFonts w:ascii="Times New Roman" w:eastAsia="等线" w:hAnsi="Times New Roman" w:cs="Times New Roman"/>
          <w:szCs w:val="21"/>
        </w:rPr>
        <w:t xml:space="preserve">Cells were lysed using RIPA buffer, and the protein concentrations were quantified via BCA assay. Equal amounts of protein were separated by </w:t>
      </w:r>
      <w:bookmarkStart w:id="10" w:name="OLE_LINK14"/>
      <w:r w:rsidRPr="00ED2C1F">
        <w:rPr>
          <w:rFonts w:ascii="Times New Roman" w:eastAsia="等线" w:hAnsi="Times New Roman" w:cs="Times New Roman"/>
          <w:szCs w:val="21"/>
        </w:rPr>
        <w:t>10%</w:t>
      </w:r>
      <w:bookmarkEnd w:id="10"/>
      <w:r w:rsidRPr="00ED2C1F">
        <w:rPr>
          <w:rFonts w:ascii="Times New Roman" w:eastAsia="等线" w:hAnsi="Times New Roman" w:cs="Times New Roman"/>
          <w:szCs w:val="21"/>
        </w:rPr>
        <w:t xml:space="preserve"> or 15% SDS-PAGE and transferred onto a polyvinylidene difluoride (PVDF) membrane (Millipore, Billerica, MA). The membrane was blocked with 5% non-fat milk at room temperature for 1 hour, followed by incubation with primary antibodies overnight at 4°C. </w:t>
      </w:r>
      <w:bookmarkStart w:id="11" w:name="_Hlk193994806"/>
      <w:r w:rsidRPr="00ED2C1F">
        <w:rPr>
          <w:rFonts w:ascii="Times New Roman" w:eastAsia="等线" w:hAnsi="Times New Roman" w:cs="Times New Roman"/>
          <w:szCs w:val="21"/>
        </w:rPr>
        <w:t>HRP-conjugated secondary antibodies were added and incubated for 1 hour at room temperature</w:t>
      </w:r>
      <w:bookmarkEnd w:id="11"/>
      <w:r w:rsidRPr="00ED2C1F">
        <w:rPr>
          <w:rFonts w:ascii="Times New Roman" w:eastAsia="等线" w:hAnsi="Times New Roman" w:cs="Times New Roman"/>
          <w:szCs w:val="21"/>
        </w:rPr>
        <w:t xml:space="preserve">. </w:t>
      </w:r>
      <w:bookmarkStart w:id="12" w:name="OLE_LINK28"/>
      <w:r w:rsidRPr="00ED2C1F">
        <w:rPr>
          <w:rFonts w:ascii="Times New Roman" w:eastAsia="等线" w:hAnsi="Times New Roman" w:cs="Times New Roman"/>
          <w:szCs w:val="21"/>
        </w:rPr>
        <w:t>Immunoreactive bands were detected using enhanced chemiluminescence (Thermo Fisher Scientific, Waltham, MA) and visualized with the LAS 4000 Imaging System (Fujifilm, Tokyo, Japan).</w:t>
      </w:r>
      <w:bookmarkEnd w:id="12"/>
    </w:p>
    <w:p w:rsidR="003D2014" w:rsidRPr="00ED2C1F" w:rsidRDefault="003D2014" w:rsidP="003D2014">
      <w:pPr>
        <w:widowControl/>
        <w:spacing w:line="360" w:lineRule="auto"/>
        <w:rPr>
          <w:rFonts w:ascii="Times New Roman" w:eastAsia="等线" w:hAnsi="Times New Roman" w:cs="Times New Roman"/>
          <w:szCs w:val="21"/>
        </w:rPr>
      </w:pPr>
    </w:p>
    <w:p w:rsidR="003D2014" w:rsidRPr="00ED2C1F" w:rsidRDefault="003D2014" w:rsidP="003D2014">
      <w:pPr>
        <w:widowControl/>
        <w:spacing w:line="360" w:lineRule="auto"/>
        <w:rPr>
          <w:rFonts w:ascii="Times New Roman" w:eastAsia="等线" w:hAnsi="Times New Roman" w:cs="Times New Roman"/>
          <w:b/>
          <w:bCs/>
          <w:szCs w:val="21"/>
        </w:rPr>
      </w:pPr>
      <w:r w:rsidRPr="00ED2C1F">
        <w:rPr>
          <w:rFonts w:ascii="Times New Roman" w:eastAsia="等线" w:hAnsi="Times New Roman" w:cs="Times New Roman"/>
          <w:b/>
          <w:bCs/>
          <w:szCs w:val="21"/>
        </w:rPr>
        <w:t xml:space="preserve">RNA extraction and </w:t>
      </w:r>
      <w:r w:rsidRPr="00ED2C1F">
        <w:rPr>
          <w:rFonts w:ascii="Times New Roman" w:eastAsia="等线" w:hAnsi="Times New Roman" w:cs="Times New Roman" w:hint="eastAsia"/>
          <w:b/>
          <w:bCs/>
          <w:szCs w:val="21"/>
        </w:rPr>
        <w:t>q</w:t>
      </w:r>
      <w:r w:rsidRPr="00ED2C1F">
        <w:rPr>
          <w:rFonts w:ascii="Times New Roman" w:eastAsia="等线" w:hAnsi="Times New Roman" w:cs="Times New Roman"/>
          <w:b/>
          <w:bCs/>
          <w:szCs w:val="21"/>
        </w:rPr>
        <w:t>uantitative RT-PCR (qPCR)</w:t>
      </w:r>
    </w:p>
    <w:p w:rsidR="003D2014" w:rsidRPr="00ED2C1F" w:rsidRDefault="003D2014" w:rsidP="003D2014">
      <w:pPr>
        <w:widowControl/>
        <w:spacing w:line="360" w:lineRule="auto"/>
        <w:rPr>
          <w:rFonts w:ascii="Times New Roman" w:eastAsia="等线" w:hAnsi="Times New Roman" w:cs="Times New Roman"/>
          <w:szCs w:val="21"/>
        </w:rPr>
      </w:pPr>
      <w:bookmarkStart w:id="13" w:name="OLE_LINK23"/>
      <w:r w:rsidRPr="00ED2C1F">
        <w:rPr>
          <w:rFonts w:ascii="Times New Roman" w:eastAsia="等线" w:hAnsi="Times New Roman" w:cs="Times New Roman"/>
          <w:szCs w:val="21"/>
        </w:rPr>
        <w:t>Total RNA was extracted using TRIzol reagent following the manufacturer’s instructions</w:t>
      </w:r>
      <w:bookmarkEnd w:id="13"/>
      <w:r w:rsidRPr="00ED2C1F">
        <w:rPr>
          <w:rFonts w:ascii="Times New Roman" w:eastAsia="等线" w:hAnsi="Times New Roman" w:cs="Times New Roman"/>
          <w:szCs w:val="21"/>
        </w:rPr>
        <w:t xml:space="preserve"> and reverse-transcribed into cDNA with HiScript Reverse Transcriptase. qPCR was conducted on a real-time system using Taq Pro Universal SYBR qPCR Master Mix, with </w:t>
      </w:r>
      <w:r w:rsidRPr="00ED2C1F">
        <w:rPr>
          <w:rFonts w:ascii="Times New Roman" w:eastAsia="等线" w:hAnsi="Times New Roman" w:cs="Times New Roman"/>
          <w:i/>
          <w:iCs/>
          <w:szCs w:val="21"/>
        </w:rPr>
        <w:t>ACTB</w:t>
      </w:r>
      <w:r w:rsidRPr="00ED2C1F">
        <w:rPr>
          <w:rFonts w:ascii="Times New Roman" w:eastAsia="等线" w:hAnsi="Times New Roman" w:cs="Times New Roman"/>
          <w:szCs w:val="21"/>
        </w:rPr>
        <w:t xml:space="preserve"> serving as the internal control. The primer sequences are listed in the Table S2.</w:t>
      </w:r>
    </w:p>
    <w:p w:rsidR="003D2014" w:rsidRPr="00ED2C1F" w:rsidRDefault="003D2014" w:rsidP="003D2014">
      <w:pPr>
        <w:widowControl/>
        <w:spacing w:line="360" w:lineRule="auto"/>
        <w:rPr>
          <w:rFonts w:ascii="Times New Roman" w:eastAsia="等线" w:hAnsi="Times New Roman" w:cs="Times New Roman"/>
          <w:szCs w:val="21"/>
        </w:rPr>
      </w:pPr>
    </w:p>
    <w:p w:rsidR="003D2014" w:rsidRPr="00ED2C1F" w:rsidRDefault="003D2014" w:rsidP="003D2014">
      <w:pPr>
        <w:widowControl/>
        <w:spacing w:line="360" w:lineRule="auto"/>
        <w:rPr>
          <w:rFonts w:ascii="Times New Roman" w:eastAsia="等线" w:hAnsi="Times New Roman" w:cs="Times New Roman"/>
          <w:b/>
          <w:bCs/>
          <w:szCs w:val="21"/>
        </w:rPr>
      </w:pPr>
      <w:r w:rsidRPr="00ED2C1F">
        <w:rPr>
          <w:rFonts w:ascii="Times New Roman" w:eastAsia="等线" w:hAnsi="Times New Roman" w:cs="Times New Roman"/>
          <w:b/>
          <w:bCs/>
          <w:szCs w:val="21"/>
        </w:rPr>
        <w:t>Colony formation assay</w:t>
      </w:r>
    </w:p>
    <w:p w:rsidR="003D2014" w:rsidRPr="00ED2C1F" w:rsidRDefault="003D2014" w:rsidP="003D2014">
      <w:pPr>
        <w:widowControl/>
        <w:spacing w:line="360" w:lineRule="auto"/>
        <w:rPr>
          <w:rFonts w:ascii="Times New Roman" w:eastAsia="等线" w:hAnsi="Times New Roman" w:cs="Times New Roman"/>
          <w:szCs w:val="21"/>
        </w:rPr>
      </w:pPr>
      <w:r w:rsidRPr="00ED2C1F">
        <w:rPr>
          <w:rFonts w:ascii="Times New Roman" w:eastAsia="等线" w:hAnsi="Times New Roman" w:cs="Times New Roman"/>
          <w:szCs w:val="21"/>
        </w:rPr>
        <w:t>A total of 800 KPC cells per well were plated in six-well plates and incubated at 37°C with 5% CO2. Following treatment with various doses of radiotherapy, the cells were cultured for an additional 7–10 days. The resulting colonies were carefully rinsed with PBS, fixed in 4% paraformaldehyde for 30 min, and stained with crystal violet (Beyotime, Cat. No. C0121) for 40 min. The stained colonies were then imaged and quantified.</w:t>
      </w:r>
    </w:p>
    <w:p w:rsidR="003D2014" w:rsidRPr="00ED2C1F" w:rsidRDefault="003D2014" w:rsidP="003D2014">
      <w:pPr>
        <w:widowControl/>
        <w:spacing w:line="360" w:lineRule="auto"/>
        <w:rPr>
          <w:rFonts w:ascii="Times New Roman" w:eastAsia="等线" w:hAnsi="Times New Roman" w:cs="Times New Roman"/>
          <w:color w:val="FF0000"/>
          <w:szCs w:val="21"/>
        </w:rPr>
      </w:pPr>
    </w:p>
    <w:p w:rsidR="003D2014" w:rsidRPr="00ED2C1F" w:rsidRDefault="003D2014" w:rsidP="003D2014">
      <w:pPr>
        <w:widowControl/>
        <w:spacing w:line="360" w:lineRule="auto"/>
        <w:jc w:val="left"/>
        <w:rPr>
          <w:rFonts w:ascii="Times New Roman" w:eastAsia="等线" w:hAnsi="Times New Roman" w:cs="Times New Roman"/>
          <w:szCs w:val="21"/>
        </w:rPr>
      </w:pPr>
      <w:r w:rsidRPr="00ED2C1F">
        <w:rPr>
          <w:rFonts w:ascii="Times New Roman" w:eastAsia="等线" w:hAnsi="Times New Roman" w:cs="Times New Roman"/>
          <w:b/>
          <w:bCs/>
          <w:szCs w:val="21"/>
        </w:rPr>
        <w:t>Enzyme activity assay</w:t>
      </w:r>
      <w:r w:rsidRPr="00ED2C1F">
        <w:rPr>
          <w:rFonts w:ascii="Times New Roman" w:eastAsia="等线" w:hAnsi="Times New Roman" w:cs="Times New Roman"/>
          <w:szCs w:val="21"/>
        </w:rPr>
        <w:cr/>
        <w:t>The overexpressing FUT2-Flag in KPC or P</w:t>
      </w:r>
      <w:r w:rsidRPr="00ED2C1F">
        <w:rPr>
          <w:rFonts w:ascii="Times New Roman" w:eastAsia="等线" w:hAnsi="Times New Roman" w:cs="Times New Roman" w:hint="eastAsia"/>
          <w:szCs w:val="21"/>
        </w:rPr>
        <w:t>ANC-1</w:t>
      </w:r>
      <w:r w:rsidRPr="00ED2C1F">
        <w:rPr>
          <w:rFonts w:ascii="Times New Roman" w:eastAsia="等线" w:hAnsi="Times New Roman" w:cs="Times New Roman"/>
          <w:szCs w:val="21"/>
        </w:rPr>
        <w:t xml:space="preserve"> cell were enriched by Anti-Flag M2 magnetic beads and the enzyme activity was measured using a UDP-Glo</w:t>
      </w:r>
      <w:r w:rsidRPr="00ED2C1F">
        <w:rPr>
          <w:rFonts w:ascii="Times New Roman" w:eastAsia="等线" w:hAnsi="Times New Roman" w:cs="Times New Roman"/>
          <w:szCs w:val="21"/>
          <w:vertAlign w:val="superscript"/>
        </w:rPr>
        <w:t>TM</w:t>
      </w:r>
      <w:r w:rsidRPr="00ED2C1F">
        <w:rPr>
          <w:rFonts w:ascii="Times New Roman" w:eastAsia="等线" w:hAnsi="Times New Roman" w:cs="Times New Roman"/>
          <w:szCs w:val="21"/>
        </w:rPr>
        <w:t xml:space="preserve"> Glycosyltransferase Assay kit (V6961) according to the manufacturer’s protocol. Reagents and a set of standards were prepared for the assays. </w:t>
      </w:r>
    </w:p>
    <w:p w:rsidR="003D2014" w:rsidRPr="00ED2C1F" w:rsidRDefault="003D2014" w:rsidP="003D2014">
      <w:pPr>
        <w:widowControl/>
        <w:spacing w:line="360" w:lineRule="auto"/>
        <w:rPr>
          <w:rFonts w:ascii="Times New Roman" w:eastAsia="等线" w:hAnsi="Times New Roman" w:cs="Times New Roman"/>
          <w:color w:val="FF0000"/>
          <w:szCs w:val="21"/>
        </w:rPr>
      </w:pPr>
    </w:p>
    <w:p w:rsidR="003D2014" w:rsidRPr="00ED2C1F" w:rsidRDefault="003D2014" w:rsidP="003D2014">
      <w:pPr>
        <w:widowControl/>
        <w:spacing w:line="360" w:lineRule="auto"/>
        <w:rPr>
          <w:rFonts w:ascii="Times New Roman" w:eastAsia="等线" w:hAnsi="Times New Roman" w:cs="Times New Roman"/>
          <w:b/>
          <w:bCs/>
          <w:szCs w:val="21"/>
        </w:rPr>
      </w:pPr>
      <w:r w:rsidRPr="00ED2C1F">
        <w:rPr>
          <w:rFonts w:ascii="Times New Roman" w:eastAsia="等线" w:hAnsi="Times New Roman" w:cs="Times New Roman"/>
          <w:b/>
          <w:bCs/>
          <w:szCs w:val="21"/>
        </w:rPr>
        <w:t>Chromatin immune-precipitation (ChIP) assay</w:t>
      </w:r>
    </w:p>
    <w:p w:rsidR="003D2014" w:rsidRPr="00ED2C1F" w:rsidRDefault="003D2014" w:rsidP="003D2014">
      <w:pPr>
        <w:widowControl/>
        <w:spacing w:line="360" w:lineRule="auto"/>
        <w:rPr>
          <w:rFonts w:ascii="Times New Roman" w:eastAsia="等线" w:hAnsi="Times New Roman" w:cs="Times New Roman"/>
          <w:szCs w:val="21"/>
        </w:rPr>
      </w:pPr>
      <w:r w:rsidRPr="00ED2C1F">
        <w:rPr>
          <w:rFonts w:ascii="Times New Roman" w:eastAsia="等线" w:hAnsi="Times New Roman" w:cs="Times New Roman"/>
          <w:szCs w:val="21"/>
        </w:rPr>
        <w:t>The ChIP assay was conducted using a chromatin immunoprecipitation assay kit following the manufacturer’s protocol. Briefly, cells were crosslinked with 1% formaldehyde at 37°C, and the reaction was quenched with 125 mM glycine. After washing twice with cold PBS, the cells were processed according to the kit instructions. An anti-NR2F2 antibody was utilized for the ChIP assays, with rabbit IgG serving as a negative control. The enrich</w:t>
      </w:r>
      <w:r w:rsidRPr="00ED2C1F">
        <w:rPr>
          <w:rFonts w:ascii="Times New Roman" w:eastAsia="等线" w:hAnsi="Times New Roman" w:cs="Times New Roman" w:hint="eastAsia"/>
          <w:szCs w:val="21"/>
        </w:rPr>
        <w:t>ed DNA</w:t>
      </w:r>
      <w:r w:rsidRPr="00ED2C1F">
        <w:rPr>
          <w:rFonts w:ascii="Times New Roman" w:eastAsia="等线" w:hAnsi="Times New Roman" w:cs="Times New Roman"/>
          <w:szCs w:val="21"/>
        </w:rPr>
        <w:t xml:space="preserve"> of NR2F2 binding to the LCN2 promoter was assessed by qPCR. The primer sequences used for ChIP-qPCR are: Forward 5'-GTGCTGAGCTAGAAGGGTGG, Reverse 5’- CTGTCCCCTCAGGTCCCTAT.</w:t>
      </w:r>
    </w:p>
    <w:p w:rsidR="003D2014" w:rsidRPr="00ED2C1F" w:rsidRDefault="003D2014" w:rsidP="003D2014">
      <w:pPr>
        <w:widowControl/>
        <w:spacing w:line="360" w:lineRule="auto"/>
        <w:rPr>
          <w:rFonts w:ascii="Times New Roman" w:eastAsia="等线" w:hAnsi="Times New Roman" w:cs="Times New Roman"/>
          <w:color w:val="FF0000"/>
          <w:szCs w:val="21"/>
        </w:rPr>
      </w:pPr>
    </w:p>
    <w:p w:rsidR="003D2014" w:rsidRPr="00ED2C1F" w:rsidRDefault="003D2014" w:rsidP="003D2014">
      <w:pPr>
        <w:widowControl/>
        <w:spacing w:line="360" w:lineRule="auto"/>
        <w:rPr>
          <w:rFonts w:ascii="Times New Roman" w:eastAsia="等线" w:hAnsi="Times New Roman" w:cs="Times New Roman"/>
          <w:b/>
          <w:bCs/>
          <w:szCs w:val="21"/>
        </w:rPr>
      </w:pPr>
      <w:r w:rsidRPr="00ED2C1F">
        <w:rPr>
          <w:rFonts w:ascii="Times New Roman" w:eastAsia="等线" w:hAnsi="Times New Roman" w:cs="Times New Roman"/>
          <w:b/>
          <w:bCs/>
          <w:szCs w:val="21"/>
        </w:rPr>
        <w:t>Dual-luciferase reporter assay</w:t>
      </w:r>
    </w:p>
    <w:p w:rsidR="003D2014" w:rsidRPr="00ED2C1F" w:rsidRDefault="003D2014" w:rsidP="003D2014">
      <w:pPr>
        <w:widowControl/>
        <w:spacing w:line="360" w:lineRule="auto"/>
        <w:rPr>
          <w:rFonts w:ascii="Times New Roman" w:eastAsia="等线" w:hAnsi="Times New Roman" w:cs="Times New Roman"/>
          <w:szCs w:val="21"/>
        </w:rPr>
      </w:pPr>
      <w:r w:rsidRPr="00ED2C1F">
        <w:rPr>
          <w:rFonts w:ascii="Times New Roman" w:eastAsia="等线" w:hAnsi="Times New Roman" w:cs="Times New Roman"/>
          <w:szCs w:val="21"/>
        </w:rPr>
        <w:t xml:space="preserve">The promoters of LCN2 were cloned and inserted into the pGL3 basic vector. </w:t>
      </w:r>
      <w:r w:rsidRPr="00ED2C1F">
        <w:rPr>
          <w:rFonts w:ascii="Times New Roman" w:eastAsia="等线" w:hAnsi="Times New Roman" w:cs="Times New Roman" w:hint="eastAsia"/>
          <w:szCs w:val="21"/>
        </w:rPr>
        <w:t>C</w:t>
      </w:r>
      <w:r w:rsidRPr="00ED2C1F">
        <w:rPr>
          <w:rFonts w:ascii="Times New Roman" w:eastAsia="等线" w:hAnsi="Times New Roman" w:cs="Times New Roman"/>
          <w:szCs w:val="21"/>
        </w:rPr>
        <w:t>ells were co</w:t>
      </w:r>
      <w:r w:rsidRPr="00ED2C1F">
        <w:rPr>
          <w:rFonts w:ascii="Times New Roman" w:eastAsia="等线" w:hAnsi="Times New Roman" w:cs="Times New Roman" w:hint="eastAsia"/>
          <w:szCs w:val="21"/>
        </w:rPr>
        <w:t>-</w:t>
      </w:r>
      <w:r w:rsidRPr="00ED2C1F">
        <w:rPr>
          <w:rFonts w:ascii="Times New Roman" w:eastAsia="等线" w:hAnsi="Times New Roman" w:cs="Times New Roman"/>
          <w:szCs w:val="21"/>
        </w:rPr>
        <w:t xml:space="preserve">transfected with the reporter plasmid, </w:t>
      </w:r>
      <w:r w:rsidRPr="00ED2C1F">
        <w:rPr>
          <w:rFonts w:ascii="Times New Roman" w:eastAsia="等线" w:hAnsi="Times New Roman" w:cs="Times New Roman" w:hint="eastAsia"/>
          <w:szCs w:val="21"/>
        </w:rPr>
        <w:t>the targeting</w:t>
      </w:r>
      <w:r w:rsidRPr="00ED2C1F">
        <w:rPr>
          <w:rFonts w:ascii="Times New Roman" w:eastAsia="等线" w:hAnsi="Times New Roman" w:cs="Times New Roman"/>
          <w:szCs w:val="21"/>
        </w:rPr>
        <w:t xml:space="preserve"> plasmid and </w:t>
      </w:r>
      <w:r w:rsidRPr="00ED2C1F">
        <w:rPr>
          <w:rFonts w:ascii="Times New Roman" w:eastAsia="等线" w:hAnsi="Times New Roman" w:cs="Times New Roman" w:hint="eastAsia"/>
          <w:szCs w:val="21"/>
        </w:rPr>
        <w:t xml:space="preserve">the </w:t>
      </w:r>
      <w:r w:rsidRPr="00ED2C1F">
        <w:rPr>
          <w:rFonts w:ascii="Times New Roman" w:eastAsia="等线" w:hAnsi="Times New Roman" w:cs="Times New Roman"/>
          <w:szCs w:val="21"/>
        </w:rPr>
        <w:t>Renilla internal control plasmid. After 48 hours, the cells were lysed, and the supernatant was analyzed using the TransDetect Double-Luciferase Reporter Assay Kit (TransGen Biotech, no. RF201) according</w:t>
      </w:r>
      <w:bookmarkStart w:id="14" w:name="OLE_LINK24"/>
      <w:r w:rsidRPr="00ED2C1F">
        <w:rPr>
          <w:rFonts w:ascii="Times New Roman" w:eastAsia="等线" w:hAnsi="Times New Roman" w:cs="Times New Roman"/>
          <w:szCs w:val="21"/>
        </w:rPr>
        <w:t xml:space="preserve"> to t</w:t>
      </w:r>
      <w:bookmarkEnd w:id="14"/>
      <w:r w:rsidRPr="00ED2C1F">
        <w:rPr>
          <w:rFonts w:ascii="Times New Roman" w:eastAsia="等线" w:hAnsi="Times New Roman" w:cs="Times New Roman"/>
          <w:szCs w:val="21"/>
        </w:rPr>
        <w:t>he manufacturer’s instructions.</w:t>
      </w:r>
    </w:p>
    <w:p w:rsidR="003D2014" w:rsidRPr="00ED2C1F" w:rsidRDefault="003D2014" w:rsidP="003D2014">
      <w:pPr>
        <w:widowControl/>
        <w:spacing w:line="360" w:lineRule="auto"/>
        <w:rPr>
          <w:rFonts w:ascii="Times New Roman" w:eastAsia="等线" w:hAnsi="Times New Roman" w:cs="Times New Roman"/>
          <w:color w:val="FF0000"/>
          <w:szCs w:val="21"/>
        </w:rPr>
      </w:pPr>
    </w:p>
    <w:p w:rsidR="003D2014" w:rsidRPr="00ED2C1F" w:rsidRDefault="003D2014" w:rsidP="003D2014">
      <w:pPr>
        <w:widowControl/>
        <w:spacing w:line="360" w:lineRule="auto"/>
        <w:rPr>
          <w:rFonts w:ascii="Times New Roman" w:eastAsia="等线" w:hAnsi="Times New Roman" w:cs="Times New Roman"/>
          <w:b/>
          <w:bCs/>
          <w:szCs w:val="21"/>
        </w:rPr>
      </w:pPr>
      <w:r w:rsidRPr="00ED2C1F">
        <w:rPr>
          <w:rFonts w:ascii="Times New Roman" w:eastAsia="等线" w:hAnsi="Times New Roman" w:cs="Times New Roman"/>
          <w:b/>
          <w:bCs/>
          <w:szCs w:val="21"/>
        </w:rPr>
        <w:t>Dot blot</w:t>
      </w:r>
    </w:p>
    <w:p w:rsidR="003D2014" w:rsidRPr="00ED2C1F" w:rsidRDefault="003D2014" w:rsidP="003D2014">
      <w:pPr>
        <w:widowControl/>
        <w:spacing w:line="360" w:lineRule="auto"/>
        <w:rPr>
          <w:rFonts w:ascii="Times New Roman" w:eastAsia="等线" w:hAnsi="Times New Roman" w:cs="Times New Roman"/>
          <w:szCs w:val="21"/>
        </w:rPr>
      </w:pPr>
      <w:r w:rsidRPr="00ED2C1F">
        <w:rPr>
          <w:rFonts w:ascii="Times New Roman" w:eastAsia="等线" w:hAnsi="Times New Roman" w:cs="Times New Roman"/>
          <w:szCs w:val="21"/>
        </w:rPr>
        <w:t xml:space="preserve">Total RNA was extracted using TRIzol reagent following the manufacturer’s instructions. The RNA pellet was resuspended in RNase-free water, and mRNA was </w:t>
      </w:r>
      <w:bookmarkStart w:id="15" w:name="OLE_LINK27"/>
      <w:r w:rsidRPr="00ED2C1F">
        <w:rPr>
          <w:rFonts w:ascii="Times New Roman" w:eastAsia="等线" w:hAnsi="Times New Roman" w:cs="Times New Roman"/>
          <w:szCs w:val="21"/>
        </w:rPr>
        <w:t>isolated</w:t>
      </w:r>
      <w:bookmarkEnd w:id="15"/>
      <w:r w:rsidRPr="00ED2C1F">
        <w:rPr>
          <w:rFonts w:ascii="Times New Roman" w:eastAsia="等线" w:hAnsi="Times New Roman" w:cs="Times New Roman"/>
          <w:szCs w:val="21"/>
        </w:rPr>
        <w:t xml:space="preserve"> from total RNA using the GenElute mRNA miniprep kit following the manufacturer’s instructions. Isolated mRNA was denatured at 95°C for 5 min, chilled on ice, and dropped onto a Hybond-N+ membrane. After air-drying, RNA was crosslinked to the membrane using UV irradiation (254 nm wavelength, 5 min). The membrane was blocked with 5% non-fat milk in PBST for 1 h, followed by overnight incubation with anti-m6A antibody at 4°C. HRP-conjugated secondary antibodies were added and incubated for 1 hour at room temperature. Chemiluminescent detection was performed using ECL substrate, and the membrane was subsequently stained with 0.02% methylene blue for normalization. </w:t>
      </w:r>
    </w:p>
    <w:p w:rsidR="003D2014" w:rsidRPr="00ED2C1F" w:rsidRDefault="003D2014" w:rsidP="003D2014">
      <w:pPr>
        <w:widowControl/>
        <w:spacing w:line="360" w:lineRule="auto"/>
        <w:rPr>
          <w:rFonts w:ascii="Times New Roman" w:eastAsia="等线" w:hAnsi="Times New Roman" w:cs="Times New Roman"/>
          <w:color w:val="FF0000"/>
          <w:szCs w:val="21"/>
        </w:rPr>
      </w:pPr>
    </w:p>
    <w:p w:rsidR="003D2014" w:rsidRPr="00ED2C1F" w:rsidRDefault="003D2014" w:rsidP="003D2014">
      <w:pPr>
        <w:widowControl/>
        <w:spacing w:line="360" w:lineRule="auto"/>
        <w:rPr>
          <w:rFonts w:ascii="Times New Roman" w:eastAsia="等线" w:hAnsi="Times New Roman" w:cs="Times New Roman"/>
          <w:b/>
          <w:bCs/>
          <w:szCs w:val="21"/>
        </w:rPr>
      </w:pPr>
      <w:r w:rsidRPr="00ED2C1F">
        <w:rPr>
          <w:rFonts w:ascii="Times New Roman" w:eastAsia="等线" w:hAnsi="Times New Roman" w:cs="Times New Roman"/>
          <w:b/>
          <w:bCs/>
          <w:szCs w:val="21"/>
        </w:rPr>
        <w:t xml:space="preserve">Table S1. </w:t>
      </w:r>
      <w:bookmarkStart w:id="16" w:name="OLE_LINK20"/>
      <w:r w:rsidRPr="00ED2C1F">
        <w:rPr>
          <w:rFonts w:ascii="Times New Roman" w:eastAsia="等线" w:hAnsi="Times New Roman" w:cs="Times New Roman"/>
          <w:b/>
          <w:bCs/>
          <w:szCs w:val="21"/>
        </w:rPr>
        <w:t>The sequences of shRNA</w:t>
      </w:r>
      <w:bookmarkEnd w:id="16"/>
    </w:p>
    <w:tbl>
      <w:tblPr>
        <w:tblStyle w:val="a6"/>
        <w:tblW w:w="8222"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tblPr>
      <w:tblGrid>
        <w:gridCol w:w="3748"/>
        <w:gridCol w:w="4474"/>
      </w:tblGrid>
      <w:tr w:rsidR="003D2014" w:rsidRPr="00ED2C1F" w:rsidTr="004966DD">
        <w:tc>
          <w:tcPr>
            <w:tcW w:w="3823" w:type="dxa"/>
            <w:tcBorders>
              <w:top w:val="single" w:sz="8" w:space="0" w:color="auto"/>
              <w:bottom w:val="single" w:sz="8" w:space="0" w:color="auto"/>
            </w:tcBorders>
          </w:tcPr>
          <w:p w:rsidR="003D2014" w:rsidRPr="00ED2C1F" w:rsidRDefault="003D2014" w:rsidP="004966DD">
            <w:pPr>
              <w:widowControl/>
              <w:spacing w:line="360" w:lineRule="auto"/>
              <w:rPr>
                <w:rFonts w:eastAsia="等线"/>
                <w:szCs w:val="21"/>
              </w:rPr>
            </w:pPr>
            <w:r w:rsidRPr="00ED2C1F">
              <w:rPr>
                <w:rFonts w:eastAsia="等线"/>
                <w:szCs w:val="21"/>
              </w:rPr>
              <w:t>Identifier</w:t>
            </w:r>
          </w:p>
        </w:tc>
        <w:tc>
          <w:tcPr>
            <w:tcW w:w="4541" w:type="dxa"/>
            <w:tcBorders>
              <w:top w:val="single" w:sz="8" w:space="0" w:color="auto"/>
              <w:bottom w:val="single" w:sz="8" w:space="0" w:color="auto"/>
            </w:tcBorders>
          </w:tcPr>
          <w:p w:rsidR="003D2014" w:rsidRPr="00ED2C1F" w:rsidRDefault="003D2014" w:rsidP="004966DD">
            <w:pPr>
              <w:widowControl/>
              <w:spacing w:line="360" w:lineRule="auto"/>
              <w:rPr>
                <w:rFonts w:eastAsia="等线"/>
                <w:szCs w:val="21"/>
              </w:rPr>
            </w:pPr>
            <w:r w:rsidRPr="00ED2C1F">
              <w:rPr>
                <w:rFonts w:eastAsia="等线"/>
                <w:szCs w:val="21"/>
              </w:rPr>
              <w:t>Sequences (5'-3')</w:t>
            </w:r>
          </w:p>
        </w:tc>
      </w:tr>
      <w:tr w:rsidR="003D2014" w:rsidRPr="00ED2C1F" w:rsidTr="004966DD">
        <w:tc>
          <w:tcPr>
            <w:tcW w:w="3823" w:type="dxa"/>
            <w:tcBorders>
              <w:top w:val="single" w:sz="8" w:space="0" w:color="auto"/>
            </w:tcBorders>
          </w:tcPr>
          <w:p w:rsidR="003D2014" w:rsidRPr="00ED2C1F" w:rsidRDefault="003D2014" w:rsidP="004966DD">
            <w:pPr>
              <w:widowControl/>
              <w:spacing w:line="360" w:lineRule="auto"/>
              <w:rPr>
                <w:rFonts w:eastAsia="等线"/>
                <w:szCs w:val="21"/>
              </w:rPr>
            </w:pPr>
            <w:r w:rsidRPr="00ED2C1F">
              <w:rPr>
                <w:rFonts w:eastAsia="等线" w:hint="eastAsia"/>
                <w:szCs w:val="21"/>
              </w:rPr>
              <w:t>Human-</w:t>
            </w:r>
            <w:r w:rsidRPr="00ED2C1F">
              <w:rPr>
                <w:rFonts w:eastAsia="等线"/>
                <w:szCs w:val="21"/>
              </w:rPr>
              <w:t>shMETTL14</w:t>
            </w:r>
          </w:p>
        </w:tc>
        <w:tc>
          <w:tcPr>
            <w:tcW w:w="4541" w:type="dxa"/>
            <w:tcBorders>
              <w:top w:val="single" w:sz="8" w:space="0" w:color="auto"/>
            </w:tcBorders>
          </w:tcPr>
          <w:p w:rsidR="003D2014" w:rsidRPr="00ED2C1F" w:rsidRDefault="003D2014" w:rsidP="004966DD">
            <w:pPr>
              <w:widowControl/>
              <w:spacing w:line="360" w:lineRule="auto"/>
              <w:rPr>
                <w:rFonts w:eastAsia="等线"/>
                <w:szCs w:val="21"/>
              </w:rPr>
            </w:pPr>
            <w:r w:rsidRPr="00ED2C1F">
              <w:rPr>
                <w:rFonts w:eastAsia="等线"/>
                <w:szCs w:val="21"/>
              </w:rPr>
              <w:t>TCTTCTGTACAACCAGTCA</w:t>
            </w:r>
          </w:p>
        </w:tc>
      </w:tr>
      <w:tr w:rsidR="003D2014" w:rsidRPr="00ED2C1F" w:rsidTr="004966DD">
        <w:tc>
          <w:tcPr>
            <w:tcW w:w="3823" w:type="dxa"/>
          </w:tcPr>
          <w:p w:rsidR="003D2014" w:rsidRPr="00ED2C1F" w:rsidRDefault="003D2014" w:rsidP="004966DD">
            <w:pPr>
              <w:widowControl/>
              <w:spacing w:line="360" w:lineRule="auto"/>
              <w:rPr>
                <w:rFonts w:eastAsia="等线"/>
                <w:szCs w:val="21"/>
              </w:rPr>
            </w:pPr>
            <w:r w:rsidRPr="00ED2C1F">
              <w:rPr>
                <w:rFonts w:eastAsia="等线" w:hint="eastAsia"/>
                <w:szCs w:val="21"/>
              </w:rPr>
              <w:t>Mouse-</w:t>
            </w:r>
            <w:r w:rsidRPr="00ED2C1F">
              <w:rPr>
                <w:rFonts w:eastAsia="等线"/>
                <w:szCs w:val="21"/>
              </w:rPr>
              <w:t>shMETTL14</w:t>
            </w:r>
          </w:p>
        </w:tc>
        <w:tc>
          <w:tcPr>
            <w:tcW w:w="4541" w:type="dxa"/>
          </w:tcPr>
          <w:p w:rsidR="003D2014" w:rsidRPr="00ED2C1F" w:rsidRDefault="003D2014" w:rsidP="004966DD">
            <w:pPr>
              <w:widowControl/>
              <w:spacing w:line="360" w:lineRule="auto"/>
              <w:rPr>
                <w:rFonts w:eastAsia="等线"/>
                <w:szCs w:val="21"/>
              </w:rPr>
            </w:pPr>
            <w:r w:rsidRPr="00ED2C1F">
              <w:rPr>
                <w:rFonts w:eastAsia="等线"/>
                <w:szCs w:val="21"/>
              </w:rPr>
              <w:t>TTCTCATTCGCAGTGATGC</w:t>
            </w:r>
          </w:p>
        </w:tc>
      </w:tr>
      <w:tr w:rsidR="003D2014" w:rsidRPr="00ED2C1F" w:rsidTr="004966DD">
        <w:tc>
          <w:tcPr>
            <w:tcW w:w="3823" w:type="dxa"/>
          </w:tcPr>
          <w:p w:rsidR="003D2014" w:rsidRPr="00ED2C1F" w:rsidRDefault="003D2014" w:rsidP="004966DD">
            <w:pPr>
              <w:widowControl/>
              <w:spacing w:line="360" w:lineRule="auto"/>
              <w:rPr>
                <w:rFonts w:eastAsia="等线"/>
                <w:szCs w:val="21"/>
              </w:rPr>
            </w:pPr>
            <w:r w:rsidRPr="00ED2C1F">
              <w:rPr>
                <w:rFonts w:eastAsia="等线" w:hint="eastAsia"/>
                <w:szCs w:val="21"/>
              </w:rPr>
              <w:t>Human-</w:t>
            </w:r>
            <w:r w:rsidRPr="00ED2C1F">
              <w:rPr>
                <w:rFonts w:eastAsia="等线"/>
                <w:szCs w:val="21"/>
              </w:rPr>
              <w:t>shFUT2</w:t>
            </w:r>
          </w:p>
        </w:tc>
        <w:tc>
          <w:tcPr>
            <w:tcW w:w="4541" w:type="dxa"/>
          </w:tcPr>
          <w:p w:rsidR="003D2014" w:rsidRPr="00ED2C1F" w:rsidRDefault="003D2014" w:rsidP="004966DD">
            <w:pPr>
              <w:widowControl/>
              <w:spacing w:line="360" w:lineRule="auto"/>
              <w:rPr>
                <w:rFonts w:eastAsia="等线"/>
                <w:szCs w:val="21"/>
              </w:rPr>
            </w:pPr>
            <w:r w:rsidRPr="00ED2C1F">
              <w:rPr>
                <w:rFonts w:eastAsia="等线"/>
                <w:szCs w:val="21"/>
              </w:rPr>
              <w:t>TGATGTTGAGGCTAGCACT</w:t>
            </w:r>
          </w:p>
        </w:tc>
      </w:tr>
      <w:tr w:rsidR="003D2014" w:rsidRPr="00ED2C1F" w:rsidTr="004966DD">
        <w:tc>
          <w:tcPr>
            <w:tcW w:w="3823" w:type="dxa"/>
          </w:tcPr>
          <w:p w:rsidR="003D2014" w:rsidRPr="00ED2C1F" w:rsidRDefault="003D2014" w:rsidP="004966DD">
            <w:pPr>
              <w:widowControl/>
              <w:spacing w:line="360" w:lineRule="auto"/>
              <w:rPr>
                <w:rFonts w:eastAsia="等线"/>
                <w:szCs w:val="21"/>
              </w:rPr>
            </w:pPr>
            <w:r w:rsidRPr="00ED2C1F">
              <w:rPr>
                <w:rFonts w:eastAsia="等线" w:hint="eastAsia"/>
                <w:szCs w:val="21"/>
              </w:rPr>
              <w:t>Mouse-</w:t>
            </w:r>
            <w:r w:rsidRPr="00ED2C1F">
              <w:rPr>
                <w:rFonts w:eastAsia="等线"/>
                <w:szCs w:val="21"/>
              </w:rPr>
              <w:t>shFUT2</w:t>
            </w:r>
          </w:p>
        </w:tc>
        <w:tc>
          <w:tcPr>
            <w:tcW w:w="4541" w:type="dxa"/>
          </w:tcPr>
          <w:p w:rsidR="003D2014" w:rsidRPr="00ED2C1F" w:rsidRDefault="003D2014" w:rsidP="004966DD">
            <w:pPr>
              <w:widowControl/>
              <w:spacing w:line="360" w:lineRule="auto"/>
              <w:rPr>
                <w:rFonts w:eastAsia="等线"/>
                <w:szCs w:val="21"/>
              </w:rPr>
            </w:pPr>
            <w:r w:rsidRPr="00ED2C1F">
              <w:rPr>
                <w:rFonts w:eastAsia="等线"/>
                <w:szCs w:val="21"/>
              </w:rPr>
              <w:t>GTGTCGCTGTGTAACACCG</w:t>
            </w:r>
          </w:p>
        </w:tc>
      </w:tr>
      <w:tr w:rsidR="003D2014" w:rsidRPr="00ED2C1F" w:rsidTr="004966DD">
        <w:tc>
          <w:tcPr>
            <w:tcW w:w="3823" w:type="dxa"/>
          </w:tcPr>
          <w:p w:rsidR="003D2014" w:rsidRPr="00ED2C1F" w:rsidRDefault="003D2014" w:rsidP="004966DD">
            <w:pPr>
              <w:widowControl/>
              <w:spacing w:line="360" w:lineRule="auto"/>
              <w:rPr>
                <w:rFonts w:eastAsia="等线"/>
                <w:szCs w:val="21"/>
              </w:rPr>
            </w:pPr>
            <w:r w:rsidRPr="00ED2C1F">
              <w:rPr>
                <w:rFonts w:eastAsia="等线" w:hint="eastAsia"/>
                <w:szCs w:val="21"/>
              </w:rPr>
              <w:t>Human-</w:t>
            </w:r>
            <w:r w:rsidRPr="00ED2C1F">
              <w:rPr>
                <w:rFonts w:eastAsia="等线"/>
                <w:szCs w:val="21"/>
              </w:rPr>
              <w:t>shFBXO2</w:t>
            </w:r>
          </w:p>
        </w:tc>
        <w:tc>
          <w:tcPr>
            <w:tcW w:w="4541" w:type="dxa"/>
          </w:tcPr>
          <w:p w:rsidR="003D2014" w:rsidRPr="00ED2C1F" w:rsidRDefault="003D2014" w:rsidP="004966DD">
            <w:pPr>
              <w:widowControl/>
              <w:spacing w:line="360" w:lineRule="auto"/>
              <w:rPr>
                <w:rFonts w:eastAsia="等线"/>
                <w:szCs w:val="21"/>
              </w:rPr>
            </w:pPr>
            <w:r w:rsidRPr="00ED2C1F">
              <w:rPr>
                <w:rFonts w:eastAsia="等线"/>
                <w:szCs w:val="21"/>
              </w:rPr>
              <w:t>TAACGGTGAGCTCGTAGAG</w:t>
            </w:r>
          </w:p>
        </w:tc>
      </w:tr>
      <w:tr w:rsidR="003D2014" w:rsidRPr="00ED2C1F" w:rsidTr="004966DD">
        <w:tc>
          <w:tcPr>
            <w:tcW w:w="3823" w:type="dxa"/>
          </w:tcPr>
          <w:p w:rsidR="003D2014" w:rsidRPr="00ED2C1F" w:rsidRDefault="003D2014" w:rsidP="004966DD">
            <w:pPr>
              <w:widowControl/>
              <w:spacing w:line="360" w:lineRule="auto"/>
              <w:rPr>
                <w:rFonts w:eastAsia="等线"/>
                <w:szCs w:val="21"/>
              </w:rPr>
            </w:pPr>
            <w:bookmarkStart w:id="17" w:name="OLE_LINK3"/>
            <w:r w:rsidRPr="00ED2C1F">
              <w:rPr>
                <w:rFonts w:eastAsia="等线" w:hint="eastAsia"/>
                <w:szCs w:val="21"/>
              </w:rPr>
              <w:t>Mouse-</w:t>
            </w:r>
            <w:r w:rsidRPr="00ED2C1F">
              <w:rPr>
                <w:rFonts w:eastAsia="等线"/>
                <w:szCs w:val="21"/>
              </w:rPr>
              <w:t>shFBXO2</w:t>
            </w:r>
          </w:p>
          <w:bookmarkEnd w:id="17"/>
          <w:p w:rsidR="003D2014" w:rsidRPr="00ED2C1F" w:rsidRDefault="003D2014" w:rsidP="004966DD">
            <w:pPr>
              <w:widowControl/>
              <w:spacing w:line="360" w:lineRule="auto"/>
              <w:rPr>
                <w:rFonts w:eastAsia="等线"/>
                <w:szCs w:val="21"/>
              </w:rPr>
            </w:pPr>
            <w:r w:rsidRPr="00ED2C1F">
              <w:rPr>
                <w:rFonts w:eastAsia="等线" w:hint="eastAsia"/>
                <w:szCs w:val="21"/>
              </w:rPr>
              <w:t>Human-</w:t>
            </w:r>
            <w:r w:rsidRPr="00ED2C1F">
              <w:rPr>
                <w:rFonts w:eastAsia="等线"/>
                <w:szCs w:val="21"/>
              </w:rPr>
              <w:t>sh</w:t>
            </w:r>
            <w:r w:rsidRPr="00ED2C1F">
              <w:rPr>
                <w:rFonts w:eastAsia="等线" w:hint="eastAsia"/>
                <w:szCs w:val="21"/>
              </w:rPr>
              <w:t>NR2F</w:t>
            </w:r>
            <w:r w:rsidRPr="00ED2C1F">
              <w:rPr>
                <w:rFonts w:eastAsia="等线"/>
                <w:szCs w:val="21"/>
              </w:rPr>
              <w:t>2</w:t>
            </w:r>
          </w:p>
          <w:p w:rsidR="003D2014" w:rsidRPr="00ED2C1F" w:rsidRDefault="003D2014" w:rsidP="004966DD">
            <w:pPr>
              <w:widowControl/>
              <w:spacing w:line="360" w:lineRule="auto"/>
              <w:rPr>
                <w:rFonts w:eastAsia="等线"/>
                <w:szCs w:val="21"/>
              </w:rPr>
            </w:pPr>
            <w:r w:rsidRPr="00ED2C1F">
              <w:rPr>
                <w:rFonts w:eastAsia="等线" w:hint="eastAsia"/>
                <w:szCs w:val="21"/>
              </w:rPr>
              <w:t>Mouse-</w:t>
            </w:r>
            <w:r w:rsidRPr="00ED2C1F">
              <w:rPr>
                <w:rFonts w:eastAsia="等线"/>
                <w:szCs w:val="21"/>
              </w:rPr>
              <w:t>sh</w:t>
            </w:r>
            <w:r w:rsidRPr="00ED2C1F">
              <w:rPr>
                <w:rFonts w:eastAsia="等线" w:hint="eastAsia"/>
                <w:szCs w:val="21"/>
              </w:rPr>
              <w:t>NR2F</w:t>
            </w:r>
            <w:r w:rsidRPr="00ED2C1F">
              <w:rPr>
                <w:rFonts w:eastAsia="等线"/>
                <w:szCs w:val="21"/>
              </w:rPr>
              <w:t>2</w:t>
            </w:r>
          </w:p>
        </w:tc>
        <w:tc>
          <w:tcPr>
            <w:tcW w:w="4541" w:type="dxa"/>
          </w:tcPr>
          <w:p w:rsidR="003D2014" w:rsidRPr="00ED2C1F" w:rsidRDefault="003D2014" w:rsidP="004966DD">
            <w:pPr>
              <w:widowControl/>
              <w:spacing w:line="360" w:lineRule="auto"/>
              <w:rPr>
                <w:rFonts w:eastAsia="等线"/>
                <w:szCs w:val="21"/>
              </w:rPr>
            </w:pPr>
            <w:r w:rsidRPr="00ED2C1F">
              <w:rPr>
                <w:rFonts w:eastAsia="等线"/>
                <w:szCs w:val="21"/>
              </w:rPr>
              <w:t>CACACTCTCTGGATCACCA</w:t>
            </w:r>
          </w:p>
          <w:p w:rsidR="003D2014" w:rsidRPr="00ED2C1F" w:rsidRDefault="003D2014" w:rsidP="004966DD">
            <w:pPr>
              <w:widowControl/>
              <w:spacing w:line="360" w:lineRule="auto"/>
              <w:rPr>
                <w:rFonts w:eastAsia="等线"/>
                <w:szCs w:val="21"/>
              </w:rPr>
            </w:pPr>
            <w:r w:rsidRPr="00ED2C1F">
              <w:rPr>
                <w:rFonts w:eastAsia="等线"/>
                <w:szCs w:val="21"/>
              </w:rPr>
              <w:t>TAACAATTCAAGAACTAAG</w:t>
            </w:r>
          </w:p>
          <w:p w:rsidR="003D2014" w:rsidRPr="00ED2C1F" w:rsidRDefault="003D2014" w:rsidP="004966DD">
            <w:pPr>
              <w:widowControl/>
              <w:spacing w:line="360" w:lineRule="auto"/>
              <w:rPr>
                <w:rFonts w:eastAsia="等线"/>
                <w:szCs w:val="21"/>
              </w:rPr>
            </w:pPr>
            <w:r w:rsidRPr="00ED2C1F">
              <w:rPr>
                <w:rFonts w:eastAsia="等线"/>
                <w:szCs w:val="21"/>
              </w:rPr>
              <w:t>TGAACCACAGAATAAACTG</w:t>
            </w:r>
          </w:p>
        </w:tc>
      </w:tr>
    </w:tbl>
    <w:p w:rsidR="003D2014" w:rsidRPr="00ED2C1F" w:rsidRDefault="003D2014" w:rsidP="003D2014">
      <w:pPr>
        <w:widowControl/>
        <w:spacing w:line="360" w:lineRule="auto"/>
        <w:rPr>
          <w:rFonts w:ascii="Times New Roman" w:eastAsia="等线" w:hAnsi="Times New Roman" w:cs="Times New Roman"/>
          <w:color w:val="FF0000"/>
          <w:szCs w:val="21"/>
        </w:rPr>
      </w:pPr>
    </w:p>
    <w:p w:rsidR="003D2014" w:rsidRPr="00ED2C1F" w:rsidRDefault="003D2014" w:rsidP="003D2014">
      <w:pPr>
        <w:widowControl/>
        <w:spacing w:line="360" w:lineRule="auto"/>
        <w:rPr>
          <w:rFonts w:ascii="Times New Roman" w:eastAsia="等线" w:hAnsi="Times New Roman" w:cs="Times New Roman"/>
          <w:b/>
          <w:bCs/>
          <w:szCs w:val="21"/>
        </w:rPr>
      </w:pPr>
      <w:bookmarkStart w:id="18" w:name="OLE_LINK10"/>
      <w:r w:rsidRPr="00ED2C1F">
        <w:rPr>
          <w:rFonts w:ascii="Times New Roman" w:eastAsia="等线" w:hAnsi="Times New Roman" w:cs="Times New Roman"/>
          <w:b/>
          <w:bCs/>
          <w:szCs w:val="21"/>
        </w:rPr>
        <w:t>Table S2. Quantitative real-time qPCR primers</w:t>
      </w:r>
    </w:p>
    <w:tbl>
      <w:tblPr>
        <w:tblStyle w:val="a6"/>
        <w:tblW w:w="8789" w:type="dxa"/>
        <w:tblBorders>
          <w:left w:val="none" w:sz="0" w:space="0" w:color="auto"/>
          <w:right w:val="none" w:sz="0" w:space="0" w:color="auto"/>
          <w:insideH w:val="none" w:sz="0" w:space="0" w:color="auto"/>
          <w:insideV w:val="none" w:sz="0" w:space="0" w:color="auto"/>
        </w:tblBorders>
        <w:tblLayout w:type="fixed"/>
        <w:tblLook w:val="04A0"/>
      </w:tblPr>
      <w:tblGrid>
        <w:gridCol w:w="1843"/>
        <w:gridCol w:w="3544"/>
        <w:gridCol w:w="3402"/>
      </w:tblGrid>
      <w:tr w:rsidR="003D2014" w:rsidRPr="00ED2C1F" w:rsidTr="004966DD">
        <w:tc>
          <w:tcPr>
            <w:tcW w:w="1843" w:type="dxa"/>
            <w:tcBorders>
              <w:top w:val="single" w:sz="4" w:space="0" w:color="auto"/>
              <w:bottom w:val="single" w:sz="4" w:space="0" w:color="auto"/>
            </w:tcBorders>
          </w:tcPr>
          <w:bookmarkEnd w:id="18"/>
          <w:p w:rsidR="003D2014" w:rsidRPr="00ED2C1F" w:rsidRDefault="003D2014" w:rsidP="004966DD">
            <w:pPr>
              <w:widowControl/>
              <w:spacing w:line="360" w:lineRule="auto"/>
              <w:rPr>
                <w:rFonts w:eastAsia="等线"/>
                <w:szCs w:val="21"/>
              </w:rPr>
            </w:pPr>
            <w:r w:rsidRPr="00ED2C1F">
              <w:rPr>
                <w:rFonts w:eastAsia="等线"/>
                <w:szCs w:val="21"/>
              </w:rPr>
              <w:t>Gene name</w:t>
            </w:r>
          </w:p>
        </w:tc>
        <w:tc>
          <w:tcPr>
            <w:tcW w:w="3544" w:type="dxa"/>
            <w:tcBorders>
              <w:top w:val="single" w:sz="4" w:space="0" w:color="auto"/>
              <w:bottom w:val="single" w:sz="4" w:space="0" w:color="auto"/>
            </w:tcBorders>
          </w:tcPr>
          <w:p w:rsidR="003D2014" w:rsidRPr="00ED2C1F" w:rsidRDefault="003D2014" w:rsidP="004966DD">
            <w:pPr>
              <w:widowControl/>
              <w:spacing w:line="360" w:lineRule="auto"/>
              <w:rPr>
                <w:rFonts w:eastAsia="等线"/>
                <w:szCs w:val="21"/>
              </w:rPr>
            </w:pPr>
            <w:r w:rsidRPr="00ED2C1F">
              <w:rPr>
                <w:rFonts w:eastAsia="等线"/>
                <w:szCs w:val="21"/>
              </w:rPr>
              <w:t>Forward (5'-3')</w:t>
            </w:r>
          </w:p>
        </w:tc>
        <w:tc>
          <w:tcPr>
            <w:tcW w:w="3402" w:type="dxa"/>
            <w:tcBorders>
              <w:top w:val="single" w:sz="4" w:space="0" w:color="auto"/>
              <w:bottom w:val="single" w:sz="4" w:space="0" w:color="auto"/>
            </w:tcBorders>
          </w:tcPr>
          <w:p w:rsidR="003D2014" w:rsidRPr="00ED2C1F" w:rsidRDefault="003D2014" w:rsidP="004966DD">
            <w:pPr>
              <w:widowControl/>
              <w:spacing w:line="360" w:lineRule="auto"/>
              <w:rPr>
                <w:rFonts w:eastAsia="等线"/>
                <w:szCs w:val="21"/>
              </w:rPr>
            </w:pPr>
            <w:r w:rsidRPr="00ED2C1F">
              <w:rPr>
                <w:rFonts w:eastAsia="等线"/>
                <w:szCs w:val="21"/>
              </w:rPr>
              <w:t>Reverse (5'-3')</w:t>
            </w:r>
          </w:p>
        </w:tc>
      </w:tr>
      <w:tr w:rsidR="003D2014" w:rsidRPr="00ED2C1F" w:rsidTr="004966DD">
        <w:tc>
          <w:tcPr>
            <w:tcW w:w="1843" w:type="dxa"/>
            <w:tcBorders>
              <w:top w:val="single" w:sz="4" w:space="0" w:color="auto"/>
            </w:tcBorders>
          </w:tcPr>
          <w:p w:rsidR="003D2014" w:rsidRPr="00ED2C1F" w:rsidRDefault="003D2014" w:rsidP="004966DD">
            <w:pPr>
              <w:widowControl/>
              <w:spacing w:line="360" w:lineRule="auto"/>
              <w:rPr>
                <w:rFonts w:eastAsia="等线"/>
                <w:i/>
                <w:iCs/>
                <w:szCs w:val="21"/>
              </w:rPr>
            </w:pPr>
            <w:r w:rsidRPr="00ED2C1F">
              <w:rPr>
                <w:rFonts w:eastAsia="等线" w:hint="eastAsia"/>
                <w:i/>
                <w:iCs/>
                <w:szCs w:val="21"/>
              </w:rPr>
              <w:t>Mouse-</w:t>
            </w:r>
            <w:r w:rsidRPr="00ED2C1F">
              <w:rPr>
                <w:rFonts w:eastAsia="等线"/>
                <w:i/>
                <w:iCs/>
                <w:szCs w:val="21"/>
              </w:rPr>
              <w:t>ACTB</w:t>
            </w:r>
            <w:r w:rsidRPr="00ED2C1F">
              <w:rPr>
                <w:rFonts w:eastAsia="等线" w:hint="eastAsia"/>
                <w:i/>
                <w:iCs/>
                <w:szCs w:val="21"/>
              </w:rPr>
              <w:t xml:space="preserve"> </w:t>
            </w:r>
          </w:p>
        </w:tc>
        <w:tc>
          <w:tcPr>
            <w:tcW w:w="3544" w:type="dxa"/>
            <w:tcBorders>
              <w:top w:val="single" w:sz="4" w:space="0" w:color="auto"/>
            </w:tcBorders>
          </w:tcPr>
          <w:p w:rsidR="003D2014" w:rsidRPr="00ED2C1F" w:rsidRDefault="003D2014" w:rsidP="004966DD">
            <w:pPr>
              <w:widowControl/>
              <w:spacing w:line="360" w:lineRule="auto"/>
              <w:rPr>
                <w:rFonts w:eastAsia="等线"/>
                <w:szCs w:val="21"/>
              </w:rPr>
            </w:pPr>
            <w:r w:rsidRPr="00ED2C1F">
              <w:rPr>
                <w:rFonts w:eastAsia="等线"/>
                <w:szCs w:val="21"/>
              </w:rPr>
              <w:t>GGCTGTATTCCCCTCCATCG</w:t>
            </w:r>
          </w:p>
        </w:tc>
        <w:tc>
          <w:tcPr>
            <w:tcW w:w="3402" w:type="dxa"/>
            <w:tcBorders>
              <w:top w:val="single" w:sz="4" w:space="0" w:color="auto"/>
            </w:tcBorders>
          </w:tcPr>
          <w:p w:rsidR="003D2014" w:rsidRPr="00ED2C1F" w:rsidRDefault="003D2014" w:rsidP="004966DD">
            <w:pPr>
              <w:widowControl/>
              <w:spacing w:line="360" w:lineRule="auto"/>
              <w:rPr>
                <w:rFonts w:eastAsia="等线"/>
                <w:szCs w:val="21"/>
              </w:rPr>
            </w:pPr>
            <w:r w:rsidRPr="00ED2C1F">
              <w:rPr>
                <w:rFonts w:eastAsia="等线"/>
                <w:szCs w:val="21"/>
              </w:rPr>
              <w:t>CCAGTTGGTAACAATGCCATGT</w:t>
            </w:r>
          </w:p>
        </w:tc>
      </w:tr>
      <w:tr w:rsidR="003D2014" w:rsidRPr="00ED2C1F" w:rsidTr="004966DD">
        <w:tc>
          <w:tcPr>
            <w:tcW w:w="1843" w:type="dxa"/>
          </w:tcPr>
          <w:p w:rsidR="003D2014" w:rsidRPr="00ED2C1F" w:rsidRDefault="003D2014" w:rsidP="004966DD">
            <w:pPr>
              <w:widowControl/>
              <w:spacing w:line="360" w:lineRule="auto"/>
              <w:rPr>
                <w:rFonts w:eastAsia="等线"/>
                <w:i/>
                <w:iCs/>
                <w:szCs w:val="21"/>
              </w:rPr>
            </w:pPr>
            <w:r w:rsidRPr="00ED2C1F">
              <w:rPr>
                <w:rFonts w:eastAsia="等线" w:hint="eastAsia"/>
                <w:i/>
                <w:iCs/>
                <w:szCs w:val="21"/>
              </w:rPr>
              <w:t>Mouse-</w:t>
            </w:r>
            <w:r w:rsidRPr="00ED2C1F">
              <w:rPr>
                <w:rFonts w:eastAsia="等线"/>
                <w:i/>
                <w:iCs/>
                <w:szCs w:val="21"/>
              </w:rPr>
              <w:t>LCN2</w:t>
            </w:r>
          </w:p>
        </w:tc>
        <w:tc>
          <w:tcPr>
            <w:tcW w:w="3544" w:type="dxa"/>
          </w:tcPr>
          <w:p w:rsidR="003D2014" w:rsidRPr="00ED2C1F" w:rsidRDefault="003D2014" w:rsidP="004966DD">
            <w:pPr>
              <w:widowControl/>
              <w:spacing w:line="360" w:lineRule="auto"/>
              <w:rPr>
                <w:rFonts w:eastAsia="等线"/>
                <w:szCs w:val="21"/>
              </w:rPr>
            </w:pPr>
            <w:r w:rsidRPr="00ED2C1F">
              <w:rPr>
                <w:rFonts w:eastAsia="等线"/>
                <w:szCs w:val="21"/>
              </w:rPr>
              <w:t>GCAGGTGGTACGTTGTGGG</w:t>
            </w:r>
          </w:p>
        </w:tc>
        <w:tc>
          <w:tcPr>
            <w:tcW w:w="3402" w:type="dxa"/>
          </w:tcPr>
          <w:p w:rsidR="003D2014" w:rsidRPr="00ED2C1F" w:rsidRDefault="003D2014" w:rsidP="004966DD">
            <w:pPr>
              <w:widowControl/>
              <w:spacing w:line="360" w:lineRule="auto"/>
              <w:rPr>
                <w:rFonts w:eastAsia="等线"/>
                <w:szCs w:val="21"/>
              </w:rPr>
            </w:pPr>
            <w:r w:rsidRPr="00ED2C1F">
              <w:rPr>
                <w:rFonts w:eastAsia="等线"/>
                <w:szCs w:val="21"/>
              </w:rPr>
              <w:t>CTCTTGTAGCTCATAGATGGTGC</w:t>
            </w:r>
          </w:p>
        </w:tc>
      </w:tr>
      <w:tr w:rsidR="003D2014" w:rsidRPr="00ED2C1F" w:rsidTr="004966DD">
        <w:tc>
          <w:tcPr>
            <w:tcW w:w="1843" w:type="dxa"/>
          </w:tcPr>
          <w:p w:rsidR="003D2014" w:rsidRPr="00ED2C1F" w:rsidRDefault="003D2014" w:rsidP="004966DD">
            <w:pPr>
              <w:widowControl/>
              <w:spacing w:line="360" w:lineRule="auto"/>
              <w:rPr>
                <w:rFonts w:eastAsia="等线"/>
                <w:i/>
                <w:iCs/>
                <w:szCs w:val="21"/>
              </w:rPr>
            </w:pPr>
            <w:r w:rsidRPr="00ED2C1F">
              <w:rPr>
                <w:rFonts w:eastAsia="等线" w:hint="eastAsia"/>
                <w:i/>
                <w:iCs/>
                <w:szCs w:val="21"/>
              </w:rPr>
              <w:t>Mouse-</w:t>
            </w:r>
            <w:r w:rsidRPr="00ED2C1F">
              <w:rPr>
                <w:rFonts w:eastAsia="等线"/>
                <w:i/>
                <w:iCs/>
                <w:szCs w:val="21"/>
              </w:rPr>
              <w:t>NR2F2</w:t>
            </w:r>
          </w:p>
        </w:tc>
        <w:tc>
          <w:tcPr>
            <w:tcW w:w="3544" w:type="dxa"/>
          </w:tcPr>
          <w:p w:rsidR="003D2014" w:rsidRPr="00ED2C1F" w:rsidRDefault="003D2014" w:rsidP="004966DD">
            <w:pPr>
              <w:widowControl/>
              <w:spacing w:line="360" w:lineRule="auto"/>
              <w:rPr>
                <w:rFonts w:eastAsia="等线"/>
                <w:szCs w:val="21"/>
              </w:rPr>
            </w:pPr>
            <w:r w:rsidRPr="00ED2C1F">
              <w:rPr>
                <w:rFonts w:eastAsia="等线"/>
                <w:szCs w:val="21"/>
              </w:rPr>
              <w:t>TCAACTGCCACTCGTACCTG</w:t>
            </w:r>
          </w:p>
        </w:tc>
        <w:tc>
          <w:tcPr>
            <w:tcW w:w="3402" w:type="dxa"/>
          </w:tcPr>
          <w:p w:rsidR="003D2014" w:rsidRPr="00ED2C1F" w:rsidRDefault="003D2014" w:rsidP="004966DD">
            <w:pPr>
              <w:widowControl/>
              <w:spacing w:line="360" w:lineRule="auto"/>
              <w:rPr>
                <w:rFonts w:eastAsia="等线"/>
                <w:szCs w:val="21"/>
              </w:rPr>
            </w:pPr>
            <w:r w:rsidRPr="00ED2C1F">
              <w:rPr>
                <w:rFonts w:eastAsia="等线"/>
                <w:szCs w:val="21"/>
              </w:rPr>
              <w:t>CCATGATGTTGTTAGGCTGCAT</w:t>
            </w:r>
          </w:p>
        </w:tc>
      </w:tr>
      <w:tr w:rsidR="003D2014" w:rsidRPr="00ED2C1F" w:rsidTr="004966DD">
        <w:tc>
          <w:tcPr>
            <w:tcW w:w="1843" w:type="dxa"/>
          </w:tcPr>
          <w:p w:rsidR="003D2014" w:rsidRPr="00ED2C1F" w:rsidRDefault="003D2014" w:rsidP="004966DD">
            <w:pPr>
              <w:widowControl/>
              <w:spacing w:line="360" w:lineRule="auto"/>
              <w:rPr>
                <w:rFonts w:eastAsia="等线"/>
                <w:i/>
                <w:iCs/>
                <w:szCs w:val="21"/>
              </w:rPr>
            </w:pPr>
            <w:bookmarkStart w:id="19" w:name="OLE_LINK5"/>
            <w:r w:rsidRPr="00ED2C1F">
              <w:rPr>
                <w:rFonts w:eastAsia="等线" w:hint="eastAsia"/>
                <w:i/>
                <w:iCs/>
                <w:szCs w:val="21"/>
              </w:rPr>
              <w:t>Mouse-</w:t>
            </w:r>
            <w:r w:rsidRPr="00ED2C1F">
              <w:rPr>
                <w:rFonts w:eastAsia="等线"/>
                <w:i/>
                <w:iCs/>
                <w:szCs w:val="21"/>
              </w:rPr>
              <w:t>FUT2</w:t>
            </w:r>
            <w:bookmarkEnd w:id="19"/>
          </w:p>
          <w:p w:rsidR="003D2014" w:rsidRPr="00ED2C1F" w:rsidRDefault="003D2014" w:rsidP="004966DD">
            <w:pPr>
              <w:widowControl/>
              <w:spacing w:line="360" w:lineRule="auto"/>
              <w:rPr>
                <w:rFonts w:eastAsia="等线"/>
                <w:i/>
                <w:iCs/>
                <w:szCs w:val="21"/>
              </w:rPr>
            </w:pPr>
            <w:r w:rsidRPr="00ED2C1F">
              <w:rPr>
                <w:rFonts w:eastAsia="等线" w:hint="eastAsia"/>
                <w:i/>
                <w:iCs/>
                <w:szCs w:val="21"/>
              </w:rPr>
              <w:t>Mouse-METTL14</w:t>
            </w:r>
          </w:p>
        </w:tc>
        <w:tc>
          <w:tcPr>
            <w:tcW w:w="3544" w:type="dxa"/>
          </w:tcPr>
          <w:p w:rsidR="003D2014" w:rsidRPr="00ED2C1F" w:rsidRDefault="003D2014" w:rsidP="004966DD">
            <w:pPr>
              <w:widowControl/>
              <w:spacing w:line="360" w:lineRule="auto"/>
              <w:rPr>
                <w:rFonts w:eastAsia="等线"/>
                <w:szCs w:val="21"/>
              </w:rPr>
            </w:pPr>
            <w:r w:rsidRPr="00ED2C1F">
              <w:rPr>
                <w:rFonts w:eastAsia="等线"/>
                <w:szCs w:val="21"/>
              </w:rPr>
              <w:t>ACCTCCAGCAACGAATAGTGA</w:t>
            </w:r>
          </w:p>
          <w:p w:rsidR="003D2014" w:rsidRPr="00ED2C1F" w:rsidRDefault="003D2014" w:rsidP="004966DD">
            <w:pPr>
              <w:widowControl/>
              <w:spacing w:line="360" w:lineRule="auto"/>
              <w:rPr>
                <w:rFonts w:eastAsia="等线"/>
                <w:szCs w:val="21"/>
              </w:rPr>
            </w:pPr>
            <w:r w:rsidRPr="00ED2C1F">
              <w:rPr>
                <w:rFonts w:eastAsia="等线"/>
                <w:szCs w:val="21"/>
              </w:rPr>
              <w:t>TCAAAGGAACCGTGAAGCGA</w:t>
            </w:r>
          </w:p>
        </w:tc>
        <w:tc>
          <w:tcPr>
            <w:tcW w:w="3402" w:type="dxa"/>
          </w:tcPr>
          <w:p w:rsidR="003D2014" w:rsidRPr="00ED2C1F" w:rsidRDefault="003D2014" w:rsidP="004966DD">
            <w:pPr>
              <w:widowControl/>
              <w:spacing w:line="360" w:lineRule="auto"/>
              <w:rPr>
                <w:rFonts w:eastAsia="等线"/>
                <w:szCs w:val="21"/>
              </w:rPr>
            </w:pPr>
            <w:r w:rsidRPr="00ED2C1F">
              <w:rPr>
                <w:rFonts w:eastAsia="等线"/>
                <w:szCs w:val="21"/>
              </w:rPr>
              <w:t>GCCGATGGAATTGATCGTGAA</w:t>
            </w:r>
          </w:p>
          <w:p w:rsidR="003D2014" w:rsidRPr="00ED2C1F" w:rsidRDefault="003D2014" w:rsidP="004966DD">
            <w:pPr>
              <w:widowControl/>
              <w:spacing w:line="360" w:lineRule="auto"/>
              <w:rPr>
                <w:rFonts w:eastAsia="等线"/>
                <w:szCs w:val="21"/>
              </w:rPr>
            </w:pPr>
            <w:r w:rsidRPr="00ED2C1F">
              <w:rPr>
                <w:rFonts w:eastAsia="等线"/>
                <w:szCs w:val="21"/>
              </w:rPr>
              <w:t>CTCCCAAAGAGATGAAGGCGT</w:t>
            </w:r>
          </w:p>
        </w:tc>
      </w:tr>
      <w:tr w:rsidR="003D2014" w:rsidRPr="00ED2C1F" w:rsidTr="004966DD">
        <w:tc>
          <w:tcPr>
            <w:tcW w:w="1843" w:type="dxa"/>
          </w:tcPr>
          <w:p w:rsidR="003D2014" w:rsidRPr="00ED2C1F" w:rsidRDefault="003D2014" w:rsidP="004966DD">
            <w:pPr>
              <w:widowControl/>
              <w:spacing w:line="360" w:lineRule="auto"/>
              <w:rPr>
                <w:rFonts w:eastAsia="等线"/>
                <w:i/>
                <w:iCs/>
                <w:szCs w:val="21"/>
              </w:rPr>
            </w:pPr>
            <w:bookmarkStart w:id="20" w:name="OLE_LINK4"/>
            <w:r w:rsidRPr="00ED2C1F">
              <w:rPr>
                <w:rFonts w:eastAsia="等线"/>
                <w:i/>
                <w:iCs/>
                <w:szCs w:val="21"/>
              </w:rPr>
              <w:t>Human</w:t>
            </w:r>
            <w:r w:rsidRPr="00ED2C1F">
              <w:rPr>
                <w:rFonts w:eastAsia="等线" w:hint="eastAsia"/>
                <w:i/>
                <w:iCs/>
                <w:szCs w:val="21"/>
              </w:rPr>
              <w:t>-</w:t>
            </w:r>
            <w:r w:rsidRPr="00ED2C1F">
              <w:rPr>
                <w:rFonts w:eastAsia="等线"/>
                <w:i/>
                <w:iCs/>
                <w:szCs w:val="21"/>
              </w:rPr>
              <w:t>ACTB</w:t>
            </w:r>
            <w:bookmarkEnd w:id="20"/>
          </w:p>
        </w:tc>
        <w:tc>
          <w:tcPr>
            <w:tcW w:w="3544" w:type="dxa"/>
          </w:tcPr>
          <w:p w:rsidR="003D2014" w:rsidRPr="00ED2C1F" w:rsidRDefault="003D2014" w:rsidP="004966DD">
            <w:pPr>
              <w:widowControl/>
              <w:spacing w:line="360" w:lineRule="auto"/>
              <w:rPr>
                <w:rFonts w:eastAsia="等线"/>
                <w:szCs w:val="21"/>
              </w:rPr>
            </w:pPr>
            <w:r w:rsidRPr="00ED2C1F">
              <w:rPr>
                <w:rFonts w:eastAsia="等线"/>
                <w:szCs w:val="21"/>
              </w:rPr>
              <w:t>CTTCCAGCCTTCCTTCCTGG</w:t>
            </w:r>
          </w:p>
        </w:tc>
        <w:tc>
          <w:tcPr>
            <w:tcW w:w="3402" w:type="dxa"/>
          </w:tcPr>
          <w:p w:rsidR="003D2014" w:rsidRPr="00ED2C1F" w:rsidRDefault="003D2014" w:rsidP="004966DD">
            <w:pPr>
              <w:widowControl/>
              <w:spacing w:line="360" w:lineRule="auto"/>
              <w:rPr>
                <w:rFonts w:eastAsia="等线"/>
                <w:szCs w:val="21"/>
              </w:rPr>
            </w:pPr>
            <w:r w:rsidRPr="00ED2C1F">
              <w:rPr>
                <w:rFonts w:eastAsia="等线"/>
                <w:szCs w:val="21"/>
              </w:rPr>
              <w:t>TCTTCATTGTGCTGGGTGCC</w:t>
            </w:r>
          </w:p>
        </w:tc>
      </w:tr>
      <w:tr w:rsidR="003D2014" w:rsidRPr="00ED2C1F" w:rsidTr="004966DD">
        <w:tc>
          <w:tcPr>
            <w:tcW w:w="1843" w:type="dxa"/>
          </w:tcPr>
          <w:p w:rsidR="003D2014" w:rsidRPr="00ED2C1F" w:rsidRDefault="003D2014" w:rsidP="004966DD">
            <w:pPr>
              <w:widowControl/>
              <w:spacing w:line="360" w:lineRule="auto"/>
              <w:rPr>
                <w:rFonts w:eastAsia="等线"/>
                <w:i/>
                <w:iCs/>
                <w:szCs w:val="21"/>
              </w:rPr>
            </w:pPr>
            <w:r w:rsidRPr="00ED2C1F">
              <w:rPr>
                <w:rFonts w:eastAsia="等线"/>
                <w:i/>
                <w:iCs/>
                <w:szCs w:val="21"/>
              </w:rPr>
              <w:t>Human</w:t>
            </w:r>
            <w:r w:rsidRPr="00ED2C1F">
              <w:rPr>
                <w:rFonts w:eastAsia="等线" w:hint="eastAsia"/>
                <w:i/>
                <w:iCs/>
                <w:szCs w:val="21"/>
              </w:rPr>
              <w:t>-</w:t>
            </w:r>
            <w:r w:rsidRPr="00ED2C1F">
              <w:rPr>
                <w:rFonts w:eastAsia="等线"/>
                <w:i/>
                <w:iCs/>
                <w:szCs w:val="21"/>
              </w:rPr>
              <w:t>LCN2</w:t>
            </w:r>
          </w:p>
        </w:tc>
        <w:tc>
          <w:tcPr>
            <w:tcW w:w="3544" w:type="dxa"/>
          </w:tcPr>
          <w:p w:rsidR="003D2014" w:rsidRPr="00ED2C1F" w:rsidRDefault="003D2014" w:rsidP="004966DD">
            <w:pPr>
              <w:widowControl/>
              <w:spacing w:line="360" w:lineRule="auto"/>
              <w:rPr>
                <w:rFonts w:eastAsia="等线"/>
                <w:szCs w:val="21"/>
              </w:rPr>
            </w:pPr>
            <w:r w:rsidRPr="00ED2C1F">
              <w:rPr>
                <w:rFonts w:eastAsia="等线"/>
                <w:szCs w:val="21"/>
              </w:rPr>
              <w:t>GAAGTGTGACTACTGGATCAGGA</w:t>
            </w:r>
          </w:p>
        </w:tc>
        <w:tc>
          <w:tcPr>
            <w:tcW w:w="3402" w:type="dxa"/>
          </w:tcPr>
          <w:p w:rsidR="003D2014" w:rsidRPr="00ED2C1F" w:rsidRDefault="003D2014" w:rsidP="004966DD">
            <w:pPr>
              <w:widowControl/>
              <w:spacing w:line="360" w:lineRule="auto"/>
              <w:rPr>
                <w:rFonts w:eastAsia="等线"/>
                <w:szCs w:val="21"/>
              </w:rPr>
            </w:pPr>
            <w:r w:rsidRPr="00ED2C1F">
              <w:rPr>
                <w:rFonts w:eastAsia="等线"/>
                <w:szCs w:val="21"/>
              </w:rPr>
              <w:t>ACCACTCGGACGAGGTAACT</w:t>
            </w:r>
          </w:p>
        </w:tc>
      </w:tr>
      <w:tr w:rsidR="003D2014" w:rsidRPr="00ED2C1F" w:rsidTr="004966DD">
        <w:tc>
          <w:tcPr>
            <w:tcW w:w="1843" w:type="dxa"/>
          </w:tcPr>
          <w:p w:rsidR="003D2014" w:rsidRPr="00ED2C1F" w:rsidRDefault="003D2014" w:rsidP="004966DD">
            <w:pPr>
              <w:widowControl/>
              <w:spacing w:line="360" w:lineRule="auto"/>
              <w:rPr>
                <w:rFonts w:eastAsia="等线"/>
                <w:i/>
                <w:iCs/>
                <w:szCs w:val="21"/>
              </w:rPr>
            </w:pPr>
            <w:r w:rsidRPr="00ED2C1F">
              <w:rPr>
                <w:rFonts w:eastAsia="等线"/>
                <w:i/>
                <w:iCs/>
                <w:szCs w:val="21"/>
              </w:rPr>
              <w:t>Human</w:t>
            </w:r>
            <w:r w:rsidRPr="00ED2C1F">
              <w:rPr>
                <w:rFonts w:eastAsia="等线" w:hint="eastAsia"/>
                <w:i/>
                <w:iCs/>
                <w:szCs w:val="21"/>
              </w:rPr>
              <w:t>-</w:t>
            </w:r>
            <w:r w:rsidRPr="00ED2C1F">
              <w:rPr>
                <w:rFonts w:eastAsia="等线"/>
                <w:i/>
                <w:iCs/>
                <w:szCs w:val="21"/>
              </w:rPr>
              <w:t>NR2F2</w:t>
            </w:r>
          </w:p>
        </w:tc>
        <w:tc>
          <w:tcPr>
            <w:tcW w:w="3544" w:type="dxa"/>
          </w:tcPr>
          <w:p w:rsidR="003D2014" w:rsidRPr="00ED2C1F" w:rsidRDefault="003D2014" w:rsidP="004966DD">
            <w:pPr>
              <w:widowControl/>
              <w:spacing w:line="360" w:lineRule="auto"/>
              <w:rPr>
                <w:rFonts w:eastAsia="等线"/>
                <w:szCs w:val="21"/>
              </w:rPr>
            </w:pPr>
            <w:r w:rsidRPr="00ED2C1F">
              <w:rPr>
                <w:rFonts w:eastAsia="等线"/>
                <w:szCs w:val="21"/>
              </w:rPr>
              <w:t>CGGGTGGTCGCCTTTATGG</w:t>
            </w:r>
          </w:p>
        </w:tc>
        <w:tc>
          <w:tcPr>
            <w:tcW w:w="3402" w:type="dxa"/>
          </w:tcPr>
          <w:p w:rsidR="003D2014" w:rsidRPr="00ED2C1F" w:rsidRDefault="003D2014" w:rsidP="004966DD">
            <w:pPr>
              <w:widowControl/>
              <w:spacing w:line="360" w:lineRule="auto"/>
              <w:rPr>
                <w:rFonts w:eastAsia="等线"/>
                <w:szCs w:val="21"/>
              </w:rPr>
            </w:pPr>
            <w:r w:rsidRPr="00ED2C1F">
              <w:rPr>
                <w:rFonts w:eastAsia="等线"/>
                <w:szCs w:val="21"/>
              </w:rPr>
              <w:t>ACAGGCATCTGAGGTGAACAG</w:t>
            </w:r>
          </w:p>
        </w:tc>
      </w:tr>
      <w:tr w:rsidR="003D2014" w:rsidTr="004966DD">
        <w:tc>
          <w:tcPr>
            <w:tcW w:w="1843" w:type="dxa"/>
          </w:tcPr>
          <w:p w:rsidR="003D2014" w:rsidRPr="00ED2C1F" w:rsidRDefault="003D2014" w:rsidP="004966DD">
            <w:pPr>
              <w:widowControl/>
              <w:spacing w:line="360" w:lineRule="auto"/>
              <w:rPr>
                <w:rFonts w:eastAsia="等线"/>
                <w:i/>
                <w:iCs/>
                <w:szCs w:val="21"/>
              </w:rPr>
            </w:pPr>
            <w:r w:rsidRPr="00ED2C1F">
              <w:rPr>
                <w:rFonts w:eastAsia="等线"/>
                <w:i/>
                <w:iCs/>
                <w:szCs w:val="21"/>
              </w:rPr>
              <w:t>Human</w:t>
            </w:r>
            <w:r w:rsidRPr="00ED2C1F">
              <w:rPr>
                <w:rFonts w:eastAsia="等线" w:hint="eastAsia"/>
                <w:i/>
                <w:iCs/>
                <w:szCs w:val="21"/>
              </w:rPr>
              <w:t>-</w:t>
            </w:r>
            <w:r w:rsidRPr="00ED2C1F">
              <w:rPr>
                <w:rFonts w:eastAsia="等线"/>
                <w:i/>
                <w:iCs/>
                <w:szCs w:val="21"/>
              </w:rPr>
              <w:t>FUT2</w:t>
            </w:r>
          </w:p>
          <w:p w:rsidR="003D2014" w:rsidRPr="00ED2C1F" w:rsidRDefault="003D2014" w:rsidP="004966DD">
            <w:pPr>
              <w:widowControl/>
              <w:spacing w:line="360" w:lineRule="auto"/>
              <w:rPr>
                <w:rFonts w:eastAsia="等线"/>
                <w:i/>
                <w:iCs/>
                <w:szCs w:val="21"/>
              </w:rPr>
            </w:pPr>
            <w:r w:rsidRPr="00ED2C1F">
              <w:rPr>
                <w:rFonts w:eastAsia="等线"/>
                <w:i/>
                <w:iCs/>
                <w:szCs w:val="21"/>
              </w:rPr>
              <w:t>Human</w:t>
            </w:r>
            <w:r w:rsidRPr="00ED2C1F">
              <w:rPr>
                <w:rFonts w:eastAsia="等线" w:hint="eastAsia"/>
                <w:i/>
                <w:iCs/>
                <w:szCs w:val="21"/>
              </w:rPr>
              <w:t>-METTL14</w:t>
            </w:r>
          </w:p>
        </w:tc>
        <w:tc>
          <w:tcPr>
            <w:tcW w:w="3544" w:type="dxa"/>
          </w:tcPr>
          <w:p w:rsidR="003D2014" w:rsidRPr="00ED2C1F" w:rsidRDefault="003D2014" w:rsidP="004966DD">
            <w:pPr>
              <w:widowControl/>
              <w:spacing w:line="360" w:lineRule="auto"/>
              <w:rPr>
                <w:rFonts w:eastAsia="等线"/>
                <w:szCs w:val="21"/>
              </w:rPr>
            </w:pPr>
            <w:r w:rsidRPr="00ED2C1F">
              <w:rPr>
                <w:rFonts w:eastAsia="等线"/>
                <w:szCs w:val="21"/>
              </w:rPr>
              <w:t>CACCGATGCTGGAAGGGTTT</w:t>
            </w:r>
          </w:p>
          <w:p w:rsidR="003D2014" w:rsidRPr="00ED2C1F" w:rsidRDefault="003D2014" w:rsidP="004966DD">
            <w:pPr>
              <w:widowControl/>
              <w:spacing w:line="360" w:lineRule="auto"/>
              <w:rPr>
                <w:rFonts w:eastAsia="等线"/>
                <w:szCs w:val="21"/>
              </w:rPr>
            </w:pPr>
            <w:r w:rsidRPr="00ED2C1F">
              <w:rPr>
                <w:rFonts w:eastAsia="等线"/>
                <w:szCs w:val="21"/>
              </w:rPr>
              <w:t>TGAAGCGTAGCACAGACGG</w:t>
            </w:r>
          </w:p>
        </w:tc>
        <w:tc>
          <w:tcPr>
            <w:tcW w:w="3402" w:type="dxa"/>
          </w:tcPr>
          <w:p w:rsidR="003D2014" w:rsidRPr="00ED2C1F" w:rsidRDefault="003D2014" w:rsidP="004966DD">
            <w:pPr>
              <w:widowControl/>
              <w:spacing w:line="360" w:lineRule="auto"/>
              <w:rPr>
                <w:rFonts w:eastAsia="等线"/>
                <w:szCs w:val="21"/>
              </w:rPr>
            </w:pPr>
            <w:r w:rsidRPr="00ED2C1F">
              <w:rPr>
                <w:rFonts w:eastAsia="等线"/>
                <w:szCs w:val="21"/>
              </w:rPr>
              <w:t>GAACGACCAGCATGGCTTCT</w:t>
            </w:r>
          </w:p>
          <w:p w:rsidR="003D2014" w:rsidRDefault="003D2014" w:rsidP="004966DD">
            <w:pPr>
              <w:widowControl/>
              <w:spacing w:line="360" w:lineRule="auto"/>
              <w:rPr>
                <w:rFonts w:eastAsia="等线"/>
                <w:szCs w:val="21"/>
              </w:rPr>
            </w:pPr>
            <w:r w:rsidRPr="00ED2C1F">
              <w:rPr>
                <w:rFonts w:eastAsia="等线"/>
                <w:szCs w:val="21"/>
              </w:rPr>
              <w:t>GGTCCAACTGTGAGCCAGC</w:t>
            </w:r>
          </w:p>
        </w:tc>
      </w:tr>
    </w:tbl>
    <w:p w:rsidR="003D2014" w:rsidRDefault="003D2014" w:rsidP="003D2014">
      <w:pPr>
        <w:widowControl/>
        <w:spacing w:line="360" w:lineRule="auto"/>
        <w:rPr>
          <w:rFonts w:ascii="Times New Roman" w:eastAsia="等线" w:hAnsi="Times New Roman" w:cs="Times New Roman"/>
          <w:color w:val="FF0000"/>
          <w:szCs w:val="21"/>
        </w:rPr>
      </w:pPr>
    </w:p>
    <w:p w:rsidR="003D2014" w:rsidRDefault="004E657B" w:rsidP="00583CE8">
      <w:pPr>
        <w:spacing w:line="360" w:lineRule="auto"/>
        <w:rPr>
          <w:rFonts w:ascii="Times New Roman" w:eastAsia="等线" w:hAnsi="Times New Roman" w:cs="Times New Roman"/>
          <w:b/>
          <w:bCs/>
          <w:szCs w:val="21"/>
        </w:rPr>
      </w:pPr>
      <w:r w:rsidRPr="00ED2C1F">
        <w:rPr>
          <w:rFonts w:ascii="Times New Roman" w:eastAsia="等线" w:hAnsi="Times New Roman" w:cs="Times New Roman"/>
          <w:b/>
          <w:bCs/>
          <w:szCs w:val="21"/>
        </w:rPr>
        <w:t>Table S</w:t>
      </w:r>
      <w:r>
        <w:rPr>
          <w:rFonts w:ascii="Times New Roman" w:eastAsia="等线" w:hAnsi="Times New Roman" w:cs="Times New Roman" w:hint="eastAsia"/>
          <w:b/>
          <w:bCs/>
          <w:szCs w:val="21"/>
        </w:rPr>
        <w:t xml:space="preserve">3. </w:t>
      </w:r>
      <w:r w:rsidR="001658F6" w:rsidRPr="001658F6">
        <w:rPr>
          <w:rFonts w:ascii="Times New Roman" w:eastAsia="等线" w:hAnsi="Times New Roman" w:cs="Times New Roman"/>
          <w:b/>
          <w:bCs/>
          <w:szCs w:val="21"/>
        </w:rPr>
        <w:t xml:space="preserve">Clinico-characteristics of human pancreatic cancer patients </w:t>
      </w:r>
    </w:p>
    <w:tbl>
      <w:tblPr>
        <w:tblW w:w="4473" w:type="dxa"/>
        <w:tblLook w:val="04A0"/>
      </w:tblPr>
      <w:tblGrid>
        <w:gridCol w:w="2042"/>
        <w:gridCol w:w="285"/>
        <w:gridCol w:w="1874"/>
        <w:gridCol w:w="272"/>
      </w:tblGrid>
      <w:tr w:rsidR="00BC1DEE" w:rsidRPr="00BC1DEE" w:rsidTr="009A62CA">
        <w:trPr>
          <w:trHeight w:val="276"/>
        </w:trPr>
        <w:tc>
          <w:tcPr>
            <w:tcW w:w="4473" w:type="dxa"/>
            <w:gridSpan w:val="4"/>
            <w:tcBorders>
              <w:top w:val="single" w:sz="8" w:space="0" w:color="auto"/>
              <w:left w:val="nil"/>
              <w:bottom w:val="single" w:sz="2" w:space="0" w:color="auto"/>
              <w:right w:val="nil"/>
            </w:tcBorders>
            <w:noWrap/>
            <w:vAlign w:val="center"/>
            <w:hideMark/>
          </w:tcPr>
          <w:p w:rsidR="00BC1DEE" w:rsidRPr="00BC1DEE" w:rsidRDefault="00BC1DEE" w:rsidP="00BC1DEE">
            <w:pPr>
              <w:widowControl/>
              <w:jc w:val="center"/>
              <w:rPr>
                <w:rFonts w:ascii="Times New Roman" w:eastAsia="Times New Roman" w:hAnsi="Times New Roman" w:cs="Times New Roman"/>
                <w:b/>
                <w:bCs/>
                <w:color w:val="000000"/>
                <w:kern w:val="0"/>
                <w:sz w:val="20"/>
                <w:szCs w:val="20"/>
              </w:rPr>
            </w:pPr>
            <w:bookmarkStart w:id="21" w:name="_Hlk178847253"/>
            <w:r w:rsidRPr="00BC1DEE">
              <w:rPr>
                <w:rFonts w:ascii="Times New Roman" w:eastAsia="Times New Roman" w:hAnsi="Times New Roman" w:cs="Times New Roman"/>
                <w:b/>
                <w:bCs/>
                <w:color w:val="000000"/>
                <w:kern w:val="0"/>
                <w:sz w:val="20"/>
                <w:szCs w:val="20"/>
              </w:rPr>
              <w:t>Human PDAC Patients (N=40)</w:t>
            </w:r>
          </w:p>
        </w:tc>
      </w:tr>
      <w:tr w:rsidR="00BC1DEE" w:rsidRPr="00BC1DEE" w:rsidTr="009A62CA">
        <w:trPr>
          <w:trHeight w:val="300"/>
        </w:trPr>
        <w:tc>
          <w:tcPr>
            <w:tcW w:w="2042"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b/>
                <w:bCs/>
                <w:color w:val="000000"/>
                <w:kern w:val="0"/>
                <w:sz w:val="20"/>
                <w:szCs w:val="20"/>
              </w:rPr>
            </w:pPr>
            <w:r w:rsidRPr="00BC1DEE">
              <w:rPr>
                <w:rFonts w:ascii="Times New Roman" w:eastAsia="Times New Roman" w:hAnsi="Times New Roman" w:cs="Times New Roman"/>
                <w:b/>
                <w:bCs/>
                <w:color w:val="000000"/>
                <w:kern w:val="0"/>
                <w:sz w:val="20"/>
                <w:szCs w:val="20"/>
              </w:rPr>
              <w:t>Gender no. (%)</w:t>
            </w:r>
          </w:p>
        </w:tc>
        <w:tc>
          <w:tcPr>
            <w:tcW w:w="285"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c>
          <w:tcPr>
            <w:tcW w:w="1874" w:type="dxa"/>
            <w:tcBorders>
              <w:top w:val="nil"/>
              <w:left w:val="nil"/>
              <w:bottom w:val="nil"/>
              <w:right w:val="nil"/>
            </w:tcBorders>
            <w:noWrap/>
            <w:vAlign w:val="bottom"/>
            <w:hideMark/>
          </w:tcPr>
          <w:p w:rsidR="00BC1DEE" w:rsidRPr="00BC1DEE" w:rsidRDefault="00BC1DEE" w:rsidP="00BC1DEE">
            <w:pPr>
              <w:widowControl/>
              <w:jc w:val="center"/>
              <w:rPr>
                <w:rFonts w:ascii="Times New Roman" w:eastAsia="Times New Roman" w:hAnsi="Times New Roman" w:cs="Times New Roman"/>
                <w:color w:val="000000"/>
                <w:kern w:val="0"/>
                <w:sz w:val="20"/>
                <w:szCs w:val="20"/>
              </w:rPr>
            </w:pPr>
          </w:p>
        </w:tc>
        <w:tc>
          <w:tcPr>
            <w:tcW w:w="272"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042"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color w:val="000000"/>
                <w:kern w:val="0"/>
                <w:sz w:val="20"/>
                <w:szCs w:val="20"/>
              </w:rPr>
            </w:pPr>
            <w:r w:rsidRPr="00BC1DEE">
              <w:rPr>
                <w:rFonts w:ascii="Times New Roman" w:eastAsia="Times New Roman" w:hAnsi="Times New Roman" w:cs="Times New Roman"/>
                <w:color w:val="000000"/>
                <w:kern w:val="0"/>
                <w:sz w:val="20"/>
                <w:szCs w:val="20"/>
              </w:rPr>
              <w:t>Male</w:t>
            </w:r>
          </w:p>
        </w:tc>
        <w:tc>
          <w:tcPr>
            <w:tcW w:w="285"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c>
          <w:tcPr>
            <w:tcW w:w="1874" w:type="dxa"/>
            <w:tcBorders>
              <w:top w:val="nil"/>
              <w:left w:val="nil"/>
              <w:bottom w:val="nil"/>
              <w:right w:val="nil"/>
            </w:tcBorders>
            <w:noWrap/>
            <w:vAlign w:val="bottom"/>
            <w:hideMark/>
          </w:tcPr>
          <w:p w:rsidR="00BC1DEE" w:rsidRPr="00BC1DEE" w:rsidRDefault="00BC1DEE" w:rsidP="00BC1DEE">
            <w:pPr>
              <w:widowControl/>
              <w:jc w:val="center"/>
              <w:rPr>
                <w:rFonts w:ascii="Times New Roman" w:eastAsia="Times New Roman" w:hAnsi="Times New Roman" w:cs="Times New Roman"/>
                <w:color w:val="000000"/>
                <w:kern w:val="0"/>
                <w:sz w:val="20"/>
                <w:szCs w:val="20"/>
              </w:rPr>
            </w:pPr>
            <w:r w:rsidRPr="00BC1DEE">
              <w:rPr>
                <w:rFonts w:ascii="Times New Roman" w:eastAsia="Times New Roman" w:hAnsi="Times New Roman" w:cs="Times New Roman"/>
                <w:color w:val="000000"/>
                <w:kern w:val="0"/>
                <w:sz w:val="20"/>
                <w:szCs w:val="20"/>
              </w:rPr>
              <w:t xml:space="preserve">22 (56.7) </w:t>
            </w:r>
          </w:p>
        </w:tc>
        <w:tc>
          <w:tcPr>
            <w:tcW w:w="272"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042"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color w:val="000000"/>
                <w:kern w:val="0"/>
                <w:sz w:val="20"/>
                <w:szCs w:val="20"/>
              </w:rPr>
            </w:pPr>
            <w:r w:rsidRPr="00BC1DEE">
              <w:rPr>
                <w:rFonts w:ascii="Times New Roman" w:eastAsia="Times New Roman" w:hAnsi="Times New Roman" w:cs="Times New Roman"/>
                <w:color w:val="000000"/>
                <w:kern w:val="0"/>
                <w:sz w:val="20"/>
                <w:szCs w:val="20"/>
              </w:rPr>
              <w:t>Female</w:t>
            </w:r>
          </w:p>
        </w:tc>
        <w:tc>
          <w:tcPr>
            <w:tcW w:w="285"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c>
          <w:tcPr>
            <w:tcW w:w="1874" w:type="dxa"/>
            <w:tcBorders>
              <w:top w:val="nil"/>
              <w:left w:val="nil"/>
              <w:bottom w:val="nil"/>
              <w:right w:val="nil"/>
            </w:tcBorders>
            <w:noWrap/>
            <w:vAlign w:val="bottom"/>
            <w:hideMark/>
          </w:tcPr>
          <w:p w:rsidR="00BC1DEE" w:rsidRPr="00BC1DEE" w:rsidRDefault="00BC1DEE" w:rsidP="00BC1DEE">
            <w:pPr>
              <w:widowControl/>
              <w:jc w:val="center"/>
              <w:rPr>
                <w:rFonts w:ascii="Times New Roman" w:eastAsia="Times New Roman" w:hAnsi="Times New Roman" w:cs="Times New Roman"/>
                <w:color w:val="000000"/>
                <w:kern w:val="0"/>
                <w:sz w:val="20"/>
                <w:szCs w:val="20"/>
              </w:rPr>
            </w:pPr>
            <w:r w:rsidRPr="00BC1DEE">
              <w:rPr>
                <w:rFonts w:ascii="Times New Roman" w:eastAsia="Times New Roman" w:hAnsi="Times New Roman" w:cs="Times New Roman"/>
                <w:color w:val="000000"/>
                <w:kern w:val="0"/>
                <w:sz w:val="20"/>
                <w:szCs w:val="20"/>
              </w:rPr>
              <w:t>18 (43.3)</w:t>
            </w:r>
          </w:p>
        </w:tc>
        <w:tc>
          <w:tcPr>
            <w:tcW w:w="272"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4201" w:type="dxa"/>
            <w:gridSpan w:val="3"/>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b/>
                <w:bCs/>
                <w:color w:val="000000"/>
                <w:kern w:val="0"/>
                <w:sz w:val="20"/>
                <w:szCs w:val="20"/>
              </w:rPr>
            </w:pPr>
            <w:r w:rsidRPr="00BC1DEE">
              <w:rPr>
                <w:rFonts w:ascii="Times New Roman" w:eastAsia="Times New Roman" w:hAnsi="Times New Roman" w:cs="Times New Roman"/>
                <w:b/>
                <w:bCs/>
                <w:color w:val="000000"/>
                <w:kern w:val="0"/>
                <w:sz w:val="20"/>
                <w:szCs w:val="20"/>
              </w:rPr>
              <w:t>Age at enrollments (y)</w:t>
            </w:r>
          </w:p>
        </w:tc>
        <w:tc>
          <w:tcPr>
            <w:tcW w:w="272"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327" w:type="dxa"/>
            <w:gridSpan w:val="2"/>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color w:val="000000"/>
                <w:kern w:val="0"/>
                <w:sz w:val="20"/>
                <w:szCs w:val="20"/>
              </w:rPr>
            </w:pPr>
            <w:r w:rsidRPr="00BC1DEE">
              <w:rPr>
                <w:rFonts w:ascii="Times New Roman" w:eastAsia="Times New Roman" w:hAnsi="Times New Roman" w:cs="Times New Roman"/>
                <w:color w:val="000000"/>
                <w:kern w:val="0"/>
                <w:sz w:val="20"/>
                <w:szCs w:val="20"/>
              </w:rPr>
              <w:t>Mean (SD)</w:t>
            </w:r>
          </w:p>
        </w:tc>
        <w:tc>
          <w:tcPr>
            <w:tcW w:w="1874" w:type="dxa"/>
            <w:tcBorders>
              <w:top w:val="nil"/>
              <w:left w:val="nil"/>
              <w:bottom w:val="nil"/>
              <w:right w:val="nil"/>
            </w:tcBorders>
            <w:noWrap/>
            <w:vAlign w:val="bottom"/>
            <w:hideMark/>
          </w:tcPr>
          <w:p w:rsidR="00BC1DEE" w:rsidRPr="00BC1DEE" w:rsidRDefault="00BC1DEE" w:rsidP="00BC1DEE">
            <w:pPr>
              <w:widowControl/>
              <w:jc w:val="center"/>
              <w:rPr>
                <w:rFonts w:ascii="Times New Roman" w:eastAsia="Times New Roman" w:hAnsi="Times New Roman" w:cs="Times New Roman"/>
                <w:color w:val="000000"/>
                <w:kern w:val="0"/>
                <w:sz w:val="20"/>
                <w:szCs w:val="20"/>
              </w:rPr>
            </w:pPr>
            <w:r w:rsidRPr="00BC1DEE">
              <w:rPr>
                <w:rFonts w:ascii="Times New Roman" w:eastAsia="Times New Roman" w:hAnsi="Times New Roman" w:cs="Times New Roman"/>
                <w:color w:val="000000"/>
                <w:kern w:val="0"/>
                <w:sz w:val="20"/>
                <w:szCs w:val="20"/>
              </w:rPr>
              <w:t>6</w:t>
            </w:r>
            <w:r w:rsidRPr="00BC1DEE">
              <w:rPr>
                <w:rFonts w:ascii="Times New Roman" w:eastAsia="宋体" w:hAnsi="Times New Roman" w:cs="Times New Roman" w:hint="eastAsia"/>
                <w:color w:val="000000"/>
                <w:kern w:val="0"/>
                <w:sz w:val="20"/>
                <w:szCs w:val="20"/>
              </w:rPr>
              <w:t>6</w:t>
            </w:r>
            <w:r w:rsidRPr="00BC1DEE">
              <w:rPr>
                <w:rFonts w:ascii="Times New Roman" w:eastAsia="Times New Roman" w:hAnsi="Times New Roman" w:cs="Times New Roman"/>
                <w:color w:val="000000"/>
                <w:kern w:val="0"/>
                <w:sz w:val="20"/>
                <w:szCs w:val="20"/>
              </w:rPr>
              <w:t xml:space="preserve">.5 (4.8) </w:t>
            </w:r>
          </w:p>
        </w:tc>
        <w:tc>
          <w:tcPr>
            <w:tcW w:w="272"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042"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color w:val="000000"/>
                <w:kern w:val="0"/>
                <w:sz w:val="20"/>
                <w:szCs w:val="20"/>
              </w:rPr>
            </w:pPr>
            <w:r w:rsidRPr="00BC1DEE">
              <w:rPr>
                <w:rFonts w:ascii="Times New Roman" w:eastAsia="Times New Roman" w:hAnsi="Times New Roman" w:cs="Times New Roman"/>
                <w:color w:val="000000"/>
                <w:kern w:val="0"/>
                <w:sz w:val="20"/>
                <w:szCs w:val="20"/>
              </w:rPr>
              <w:t>Range</w:t>
            </w:r>
          </w:p>
        </w:tc>
        <w:tc>
          <w:tcPr>
            <w:tcW w:w="285"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c>
          <w:tcPr>
            <w:tcW w:w="1874" w:type="dxa"/>
            <w:tcBorders>
              <w:top w:val="nil"/>
              <w:left w:val="nil"/>
              <w:bottom w:val="nil"/>
              <w:right w:val="nil"/>
            </w:tcBorders>
            <w:noWrap/>
            <w:vAlign w:val="bottom"/>
            <w:hideMark/>
          </w:tcPr>
          <w:p w:rsidR="00BC1DEE" w:rsidRPr="00BC1DEE" w:rsidRDefault="00BC1DEE" w:rsidP="00BC1DEE">
            <w:pPr>
              <w:widowControl/>
              <w:jc w:val="center"/>
              <w:rPr>
                <w:rFonts w:ascii="Times New Roman" w:eastAsia="Times New Roman"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4</w:t>
            </w:r>
            <w:r w:rsidRPr="00BC1DEE">
              <w:rPr>
                <w:rFonts w:ascii="Times New Roman" w:eastAsia="Times New Roman" w:hAnsi="Times New Roman" w:cs="Times New Roman"/>
                <w:color w:val="000000"/>
                <w:kern w:val="0"/>
                <w:sz w:val="20"/>
                <w:szCs w:val="20"/>
              </w:rPr>
              <w:t>5-88</w:t>
            </w:r>
          </w:p>
        </w:tc>
        <w:tc>
          <w:tcPr>
            <w:tcW w:w="272"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042" w:type="dxa"/>
            <w:tcBorders>
              <w:top w:val="nil"/>
              <w:left w:val="nil"/>
              <w:bottom w:val="nil"/>
              <w:right w:val="nil"/>
            </w:tcBorders>
            <w:noWrap/>
            <w:vAlign w:val="bottom"/>
          </w:tcPr>
          <w:p w:rsidR="00BC1DEE" w:rsidRPr="00BC1DEE" w:rsidRDefault="00BC1DEE" w:rsidP="00BC1DEE">
            <w:pPr>
              <w:widowControl/>
              <w:jc w:val="left"/>
              <w:rPr>
                <w:rFonts w:ascii="Times New Roman" w:eastAsia="宋体" w:hAnsi="Times New Roman" w:cs="Times New Roman"/>
                <w:b/>
                <w:bCs/>
                <w:color w:val="000000"/>
                <w:kern w:val="0"/>
                <w:sz w:val="20"/>
                <w:szCs w:val="20"/>
              </w:rPr>
            </w:pPr>
            <w:r w:rsidRPr="00BC1DEE">
              <w:rPr>
                <w:rFonts w:ascii="Times New Roman" w:eastAsia="宋体" w:hAnsi="Times New Roman" w:cs="Times New Roman" w:hint="eastAsia"/>
                <w:b/>
                <w:bCs/>
                <w:color w:val="000000"/>
                <w:kern w:val="0"/>
                <w:sz w:val="20"/>
                <w:szCs w:val="20"/>
              </w:rPr>
              <w:t>History of Diabetes</w:t>
            </w:r>
          </w:p>
        </w:tc>
        <w:tc>
          <w:tcPr>
            <w:tcW w:w="285"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c>
          <w:tcPr>
            <w:tcW w:w="1874" w:type="dxa"/>
            <w:tcBorders>
              <w:top w:val="nil"/>
              <w:left w:val="nil"/>
              <w:bottom w:val="nil"/>
              <w:right w:val="nil"/>
            </w:tcBorders>
            <w:noWrap/>
            <w:vAlign w:val="bottom"/>
          </w:tcPr>
          <w:p w:rsidR="00BC1DEE" w:rsidRPr="00BC1DEE" w:rsidRDefault="00BC1DEE" w:rsidP="00BC1DEE">
            <w:pPr>
              <w:widowControl/>
              <w:jc w:val="center"/>
              <w:rPr>
                <w:rFonts w:ascii="Times New Roman" w:eastAsia="宋体" w:hAnsi="Times New Roman" w:cs="Times New Roman"/>
                <w:color w:val="000000"/>
                <w:kern w:val="0"/>
                <w:sz w:val="20"/>
                <w:szCs w:val="20"/>
              </w:rPr>
            </w:pPr>
          </w:p>
        </w:tc>
        <w:tc>
          <w:tcPr>
            <w:tcW w:w="272"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042" w:type="dxa"/>
            <w:tcBorders>
              <w:top w:val="nil"/>
              <w:left w:val="nil"/>
              <w:bottom w:val="nil"/>
              <w:right w:val="nil"/>
            </w:tcBorders>
            <w:noWrap/>
            <w:vAlign w:val="bottom"/>
          </w:tcPr>
          <w:p w:rsidR="00BC1DEE" w:rsidRPr="00BC1DEE" w:rsidRDefault="00BC1DEE" w:rsidP="00BC1DEE">
            <w:pPr>
              <w:widowControl/>
              <w:jc w:val="left"/>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Yes</w:t>
            </w:r>
          </w:p>
        </w:tc>
        <w:tc>
          <w:tcPr>
            <w:tcW w:w="285"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c>
          <w:tcPr>
            <w:tcW w:w="1874" w:type="dxa"/>
            <w:tcBorders>
              <w:top w:val="nil"/>
              <w:left w:val="nil"/>
              <w:bottom w:val="nil"/>
              <w:right w:val="nil"/>
            </w:tcBorders>
            <w:noWrap/>
            <w:vAlign w:val="bottom"/>
          </w:tcPr>
          <w:p w:rsidR="00BC1DEE" w:rsidRPr="00BC1DEE" w:rsidRDefault="00BC1DEE" w:rsidP="00BC1DEE">
            <w:pPr>
              <w:widowControl/>
              <w:jc w:val="center"/>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11 (27.5)</w:t>
            </w:r>
          </w:p>
        </w:tc>
        <w:tc>
          <w:tcPr>
            <w:tcW w:w="272"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042" w:type="dxa"/>
            <w:tcBorders>
              <w:top w:val="nil"/>
              <w:left w:val="nil"/>
              <w:bottom w:val="nil"/>
              <w:right w:val="nil"/>
            </w:tcBorders>
            <w:noWrap/>
            <w:vAlign w:val="bottom"/>
          </w:tcPr>
          <w:p w:rsidR="00BC1DEE" w:rsidRPr="00BC1DEE" w:rsidRDefault="00BC1DEE" w:rsidP="00BC1DEE">
            <w:pPr>
              <w:widowControl/>
              <w:jc w:val="left"/>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No</w:t>
            </w:r>
          </w:p>
        </w:tc>
        <w:tc>
          <w:tcPr>
            <w:tcW w:w="285"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c>
          <w:tcPr>
            <w:tcW w:w="1874" w:type="dxa"/>
            <w:tcBorders>
              <w:top w:val="nil"/>
              <w:left w:val="nil"/>
              <w:bottom w:val="nil"/>
              <w:right w:val="nil"/>
            </w:tcBorders>
            <w:noWrap/>
            <w:vAlign w:val="bottom"/>
          </w:tcPr>
          <w:p w:rsidR="00BC1DEE" w:rsidRPr="00BC1DEE" w:rsidRDefault="00BC1DEE" w:rsidP="00BC1DEE">
            <w:pPr>
              <w:widowControl/>
              <w:jc w:val="center"/>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29 (72.5)</w:t>
            </w:r>
          </w:p>
        </w:tc>
        <w:tc>
          <w:tcPr>
            <w:tcW w:w="272"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327" w:type="dxa"/>
            <w:gridSpan w:val="2"/>
            <w:tcBorders>
              <w:top w:val="nil"/>
              <w:left w:val="nil"/>
              <w:bottom w:val="nil"/>
              <w:right w:val="nil"/>
            </w:tcBorders>
            <w:noWrap/>
            <w:vAlign w:val="bottom"/>
          </w:tcPr>
          <w:p w:rsidR="00BC1DEE" w:rsidRPr="00BC1DEE" w:rsidRDefault="00BC1DEE" w:rsidP="00BC1DEE">
            <w:pPr>
              <w:widowControl/>
              <w:jc w:val="left"/>
              <w:rPr>
                <w:rFonts w:ascii="Times New Roman" w:eastAsia="宋体" w:hAnsi="Times New Roman" w:cs="Times New Roman"/>
                <w:b/>
                <w:bCs/>
                <w:color w:val="000000"/>
                <w:kern w:val="0"/>
                <w:sz w:val="20"/>
                <w:szCs w:val="20"/>
              </w:rPr>
            </w:pPr>
            <w:r w:rsidRPr="00BC1DEE">
              <w:rPr>
                <w:rFonts w:ascii="Times New Roman" w:eastAsia="宋体" w:hAnsi="Times New Roman" w:cs="Times New Roman" w:hint="eastAsia"/>
                <w:b/>
                <w:bCs/>
                <w:color w:val="000000"/>
                <w:kern w:val="0"/>
                <w:sz w:val="20"/>
                <w:szCs w:val="20"/>
              </w:rPr>
              <w:t>History of Cancer</w:t>
            </w:r>
          </w:p>
        </w:tc>
        <w:tc>
          <w:tcPr>
            <w:tcW w:w="1874" w:type="dxa"/>
            <w:tcBorders>
              <w:top w:val="nil"/>
              <w:left w:val="nil"/>
              <w:bottom w:val="nil"/>
              <w:right w:val="nil"/>
            </w:tcBorders>
            <w:noWrap/>
            <w:vAlign w:val="bottom"/>
          </w:tcPr>
          <w:p w:rsidR="00BC1DEE" w:rsidRPr="00BC1DEE" w:rsidRDefault="00BC1DEE" w:rsidP="00BC1DEE">
            <w:pPr>
              <w:widowControl/>
              <w:jc w:val="center"/>
              <w:rPr>
                <w:rFonts w:ascii="Times New Roman" w:eastAsia="Times New Roman" w:hAnsi="Times New Roman" w:cs="Times New Roman"/>
                <w:color w:val="000000"/>
                <w:kern w:val="0"/>
                <w:sz w:val="20"/>
                <w:szCs w:val="20"/>
              </w:rPr>
            </w:pPr>
          </w:p>
        </w:tc>
        <w:tc>
          <w:tcPr>
            <w:tcW w:w="272"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327" w:type="dxa"/>
            <w:gridSpan w:val="2"/>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b/>
                <w:bCs/>
                <w:color w:val="000000"/>
                <w:kern w:val="0"/>
                <w:sz w:val="20"/>
                <w:szCs w:val="20"/>
              </w:rPr>
            </w:pPr>
            <w:r w:rsidRPr="00BC1DEE">
              <w:rPr>
                <w:rFonts w:ascii="Times New Roman" w:eastAsia="宋体" w:hAnsi="Times New Roman" w:cs="Times New Roman" w:hint="eastAsia"/>
                <w:color w:val="000000"/>
                <w:kern w:val="0"/>
                <w:sz w:val="20"/>
                <w:szCs w:val="20"/>
              </w:rPr>
              <w:t>Yes</w:t>
            </w:r>
          </w:p>
        </w:tc>
        <w:tc>
          <w:tcPr>
            <w:tcW w:w="1874" w:type="dxa"/>
            <w:tcBorders>
              <w:top w:val="nil"/>
              <w:left w:val="nil"/>
              <w:bottom w:val="nil"/>
              <w:right w:val="nil"/>
            </w:tcBorders>
            <w:noWrap/>
            <w:vAlign w:val="bottom"/>
          </w:tcPr>
          <w:p w:rsidR="00BC1DEE" w:rsidRPr="00BC1DEE" w:rsidRDefault="00BC1DEE" w:rsidP="00BC1DEE">
            <w:pPr>
              <w:widowControl/>
              <w:jc w:val="center"/>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8 (20)</w:t>
            </w:r>
          </w:p>
        </w:tc>
        <w:tc>
          <w:tcPr>
            <w:tcW w:w="272"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327" w:type="dxa"/>
            <w:gridSpan w:val="2"/>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b/>
                <w:bCs/>
                <w:color w:val="000000"/>
                <w:kern w:val="0"/>
                <w:sz w:val="20"/>
                <w:szCs w:val="20"/>
              </w:rPr>
            </w:pPr>
            <w:r w:rsidRPr="00BC1DEE">
              <w:rPr>
                <w:rFonts w:ascii="Times New Roman" w:eastAsia="宋体" w:hAnsi="Times New Roman" w:cs="Times New Roman" w:hint="eastAsia"/>
                <w:color w:val="000000"/>
                <w:kern w:val="0"/>
                <w:sz w:val="20"/>
                <w:szCs w:val="20"/>
              </w:rPr>
              <w:t>No</w:t>
            </w:r>
          </w:p>
        </w:tc>
        <w:tc>
          <w:tcPr>
            <w:tcW w:w="1874" w:type="dxa"/>
            <w:tcBorders>
              <w:top w:val="nil"/>
              <w:left w:val="nil"/>
              <w:bottom w:val="nil"/>
              <w:right w:val="nil"/>
            </w:tcBorders>
            <w:noWrap/>
            <w:vAlign w:val="bottom"/>
          </w:tcPr>
          <w:p w:rsidR="00BC1DEE" w:rsidRPr="00BC1DEE" w:rsidRDefault="00BC1DEE" w:rsidP="00BC1DEE">
            <w:pPr>
              <w:widowControl/>
              <w:jc w:val="center"/>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32 (80)</w:t>
            </w:r>
          </w:p>
        </w:tc>
        <w:tc>
          <w:tcPr>
            <w:tcW w:w="272"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327" w:type="dxa"/>
            <w:gridSpan w:val="2"/>
            <w:tcBorders>
              <w:top w:val="nil"/>
              <w:left w:val="nil"/>
              <w:bottom w:val="nil"/>
              <w:right w:val="nil"/>
            </w:tcBorders>
            <w:noWrap/>
            <w:vAlign w:val="bottom"/>
          </w:tcPr>
          <w:p w:rsidR="00BC1DEE" w:rsidRPr="00BC1DEE" w:rsidRDefault="00BC1DEE" w:rsidP="00BC1DEE">
            <w:pPr>
              <w:widowControl/>
              <w:jc w:val="left"/>
              <w:rPr>
                <w:rFonts w:ascii="Times New Roman" w:eastAsia="宋体" w:hAnsi="Times New Roman" w:cs="Times New Roman"/>
                <w:b/>
                <w:bCs/>
                <w:color w:val="000000"/>
                <w:kern w:val="0"/>
                <w:sz w:val="20"/>
                <w:szCs w:val="20"/>
              </w:rPr>
            </w:pPr>
            <w:r w:rsidRPr="00BC1DEE">
              <w:rPr>
                <w:rFonts w:ascii="Times New Roman" w:eastAsia="宋体" w:hAnsi="Times New Roman" w:cs="Times New Roman" w:hint="eastAsia"/>
                <w:b/>
                <w:bCs/>
                <w:color w:val="000000"/>
                <w:kern w:val="0"/>
                <w:sz w:val="20"/>
                <w:szCs w:val="20"/>
              </w:rPr>
              <w:t>Operation</w:t>
            </w:r>
          </w:p>
        </w:tc>
        <w:tc>
          <w:tcPr>
            <w:tcW w:w="1874" w:type="dxa"/>
            <w:tcBorders>
              <w:top w:val="nil"/>
              <w:left w:val="nil"/>
              <w:bottom w:val="nil"/>
              <w:right w:val="nil"/>
            </w:tcBorders>
            <w:noWrap/>
            <w:vAlign w:val="bottom"/>
          </w:tcPr>
          <w:p w:rsidR="00BC1DEE" w:rsidRPr="00BC1DEE" w:rsidRDefault="00BC1DEE" w:rsidP="00BC1DEE">
            <w:pPr>
              <w:widowControl/>
              <w:jc w:val="center"/>
              <w:rPr>
                <w:rFonts w:ascii="Times New Roman" w:eastAsia="Times New Roman" w:hAnsi="Times New Roman" w:cs="Times New Roman"/>
                <w:color w:val="000000"/>
                <w:kern w:val="0"/>
                <w:sz w:val="20"/>
                <w:szCs w:val="20"/>
              </w:rPr>
            </w:pPr>
          </w:p>
        </w:tc>
        <w:tc>
          <w:tcPr>
            <w:tcW w:w="272"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327" w:type="dxa"/>
            <w:gridSpan w:val="2"/>
            <w:tcBorders>
              <w:top w:val="nil"/>
              <w:left w:val="nil"/>
              <w:bottom w:val="nil"/>
              <w:right w:val="nil"/>
            </w:tcBorders>
            <w:noWrap/>
            <w:vAlign w:val="bottom"/>
          </w:tcPr>
          <w:p w:rsidR="00BC1DEE" w:rsidRPr="00BC1DEE" w:rsidRDefault="00BC1DEE" w:rsidP="00BC1DEE">
            <w:pPr>
              <w:widowControl/>
              <w:jc w:val="left"/>
              <w:rPr>
                <w:rFonts w:ascii="Times New Roman" w:eastAsia="宋体" w:hAnsi="Times New Roman" w:cs="Times New Roman"/>
                <w:color w:val="000000"/>
                <w:kern w:val="0"/>
                <w:sz w:val="20"/>
                <w:szCs w:val="20"/>
              </w:rPr>
            </w:pPr>
            <w:r w:rsidRPr="00BC1DEE">
              <w:rPr>
                <w:rFonts w:ascii="Times New Roman" w:eastAsia="宋体" w:hAnsi="Times New Roman" w:cs="Times New Roman"/>
                <w:color w:val="000000"/>
                <w:kern w:val="0"/>
                <w:sz w:val="20"/>
                <w:szCs w:val="20"/>
              </w:rPr>
              <w:t>Pancreaticoduodenectomy</w:t>
            </w:r>
          </w:p>
        </w:tc>
        <w:tc>
          <w:tcPr>
            <w:tcW w:w="1874" w:type="dxa"/>
            <w:tcBorders>
              <w:top w:val="nil"/>
              <w:left w:val="nil"/>
              <w:bottom w:val="nil"/>
              <w:right w:val="nil"/>
            </w:tcBorders>
            <w:noWrap/>
            <w:vAlign w:val="bottom"/>
          </w:tcPr>
          <w:p w:rsidR="00BC1DEE" w:rsidRPr="00BC1DEE" w:rsidRDefault="00BC1DEE" w:rsidP="00BC1DEE">
            <w:pPr>
              <w:widowControl/>
              <w:jc w:val="center"/>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31 (77.5)</w:t>
            </w:r>
          </w:p>
        </w:tc>
        <w:tc>
          <w:tcPr>
            <w:tcW w:w="272"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327" w:type="dxa"/>
            <w:gridSpan w:val="2"/>
            <w:tcBorders>
              <w:top w:val="nil"/>
              <w:left w:val="nil"/>
              <w:bottom w:val="nil"/>
              <w:right w:val="nil"/>
            </w:tcBorders>
            <w:noWrap/>
            <w:vAlign w:val="bottom"/>
          </w:tcPr>
          <w:p w:rsidR="00BC1DEE" w:rsidRPr="00BC1DEE" w:rsidRDefault="00BC1DEE" w:rsidP="00BC1DEE">
            <w:pPr>
              <w:widowControl/>
              <w:jc w:val="left"/>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Distal pancreatectomy</w:t>
            </w:r>
          </w:p>
        </w:tc>
        <w:tc>
          <w:tcPr>
            <w:tcW w:w="1874" w:type="dxa"/>
            <w:tcBorders>
              <w:top w:val="nil"/>
              <w:left w:val="nil"/>
              <w:bottom w:val="nil"/>
              <w:right w:val="nil"/>
            </w:tcBorders>
            <w:noWrap/>
            <w:vAlign w:val="bottom"/>
          </w:tcPr>
          <w:p w:rsidR="00BC1DEE" w:rsidRPr="00BC1DEE" w:rsidRDefault="00BC1DEE" w:rsidP="00BC1DEE">
            <w:pPr>
              <w:widowControl/>
              <w:jc w:val="center"/>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4 (10)</w:t>
            </w:r>
          </w:p>
        </w:tc>
        <w:tc>
          <w:tcPr>
            <w:tcW w:w="272"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327" w:type="dxa"/>
            <w:gridSpan w:val="2"/>
            <w:tcBorders>
              <w:top w:val="nil"/>
              <w:left w:val="nil"/>
              <w:bottom w:val="nil"/>
              <w:right w:val="nil"/>
            </w:tcBorders>
            <w:noWrap/>
            <w:vAlign w:val="bottom"/>
          </w:tcPr>
          <w:p w:rsidR="00BC1DEE" w:rsidRPr="00BC1DEE" w:rsidRDefault="00BC1DEE" w:rsidP="00BC1DEE">
            <w:pPr>
              <w:widowControl/>
              <w:jc w:val="left"/>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B</w:t>
            </w:r>
            <w:r w:rsidRPr="00BC1DEE">
              <w:rPr>
                <w:rFonts w:ascii="Times New Roman" w:eastAsia="宋体" w:hAnsi="Times New Roman" w:cs="Times New Roman"/>
                <w:color w:val="000000"/>
                <w:kern w:val="0"/>
                <w:sz w:val="20"/>
                <w:szCs w:val="20"/>
              </w:rPr>
              <w:t>iopsy</w:t>
            </w:r>
          </w:p>
        </w:tc>
        <w:tc>
          <w:tcPr>
            <w:tcW w:w="1874" w:type="dxa"/>
            <w:tcBorders>
              <w:top w:val="nil"/>
              <w:left w:val="nil"/>
              <w:bottom w:val="nil"/>
              <w:right w:val="nil"/>
            </w:tcBorders>
            <w:noWrap/>
            <w:vAlign w:val="bottom"/>
          </w:tcPr>
          <w:p w:rsidR="00BC1DEE" w:rsidRPr="00BC1DEE" w:rsidRDefault="00BC1DEE" w:rsidP="00BC1DEE">
            <w:pPr>
              <w:widowControl/>
              <w:jc w:val="center"/>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5 (12.5)</w:t>
            </w:r>
          </w:p>
        </w:tc>
        <w:tc>
          <w:tcPr>
            <w:tcW w:w="272"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327" w:type="dxa"/>
            <w:gridSpan w:val="2"/>
            <w:tcBorders>
              <w:top w:val="nil"/>
              <w:left w:val="nil"/>
              <w:bottom w:val="nil"/>
              <w:right w:val="nil"/>
            </w:tcBorders>
            <w:noWrap/>
            <w:vAlign w:val="bottom"/>
          </w:tcPr>
          <w:p w:rsidR="00BC1DEE" w:rsidRPr="00BC1DEE" w:rsidRDefault="00BC1DEE" w:rsidP="00BC1DEE">
            <w:pPr>
              <w:widowControl/>
              <w:jc w:val="left"/>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b/>
                <w:bCs/>
                <w:color w:val="000000"/>
                <w:kern w:val="0"/>
                <w:sz w:val="20"/>
                <w:szCs w:val="20"/>
              </w:rPr>
              <w:t>Early Stage</w:t>
            </w:r>
          </w:p>
        </w:tc>
        <w:tc>
          <w:tcPr>
            <w:tcW w:w="1874" w:type="dxa"/>
            <w:tcBorders>
              <w:top w:val="nil"/>
              <w:left w:val="nil"/>
              <w:bottom w:val="nil"/>
              <w:right w:val="nil"/>
            </w:tcBorders>
            <w:noWrap/>
            <w:vAlign w:val="bottom"/>
          </w:tcPr>
          <w:p w:rsidR="00BC1DEE" w:rsidRPr="00BC1DEE" w:rsidRDefault="00BC1DEE" w:rsidP="00BC1DEE">
            <w:pPr>
              <w:widowControl/>
              <w:jc w:val="center"/>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17 (42.5)</w:t>
            </w:r>
          </w:p>
        </w:tc>
        <w:tc>
          <w:tcPr>
            <w:tcW w:w="272"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327" w:type="dxa"/>
            <w:gridSpan w:val="2"/>
            <w:tcBorders>
              <w:top w:val="nil"/>
              <w:left w:val="nil"/>
              <w:bottom w:val="nil"/>
              <w:right w:val="nil"/>
            </w:tcBorders>
            <w:noWrap/>
            <w:vAlign w:val="bottom"/>
          </w:tcPr>
          <w:p w:rsidR="00BC1DEE" w:rsidRPr="00BC1DEE" w:rsidRDefault="00BC1DEE" w:rsidP="00BC1DEE">
            <w:pPr>
              <w:widowControl/>
              <w:jc w:val="left"/>
              <w:rPr>
                <w:rFonts w:ascii="Times New Roman" w:eastAsia="宋体" w:hAnsi="Times New Roman" w:cs="Times New Roman"/>
                <w:b/>
                <w:bCs/>
                <w:color w:val="000000"/>
                <w:kern w:val="0"/>
                <w:sz w:val="20"/>
                <w:szCs w:val="20"/>
              </w:rPr>
            </w:pPr>
            <w:r w:rsidRPr="00BC1DEE">
              <w:rPr>
                <w:rFonts w:ascii="Times New Roman" w:eastAsia="宋体" w:hAnsi="Times New Roman" w:cs="Times New Roman" w:hint="eastAsia"/>
                <w:b/>
                <w:bCs/>
                <w:color w:val="000000"/>
                <w:kern w:val="0"/>
                <w:sz w:val="20"/>
                <w:szCs w:val="20"/>
              </w:rPr>
              <w:t>Late Stage</w:t>
            </w:r>
          </w:p>
        </w:tc>
        <w:tc>
          <w:tcPr>
            <w:tcW w:w="1874" w:type="dxa"/>
            <w:tcBorders>
              <w:top w:val="nil"/>
              <w:left w:val="nil"/>
              <w:bottom w:val="nil"/>
              <w:right w:val="nil"/>
            </w:tcBorders>
            <w:noWrap/>
            <w:vAlign w:val="bottom"/>
          </w:tcPr>
          <w:p w:rsidR="00BC1DEE" w:rsidRPr="00BC1DEE" w:rsidRDefault="00BC1DEE" w:rsidP="00BC1DEE">
            <w:pPr>
              <w:widowControl/>
              <w:jc w:val="center"/>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23 (57.5)</w:t>
            </w:r>
          </w:p>
        </w:tc>
        <w:tc>
          <w:tcPr>
            <w:tcW w:w="272"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327" w:type="dxa"/>
            <w:gridSpan w:val="2"/>
            <w:tcBorders>
              <w:top w:val="nil"/>
              <w:left w:val="nil"/>
              <w:bottom w:val="nil"/>
              <w:right w:val="nil"/>
            </w:tcBorders>
            <w:noWrap/>
            <w:vAlign w:val="bottom"/>
          </w:tcPr>
          <w:p w:rsidR="00BC1DEE" w:rsidRPr="00BC1DEE" w:rsidRDefault="00BC1DEE" w:rsidP="00BC1DEE">
            <w:pPr>
              <w:widowControl/>
              <w:jc w:val="left"/>
              <w:rPr>
                <w:rFonts w:ascii="Times New Roman" w:eastAsia="宋体" w:hAnsi="Times New Roman" w:cs="Times New Roman"/>
                <w:b/>
                <w:bCs/>
                <w:color w:val="000000"/>
                <w:kern w:val="0"/>
                <w:sz w:val="20"/>
                <w:szCs w:val="20"/>
              </w:rPr>
            </w:pPr>
            <w:r w:rsidRPr="00BC1DEE">
              <w:rPr>
                <w:rFonts w:ascii="Times New Roman" w:eastAsia="宋体" w:hAnsi="Times New Roman" w:cs="Times New Roman" w:hint="eastAsia"/>
                <w:b/>
                <w:bCs/>
                <w:color w:val="000000"/>
                <w:kern w:val="0"/>
                <w:sz w:val="20"/>
                <w:szCs w:val="20"/>
              </w:rPr>
              <w:t xml:space="preserve">Tumor </w:t>
            </w:r>
            <w:r w:rsidRPr="00BC1DEE">
              <w:rPr>
                <w:rFonts w:ascii="Times New Roman" w:eastAsia="宋体" w:hAnsi="Times New Roman" w:cs="Times New Roman"/>
                <w:b/>
                <w:bCs/>
                <w:color w:val="000000"/>
                <w:kern w:val="0"/>
                <w:sz w:val="20"/>
                <w:szCs w:val="20"/>
              </w:rPr>
              <w:t>size, cm</w:t>
            </w:r>
            <w:r w:rsidRPr="00BC1DEE">
              <w:rPr>
                <w:rFonts w:ascii="Times New Roman" w:eastAsia="宋体" w:hAnsi="Times New Roman" w:cs="Times New Roman" w:hint="eastAsia"/>
                <w:b/>
                <w:bCs/>
                <w:color w:val="000000"/>
                <w:kern w:val="0"/>
                <w:sz w:val="20"/>
                <w:szCs w:val="20"/>
                <w:vertAlign w:val="superscript"/>
              </w:rPr>
              <w:t>2</w:t>
            </w:r>
          </w:p>
        </w:tc>
        <w:tc>
          <w:tcPr>
            <w:tcW w:w="1874" w:type="dxa"/>
            <w:tcBorders>
              <w:top w:val="nil"/>
              <w:left w:val="nil"/>
              <w:bottom w:val="nil"/>
              <w:right w:val="nil"/>
            </w:tcBorders>
            <w:noWrap/>
            <w:vAlign w:val="bottom"/>
          </w:tcPr>
          <w:p w:rsidR="00BC1DEE" w:rsidRPr="00BC1DEE" w:rsidRDefault="00BC1DEE" w:rsidP="00BC1DEE">
            <w:pPr>
              <w:widowControl/>
              <w:jc w:val="center"/>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2.7 (2.1-3.6)</w:t>
            </w:r>
          </w:p>
        </w:tc>
        <w:tc>
          <w:tcPr>
            <w:tcW w:w="272"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327" w:type="dxa"/>
            <w:gridSpan w:val="2"/>
            <w:tcBorders>
              <w:top w:val="nil"/>
              <w:left w:val="nil"/>
              <w:bottom w:val="nil"/>
              <w:right w:val="nil"/>
            </w:tcBorders>
            <w:noWrap/>
            <w:vAlign w:val="bottom"/>
          </w:tcPr>
          <w:p w:rsidR="00BC1DEE" w:rsidRPr="00BC1DEE" w:rsidRDefault="00BC1DEE" w:rsidP="00BC1DEE">
            <w:pPr>
              <w:widowControl/>
              <w:jc w:val="left"/>
              <w:rPr>
                <w:rFonts w:ascii="Times New Roman" w:eastAsia="宋体" w:hAnsi="Times New Roman" w:cs="Times New Roman"/>
                <w:b/>
                <w:bCs/>
                <w:color w:val="000000"/>
                <w:kern w:val="0"/>
                <w:sz w:val="20"/>
                <w:szCs w:val="20"/>
              </w:rPr>
            </w:pPr>
            <w:r w:rsidRPr="00BC1DEE">
              <w:rPr>
                <w:rFonts w:ascii="Times New Roman" w:eastAsia="宋体" w:hAnsi="Times New Roman" w:cs="Times New Roman"/>
                <w:b/>
                <w:bCs/>
                <w:color w:val="000000"/>
                <w:kern w:val="0"/>
                <w:sz w:val="20"/>
                <w:szCs w:val="20"/>
              </w:rPr>
              <w:t>Extrapancreatic</w:t>
            </w:r>
            <w:r w:rsidRPr="00BC1DEE">
              <w:rPr>
                <w:rFonts w:ascii="Times New Roman" w:eastAsia="宋体" w:hAnsi="Times New Roman" w:cs="Times New Roman" w:hint="eastAsia"/>
                <w:b/>
                <w:bCs/>
                <w:color w:val="000000"/>
                <w:kern w:val="0"/>
                <w:sz w:val="20"/>
                <w:szCs w:val="20"/>
              </w:rPr>
              <w:t xml:space="preserve"> invasion</w:t>
            </w:r>
          </w:p>
        </w:tc>
        <w:tc>
          <w:tcPr>
            <w:tcW w:w="1874" w:type="dxa"/>
            <w:tcBorders>
              <w:top w:val="nil"/>
              <w:left w:val="nil"/>
              <w:bottom w:val="nil"/>
              <w:right w:val="nil"/>
            </w:tcBorders>
            <w:noWrap/>
            <w:vAlign w:val="bottom"/>
          </w:tcPr>
          <w:p w:rsidR="00BC1DEE" w:rsidRPr="00BC1DEE" w:rsidRDefault="00BC1DEE" w:rsidP="00BC1DEE">
            <w:pPr>
              <w:widowControl/>
              <w:jc w:val="center"/>
              <w:rPr>
                <w:rFonts w:ascii="Times New Roman" w:eastAsia="Times New Roman" w:hAnsi="Times New Roman" w:cs="Times New Roman"/>
                <w:color w:val="000000"/>
                <w:kern w:val="0"/>
                <w:sz w:val="20"/>
                <w:szCs w:val="20"/>
              </w:rPr>
            </w:pPr>
          </w:p>
        </w:tc>
        <w:tc>
          <w:tcPr>
            <w:tcW w:w="272"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327" w:type="dxa"/>
            <w:gridSpan w:val="2"/>
            <w:tcBorders>
              <w:top w:val="nil"/>
              <w:left w:val="nil"/>
              <w:bottom w:val="nil"/>
              <w:right w:val="nil"/>
            </w:tcBorders>
            <w:noWrap/>
            <w:vAlign w:val="bottom"/>
          </w:tcPr>
          <w:p w:rsidR="00BC1DEE" w:rsidRPr="00BC1DEE" w:rsidRDefault="00BC1DEE" w:rsidP="00BC1DEE">
            <w:pPr>
              <w:widowControl/>
              <w:jc w:val="left"/>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Yes</w:t>
            </w:r>
          </w:p>
        </w:tc>
        <w:tc>
          <w:tcPr>
            <w:tcW w:w="1874" w:type="dxa"/>
            <w:tcBorders>
              <w:top w:val="nil"/>
              <w:left w:val="nil"/>
              <w:bottom w:val="nil"/>
              <w:right w:val="nil"/>
            </w:tcBorders>
            <w:noWrap/>
            <w:vAlign w:val="bottom"/>
          </w:tcPr>
          <w:p w:rsidR="00BC1DEE" w:rsidRPr="00BC1DEE" w:rsidRDefault="00BC1DEE" w:rsidP="00BC1DEE">
            <w:pPr>
              <w:widowControl/>
              <w:jc w:val="center"/>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37 (92.5)</w:t>
            </w:r>
          </w:p>
        </w:tc>
        <w:tc>
          <w:tcPr>
            <w:tcW w:w="272"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327" w:type="dxa"/>
            <w:gridSpan w:val="2"/>
            <w:tcBorders>
              <w:top w:val="nil"/>
              <w:left w:val="nil"/>
              <w:bottom w:val="nil"/>
              <w:right w:val="nil"/>
            </w:tcBorders>
            <w:noWrap/>
            <w:vAlign w:val="bottom"/>
          </w:tcPr>
          <w:p w:rsidR="00BC1DEE" w:rsidRPr="00BC1DEE" w:rsidRDefault="00BC1DEE" w:rsidP="00BC1DEE">
            <w:pPr>
              <w:widowControl/>
              <w:jc w:val="left"/>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No</w:t>
            </w:r>
          </w:p>
        </w:tc>
        <w:tc>
          <w:tcPr>
            <w:tcW w:w="1874" w:type="dxa"/>
            <w:tcBorders>
              <w:top w:val="nil"/>
              <w:left w:val="nil"/>
              <w:bottom w:val="nil"/>
              <w:right w:val="nil"/>
            </w:tcBorders>
            <w:noWrap/>
            <w:vAlign w:val="bottom"/>
          </w:tcPr>
          <w:p w:rsidR="00BC1DEE" w:rsidRPr="00BC1DEE" w:rsidRDefault="00BC1DEE" w:rsidP="00BC1DEE">
            <w:pPr>
              <w:widowControl/>
              <w:jc w:val="center"/>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3 (7.5)</w:t>
            </w:r>
          </w:p>
        </w:tc>
        <w:tc>
          <w:tcPr>
            <w:tcW w:w="272"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327" w:type="dxa"/>
            <w:gridSpan w:val="2"/>
            <w:tcBorders>
              <w:top w:val="nil"/>
              <w:left w:val="nil"/>
              <w:bottom w:val="nil"/>
              <w:right w:val="nil"/>
            </w:tcBorders>
            <w:noWrap/>
            <w:vAlign w:val="bottom"/>
          </w:tcPr>
          <w:p w:rsidR="00BC1DEE" w:rsidRPr="00BC1DEE" w:rsidRDefault="00BC1DEE" w:rsidP="00BC1DEE">
            <w:pPr>
              <w:widowControl/>
              <w:jc w:val="left"/>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b/>
                <w:bCs/>
                <w:color w:val="000000"/>
                <w:kern w:val="0"/>
                <w:sz w:val="20"/>
                <w:szCs w:val="20"/>
              </w:rPr>
              <w:t>Liver metastasis</w:t>
            </w:r>
          </w:p>
        </w:tc>
        <w:tc>
          <w:tcPr>
            <w:tcW w:w="1874" w:type="dxa"/>
            <w:tcBorders>
              <w:top w:val="nil"/>
              <w:left w:val="nil"/>
              <w:bottom w:val="nil"/>
              <w:right w:val="nil"/>
            </w:tcBorders>
            <w:noWrap/>
            <w:vAlign w:val="bottom"/>
          </w:tcPr>
          <w:p w:rsidR="00BC1DEE" w:rsidRPr="00BC1DEE" w:rsidRDefault="00BC1DEE" w:rsidP="00BC1DEE">
            <w:pPr>
              <w:widowControl/>
              <w:jc w:val="center"/>
              <w:rPr>
                <w:rFonts w:ascii="Times New Roman" w:eastAsia="Times New Roman" w:hAnsi="Times New Roman" w:cs="Times New Roman"/>
                <w:color w:val="000000"/>
                <w:kern w:val="0"/>
                <w:sz w:val="20"/>
                <w:szCs w:val="20"/>
              </w:rPr>
            </w:pPr>
          </w:p>
        </w:tc>
        <w:tc>
          <w:tcPr>
            <w:tcW w:w="272"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327" w:type="dxa"/>
            <w:gridSpan w:val="2"/>
            <w:tcBorders>
              <w:top w:val="nil"/>
              <w:left w:val="nil"/>
              <w:bottom w:val="nil"/>
              <w:right w:val="nil"/>
            </w:tcBorders>
            <w:noWrap/>
            <w:vAlign w:val="bottom"/>
          </w:tcPr>
          <w:p w:rsidR="00BC1DEE" w:rsidRPr="00BC1DEE" w:rsidRDefault="00BC1DEE" w:rsidP="00BC1DEE">
            <w:pPr>
              <w:widowControl/>
              <w:jc w:val="left"/>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Yes</w:t>
            </w:r>
          </w:p>
        </w:tc>
        <w:tc>
          <w:tcPr>
            <w:tcW w:w="1874" w:type="dxa"/>
            <w:tcBorders>
              <w:top w:val="nil"/>
              <w:left w:val="nil"/>
              <w:bottom w:val="nil"/>
              <w:right w:val="nil"/>
            </w:tcBorders>
            <w:noWrap/>
            <w:vAlign w:val="bottom"/>
          </w:tcPr>
          <w:p w:rsidR="00BC1DEE" w:rsidRPr="00BC1DEE" w:rsidRDefault="00BC1DEE" w:rsidP="00BC1DEE">
            <w:pPr>
              <w:widowControl/>
              <w:jc w:val="center"/>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13 (32.5)</w:t>
            </w:r>
          </w:p>
        </w:tc>
        <w:tc>
          <w:tcPr>
            <w:tcW w:w="272"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327" w:type="dxa"/>
            <w:gridSpan w:val="2"/>
            <w:tcBorders>
              <w:top w:val="nil"/>
              <w:left w:val="nil"/>
              <w:bottom w:val="nil"/>
              <w:right w:val="nil"/>
            </w:tcBorders>
            <w:noWrap/>
            <w:vAlign w:val="bottom"/>
          </w:tcPr>
          <w:p w:rsidR="00BC1DEE" w:rsidRPr="00BC1DEE" w:rsidRDefault="00BC1DEE" w:rsidP="00BC1DEE">
            <w:pPr>
              <w:widowControl/>
              <w:jc w:val="left"/>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No</w:t>
            </w:r>
          </w:p>
        </w:tc>
        <w:tc>
          <w:tcPr>
            <w:tcW w:w="1874" w:type="dxa"/>
            <w:tcBorders>
              <w:top w:val="nil"/>
              <w:left w:val="nil"/>
              <w:bottom w:val="nil"/>
              <w:right w:val="nil"/>
            </w:tcBorders>
            <w:noWrap/>
            <w:vAlign w:val="bottom"/>
          </w:tcPr>
          <w:p w:rsidR="00BC1DEE" w:rsidRPr="00BC1DEE" w:rsidRDefault="00BC1DEE" w:rsidP="00BC1DEE">
            <w:pPr>
              <w:widowControl/>
              <w:jc w:val="center"/>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27 (67.5)</w:t>
            </w:r>
          </w:p>
        </w:tc>
        <w:tc>
          <w:tcPr>
            <w:tcW w:w="272"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327" w:type="dxa"/>
            <w:gridSpan w:val="2"/>
            <w:tcBorders>
              <w:top w:val="nil"/>
              <w:left w:val="nil"/>
              <w:bottom w:val="nil"/>
              <w:right w:val="nil"/>
            </w:tcBorders>
            <w:noWrap/>
            <w:vAlign w:val="bottom"/>
          </w:tcPr>
          <w:p w:rsidR="00BC1DEE" w:rsidRPr="00BC1DEE" w:rsidRDefault="00BC1DEE" w:rsidP="00BC1DEE">
            <w:pPr>
              <w:widowControl/>
              <w:jc w:val="left"/>
              <w:rPr>
                <w:rFonts w:ascii="Times New Roman" w:eastAsia="宋体" w:hAnsi="Times New Roman" w:cs="Times New Roman"/>
                <w:b/>
                <w:bCs/>
                <w:color w:val="000000"/>
                <w:kern w:val="0"/>
                <w:sz w:val="20"/>
                <w:szCs w:val="20"/>
              </w:rPr>
            </w:pPr>
            <w:r w:rsidRPr="00BC1DEE">
              <w:rPr>
                <w:rFonts w:ascii="Times New Roman" w:eastAsia="宋体" w:hAnsi="Times New Roman" w:cs="Times New Roman" w:hint="eastAsia"/>
                <w:b/>
                <w:bCs/>
                <w:color w:val="000000"/>
                <w:kern w:val="0"/>
                <w:sz w:val="20"/>
                <w:szCs w:val="20"/>
              </w:rPr>
              <w:t>Local recurrence</w:t>
            </w:r>
          </w:p>
        </w:tc>
        <w:tc>
          <w:tcPr>
            <w:tcW w:w="1874" w:type="dxa"/>
            <w:tcBorders>
              <w:top w:val="nil"/>
              <w:left w:val="nil"/>
              <w:bottom w:val="nil"/>
              <w:right w:val="nil"/>
            </w:tcBorders>
            <w:noWrap/>
            <w:vAlign w:val="bottom"/>
          </w:tcPr>
          <w:p w:rsidR="00BC1DEE" w:rsidRPr="00BC1DEE" w:rsidRDefault="00BC1DEE" w:rsidP="00BC1DEE">
            <w:pPr>
              <w:widowControl/>
              <w:jc w:val="center"/>
              <w:rPr>
                <w:rFonts w:ascii="Times New Roman" w:eastAsia="Times New Roman" w:hAnsi="Times New Roman" w:cs="Times New Roman"/>
                <w:color w:val="000000"/>
                <w:kern w:val="0"/>
                <w:sz w:val="20"/>
                <w:szCs w:val="20"/>
              </w:rPr>
            </w:pPr>
          </w:p>
        </w:tc>
        <w:tc>
          <w:tcPr>
            <w:tcW w:w="272"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327" w:type="dxa"/>
            <w:gridSpan w:val="2"/>
            <w:tcBorders>
              <w:top w:val="nil"/>
              <w:left w:val="nil"/>
              <w:bottom w:val="nil"/>
              <w:right w:val="nil"/>
            </w:tcBorders>
            <w:noWrap/>
            <w:vAlign w:val="bottom"/>
          </w:tcPr>
          <w:p w:rsidR="00BC1DEE" w:rsidRPr="00BC1DEE" w:rsidRDefault="00BC1DEE" w:rsidP="00BC1DEE">
            <w:pPr>
              <w:widowControl/>
              <w:jc w:val="left"/>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Yes</w:t>
            </w:r>
          </w:p>
        </w:tc>
        <w:tc>
          <w:tcPr>
            <w:tcW w:w="1874" w:type="dxa"/>
            <w:tcBorders>
              <w:top w:val="nil"/>
              <w:left w:val="nil"/>
              <w:bottom w:val="nil"/>
              <w:right w:val="nil"/>
            </w:tcBorders>
            <w:noWrap/>
            <w:vAlign w:val="bottom"/>
          </w:tcPr>
          <w:p w:rsidR="00BC1DEE" w:rsidRPr="00BC1DEE" w:rsidRDefault="00BC1DEE" w:rsidP="00BC1DEE">
            <w:pPr>
              <w:widowControl/>
              <w:jc w:val="center"/>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27 (67.5)</w:t>
            </w:r>
          </w:p>
        </w:tc>
        <w:tc>
          <w:tcPr>
            <w:tcW w:w="272"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327" w:type="dxa"/>
            <w:gridSpan w:val="2"/>
            <w:tcBorders>
              <w:top w:val="nil"/>
              <w:left w:val="nil"/>
              <w:bottom w:val="nil"/>
              <w:right w:val="nil"/>
            </w:tcBorders>
            <w:noWrap/>
            <w:vAlign w:val="bottom"/>
          </w:tcPr>
          <w:p w:rsidR="00BC1DEE" w:rsidRPr="00BC1DEE" w:rsidRDefault="00BC1DEE" w:rsidP="00BC1DEE">
            <w:pPr>
              <w:widowControl/>
              <w:jc w:val="left"/>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No</w:t>
            </w:r>
          </w:p>
        </w:tc>
        <w:tc>
          <w:tcPr>
            <w:tcW w:w="1874" w:type="dxa"/>
            <w:tcBorders>
              <w:top w:val="nil"/>
              <w:left w:val="nil"/>
              <w:bottom w:val="nil"/>
              <w:right w:val="nil"/>
            </w:tcBorders>
            <w:noWrap/>
            <w:vAlign w:val="bottom"/>
          </w:tcPr>
          <w:p w:rsidR="00BC1DEE" w:rsidRPr="00BC1DEE" w:rsidRDefault="00BC1DEE" w:rsidP="00BC1DEE">
            <w:pPr>
              <w:widowControl/>
              <w:jc w:val="center"/>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13 (32.5)</w:t>
            </w:r>
          </w:p>
        </w:tc>
        <w:tc>
          <w:tcPr>
            <w:tcW w:w="272"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327" w:type="dxa"/>
            <w:gridSpan w:val="2"/>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b/>
                <w:bCs/>
                <w:color w:val="000000"/>
                <w:kern w:val="0"/>
                <w:sz w:val="20"/>
                <w:szCs w:val="20"/>
              </w:rPr>
            </w:pPr>
            <w:r w:rsidRPr="00BC1DEE">
              <w:rPr>
                <w:rFonts w:ascii="Times New Roman" w:eastAsia="Times New Roman" w:hAnsi="Times New Roman" w:cs="Times New Roman"/>
                <w:b/>
                <w:bCs/>
                <w:color w:val="000000"/>
                <w:kern w:val="0"/>
                <w:sz w:val="20"/>
                <w:szCs w:val="20"/>
              </w:rPr>
              <w:t>T stage no. (%)</w:t>
            </w:r>
          </w:p>
        </w:tc>
        <w:tc>
          <w:tcPr>
            <w:tcW w:w="1874" w:type="dxa"/>
            <w:tcBorders>
              <w:top w:val="nil"/>
              <w:left w:val="nil"/>
              <w:bottom w:val="nil"/>
              <w:right w:val="nil"/>
            </w:tcBorders>
            <w:noWrap/>
            <w:vAlign w:val="bottom"/>
            <w:hideMark/>
          </w:tcPr>
          <w:p w:rsidR="00BC1DEE" w:rsidRPr="00BC1DEE" w:rsidRDefault="00BC1DEE" w:rsidP="00BC1DEE">
            <w:pPr>
              <w:widowControl/>
              <w:jc w:val="center"/>
              <w:rPr>
                <w:rFonts w:ascii="Times New Roman" w:eastAsia="Times New Roman" w:hAnsi="Times New Roman" w:cs="Times New Roman"/>
                <w:color w:val="000000"/>
                <w:kern w:val="0"/>
                <w:sz w:val="20"/>
                <w:szCs w:val="20"/>
              </w:rPr>
            </w:pPr>
          </w:p>
        </w:tc>
        <w:tc>
          <w:tcPr>
            <w:tcW w:w="272"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042" w:type="dxa"/>
            <w:tcBorders>
              <w:top w:val="nil"/>
              <w:left w:val="nil"/>
              <w:bottom w:val="nil"/>
              <w:right w:val="nil"/>
            </w:tcBorders>
            <w:noWrap/>
            <w:vAlign w:val="bottom"/>
            <w:hideMark/>
          </w:tcPr>
          <w:p w:rsidR="00BC1DEE" w:rsidRPr="00BC1DEE" w:rsidRDefault="00BC1DEE" w:rsidP="00BC1DEE">
            <w:pPr>
              <w:widowControl/>
              <w:ind w:right="800"/>
              <w:jc w:val="left"/>
              <w:rPr>
                <w:rFonts w:ascii="Times New Roman" w:eastAsia="Times New Roman"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T</w:t>
            </w:r>
            <w:r w:rsidRPr="00BC1DEE">
              <w:rPr>
                <w:rFonts w:ascii="Times New Roman" w:eastAsia="Times New Roman" w:hAnsi="Times New Roman" w:cs="Times New Roman"/>
                <w:color w:val="000000"/>
                <w:kern w:val="0"/>
                <w:sz w:val="20"/>
                <w:szCs w:val="20"/>
              </w:rPr>
              <w:t>1</w:t>
            </w:r>
          </w:p>
        </w:tc>
        <w:tc>
          <w:tcPr>
            <w:tcW w:w="285"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c>
          <w:tcPr>
            <w:tcW w:w="1874" w:type="dxa"/>
            <w:tcBorders>
              <w:top w:val="nil"/>
              <w:left w:val="nil"/>
              <w:bottom w:val="nil"/>
              <w:right w:val="nil"/>
            </w:tcBorders>
            <w:noWrap/>
            <w:vAlign w:val="bottom"/>
            <w:hideMark/>
          </w:tcPr>
          <w:p w:rsidR="00BC1DEE" w:rsidRPr="00BC1DEE" w:rsidRDefault="00BC1DEE" w:rsidP="00BC1DEE">
            <w:pPr>
              <w:widowControl/>
              <w:jc w:val="center"/>
              <w:rPr>
                <w:rFonts w:ascii="Times New Roman" w:eastAsia="Times New Roman" w:hAnsi="Times New Roman" w:cs="Times New Roman"/>
                <w:color w:val="000000"/>
                <w:kern w:val="0"/>
                <w:sz w:val="20"/>
                <w:szCs w:val="20"/>
              </w:rPr>
            </w:pPr>
            <w:r w:rsidRPr="00BC1DEE">
              <w:rPr>
                <w:rFonts w:ascii="Times New Roman" w:eastAsia="Times New Roman" w:hAnsi="Times New Roman" w:cs="Times New Roman"/>
                <w:color w:val="000000"/>
                <w:kern w:val="0"/>
                <w:sz w:val="20"/>
                <w:szCs w:val="20"/>
              </w:rPr>
              <w:t>1 (2.5)</w:t>
            </w:r>
          </w:p>
        </w:tc>
        <w:tc>
          <w:tcPr>
            <w:tcW w:w="272"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042" w:type="dxa"/>
            <w:tcBorders>
              <w:top w:val="nil"/>
              <w:left w:val="nil"/>
              <w:bottom w:val="nil"/>
              <w:right w:val="nil"/>
            </w:tcBorders>
            <w:noWrap/>
            <w:vAlign w:val="bottom"/>
            <w:hideMark/>
          </w:tcPr>
          <w:p w:rsidR="00BC1DEE" w:rsidRPr="00BC1DEE" w:rsidRDefault="00BC1DEE" w:rsidP="00BC1DEE">
            <w:pPr>
              <w:widowControl/>
              <w:ind w:right="800"/>
              <w:jc w:val="left"/>
              <w:rPr>
                <w:rFonts w:ascii="Times New Roman" w:eastAsia="Times New Roman"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T</w:t>
            </w:r>
            <w:r w:rsidRPr="00BC1DEE">
              <w:rPr>
                <w:rFonts w:ascii="Times New Roman" w:eastAsia="Times New Roman" w:hAnsi="Times New Roman" w:cs="Times New Roman"/>
                <w:color w:val="000000"/>
                <w:kern w:val="0"/>
                <w:sz w:val="20"/>
                <w:szCs w:val="20"/>
              </w:rPr>
              <w:t>2</w:t>
            </w:r>
          </w:p>
        </w:tc>
        <w:tc>
          <w:tcPr>
            <w:tcW w:w="285"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c>
          <w:tcPr>
            <w:tcW w:w="1874" w:type="dxa"/>
            <w:tcBorders>
              <w:top w:val="nil"/>
              <w:left w:val="nil"/>
              <w:bottom w:val="nil"/>
              <w:right w:val="nil"/>
            </w:tcBorders>
            <w:noWrap/>
            <w:vAlign w:val="bottom"/>
            <w:hideMark/>
          </w:tcPr>
          <w:p w:rsidR="00BC1DEE" w:rsidRPr="00BC1DEE" w:rsidRDefault="00BC1DEE" w:rsidP="00BC1DEE">
            <w:pPr>
              <w:widowControl/>
              <w:jc w:val="center"/>
              <w:rPr>
                <w:rFonts w:ascii="Times New Roman" w:eastAsia="Times New Roman" w:hAnsi="Times New Roman" w:cs="Times New Roman"/>
                <w:color w:val="000000"/>
                <w:kern w:val="0"/>
                <w:sz w:val="20"/>
                <w:szCs w:val="20"/>
              </w:rPr>
            </w:pPr>
            <w:r w:rsidRPr="00BC1DEE">
              <w:rPr>
                <w:rFonts w:ascii="Times New Roman" w:eastAsia="Times New Roman" w:hAnsi="Times New Roman" w:cs="Times New Roman"/>
                <w:color w:val="000000"/>
                <w:kern w:val="0"/>
                <w:sz w:val="20"/>
                <w:szCs w:val="20"/>
              </w:rPr>
              <w:t>21 (57.5)</w:t>
            </w:r>
          </w:p>
        </w:tc>
        <w:tc>
          <w:tcPr>
            <w:tcW w:w="272"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042" w:type="dxa"/>
            <w:tcBorders>
              <w:top w:val="nil"/>
              <w:left w:val="nil"/>
              <w:bottom w:val="nil"/>
              <w:right w:val="nil"/>
            </w:tcBorders>
            <w:noWrap/>
            <w:vAlign w:val="bottom"/>
            <w:hideMark/>
          </w:tcPr>
          <w:p w:rsidR="00BC1DEE" w:rsidRPr="00BC1DEE" w:rsidRDefault="00BC1DEE" w:rsidP="00BC1DEE">
            <w:pPr>
              <w:widowControl/>
              <w:ind w:right="800"/>
              <w:jc w:val="left"/>
              <w:rPr>
                <w:rFonts w:ascii="Times New Roman" w:eastAsia="Times New Roman"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T</w:t>
            </w:r>
            <w:r w:rsidRPr="00BC1DEE">
              <w:rPr>
                <w:rFonts w:ascii="Times New Roman" w:eastAsia="Times New Roman" w:hAnsi="Times New Roman" w:cs="Times New Roman"/>
                <w:color w:val="000000"/>
                <w:kern w:val="0"/>
                <w:sz w:val="20"/>
                <w:szCs w:val="20"/>
              </w:rPr>
              <w:t>3</w:t>
            </w:r>
          </w:p>
        </w:tc>
        <w:tc>
          <w:tcPr>
            <w:tcW w:w="285"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c>
          <w:tcPr>
            <w:tcW w:w="1874" w:type="dxa"/>
            <w:tcBorders>
              <w:top w:val="nil"/>
              <w:left w:val="nil"/>
              <w:bottom w:val="nil"/>
              <w:right w:val="nil"/>
            </w:tcBorders>
            <w:noWrap/>
            <w:vAlign w:val="bottom"/>
            <w:hideMark/>
          </w:tcPr>
          <w:p w:rsidR="00BC1DEE" w:rsidRPr="00BC1DEE" w:rsidRDefault="00BC1DEE" w:rsidP="00BC1DEE">
            <w:pPr>
              <w:widowControl/>
              <w:jc w:val="center"/>
              <w:rPr>
                <w:rFonts w:ascii="Times New Roman" w:eastAsia="Times New Roman" w:hAnsi="Times New Roman" w:cs="Times New Roman"/>
                <w:color w:val="000000"/>
                <w:kern w:val="0"/>
                <w:sz w:val="20"/>
                <w:szCs w:val="20"/>
              </w:rPr>
            </w:pPr>
            <w:r w:rsidRPr="00BC1DEE">
              <w:rPr>
                <w:rFonts w:ascii="Times New Roman" w:eastAsia="Times New Roman" w:hAnsi="Times New Roman" w:cs="Times New Roman"/>
                <w:color w:val="000000"/>
                <w:kern w:val="0"/>
                <w:sz w:val="20"/>
                <w:szCs w:val="20"/>
              </w:rPr>
              <w:t>13 (27.5)</w:t>
            </w:r>
          </w:p>
        </w:tc>
        <w:tc>
          <w:tcPr>
            <w:tcW w:w="272"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042" w:type="dxa"/>
            <w:tcBorders>
              <w:top w:val="nil"/>
              <w:left w:val="nil"/>
              <w:bottom w:val="nil"/>
              <w:right w:val="nil"/>
            </w:tcBorders>
            <w:noWrap/>
            <w:vAlign w:val="bottom"/>
          </w:tcPr>
          <w:p w:rsidR="00BC1DEE" w:rsidRPr="00BC1DEE" w:rsidRDefault="00BC1DEE" w:rsidP="00BC1DEE">
            <w:pPr>
              <w:widowControl/>
              <w:ind w:right="800"/>
              <w:jc w:val="left"/>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T</w:t>
            </w:r>
            <w:r w:rsidRPr="00BC1DEE">
              <w:rPr>
                <w:rFonts w:ascii="Times New Roman" w:eastAsia="宋体" w:hAnsi="Times New Roman" w:cs="Times New Roman"/>
                <w:color w:val="000000"/>
                <w:kern w:val="0"/>
                <w:sz w:val="20"/>
                <w:szCs w:val="20"/>
              </w:rPr>
              <w:t>4</w:t>
            </w:r>
          </w:p>
        </w:tc>
        <w:tc>
          <w:tcPr>
            <w:tcW w:w="285"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c>
          <w:tcPr>
            <w:tcW w:w="1874" w:type="dxa"/>
            <w:tcBorders>
              <w:top w:val="nil"/>
              <w:left w:val="nil"/>
              <w:bottom w:val="nil"/>
              <w:right w:val="nil"/>
            </w:tcBorders>
            <w:noWrap/>
            <w:vAlign w:val="bottom"/>
          </w:tcPr>
          <w:p w:rsidR="00BC1DEE" w:rsidRPr="00BC1DEE" w:rsidRDefault="00BC1DEE" w:rsidP="00BC1DEE">
            <w:pPr>
              <w:widowControl/>
              <w:jc w:val="center"/>
              <w:rPr>
                <w:rFonts w:ascii="Times New Roman" w:eastAsia="宋体" w:hAnsi="Times New Roman" w:cs="Times New Roman"/>
                <w:color w:val="000000"/>
                <w:kern w:val="0"/>
                <w:sz w:val="20"/>
                <w:szCs w:val="20"/>
              </w:rPr>
            </w:pPr>
            <w:r w:rsidRPr="00BC1DEE">
              <w:rPr>
                <w:rFonts w:ascii="Times New Roman" w:eastAsia="宋体" w:hAnsi="Times New Roman" w:cs="Times New Roman"/>
                <w:color w:val="000000"/>
                <w:kern w:val="0"/>
                <w:sz w:val="20"/>
                <w:szCs w:val="20"/>
              </w:rPr>
              <w:t xml:space="preserve">5 </w:t>
            </w:r>
            <w:r w:rsidRPr="00BC1DEE">
              <w:rPr>
                <w:rFonts w:ascii="Times New Roman" w:eastAsia="Times New Roman" w:hAnsi="Times New Roman" w:cs="Times New Roman"/>
                <w:color w:val="000000"/>
                <w:kern w:val="0"/>
                <w:sz w:val="20"/>
                <w:szCs w:val="20"/>
              </w:rPr>
              <w:t>(12.5)</w:t>
            </w:r>
          </w:p>
        </w:tc>
        <w:tc>
          <w:tcPr>
            <w:tcW w:w="272"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327" w:type="dxa"/>
            <w:gridSpan w:val="2"/>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b/>
                <w:bCs/>
                <w:color w:val="000000"/>
                <w:kern w:val="0"/>
                <w:sz w:val="20"/>
                <w:szCs w:val="20"/>
              </w:rPr>
            </w:pPr>
            <w:r w:rsidRPr="00BC1DEE">
              <w:rPr>
                <w:rFonts w:ascii="Times New Roman" w:eastAsia="宋体" w:hAnsi="Times New Roman" w:cs="Times New Roman" w:hint="eastAsia"/>
                <w:b/>
                <w:bCs/>
                <w:color w:val="000000"/>
                <w:kern w:val="0"/>
                <w:sz w:val="20"/>
                <w:szCs w:val="20"/>
              </w:rPr>
              <w:t>N</w:t>
            </w:r>
            <w:r w:rsidRPr="00BC1DEE">
              <w:rPr>
                <w:rFonts w:ascii="Times New Roman" w:eastAsia="Times New Roman" w:hAnsi="Times New Roman" w:cs="Times New Roman"/>
                <w:b/>
                <w:bCs/>
                <w:color w:val="000000"/>
                <w:kern w:val="0"/>
                <w:sz w:val="20"/>
                <w:szCs w:val="20"/>
              </w:rPr>
              <w:t xml:space="preserve"> stage, no. (%)</w:t>
            </w:r>
          </w:p>
        </w:tc>
        <w:tc>
          <w:tcPr>
            <w:tcW w:w="1874" w:type="dxa"/>
            <w:tcBorders>
              <w:top w:val="nil"/>
              <w:left w:val="nil"/>
              <w:bottom w:val="nil"/>
              <w:right w:val="nil"/>
            </w:tcBorders>
            <w:noWrap/>
            <w:vAlign w:val="bottom"/>
            <w:hideMark/>
          </w:tcPr>
          <w:p w:rsidR="00BC1DEE" w:rsidRPr="00BC1DEE" w:rsidRDefault="00BC1DEE" w:rsidP="00BC1DEE">
            <w:pPr>
              <w:widowControl/>
              <w:jc w:val="center"/>
              <w:rPr>
                <w:rFonts w:ascii="Times New Roman" w:eastAsia="Times New Roman" w:hAnsi="Times New Roman" w:cs="Times New Roman"/>
                <w:color w:val="000000"/>
                <w:kern w:val="0"/>
                <w:sz w:val="20"/>
                <w:szCs w:val="20"/>
              </w:rPr>
            </w:pPr>
          </w:p>
        </w:tc>
        <w:tc>
          <w:tcPr>
            <w:tcW w:w="272"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327" w:type="dxa"/>
            <w:gridSpan w:val="2"/>
            <w:tcBorders>
              <w:top w:val="nil"/>
              <w:left w:val="nil"/>
              <w:bottom w:val="nil"/>
              <w:right w:val="nil"/>
            </w:tcBorders>
            <w:noWrap/>
            <w:vAlign w:val="bottom"/>
          </w:tcPr>
          <w:p w:rsidR="00BC1DEE" w:rsidRPr="00BC1DEE" w:rsidRDefault="00BC1DEE" w:rsidP="00BC1DEE">
            <w:pPr>
              <w:widowControl/>
              <w:jc w:val="left"/>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N0</w:t>
            </w:r>
          </w:p>
        </w:tc>
        <w:tc>
          <w:tcPr>
            <w:tcW w:w="1874" w:type="dxa"/>
            <w:tcBorders>
              <w:top w:val="nil"/>
              <w:left w:val="nil"/>
              <w:bottom w:val="nil"/>
              <w:right w:val="nil"/>
            </w:tcBorders>
            <w:noWrap/>
            <w:vAlign w:val="bottom"/>
          </w:tcPr>
          <w:p w:rsidR="00BC1DEE" w:rsidRPr="00BC1DEE" w:rsidRDefault="00BC1DEE" w:rsidP="00BC1DEE">
            <w:pPr>
              <w:widowControl/>
              <w:jc w:val="center"/>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1</w:t>
            </w:r>
            <w:r w:rsidRPr="00BC1DEE">
              <w:rPr>
                <w:rFonts w:ascii="Times New Roman" w:eastAsia="宋体" w:hAnsi="Times New Roman" w:cs="Times New Roman"/>
                <w:color w:val="000000"/>
                <w:kern w:val="0"/>
                <w:sz w:val="20"/>
                <w:szCs w:val="20"/>
              </w:rPr>
              <w:t>3 (</w:t>
            </w:r>
            <w:r w:rsidRPr="00BC1DEE">
              <w:rPr>
                <w:rFonts w:ascii="Times New Roman" w:eastAsia="宋体" w:hAnsi="Times New Roman" w:cs="Times New Roman" w:hint="eastAsia"/>
                <w:color w:val="000000"/>
                <w:kern w:val="0"/>
                <w:sz w:val="20"/>
                <w:szCs w:val="20"/>
              </w:rPr>
              <w:t>32.5</w:t>
            </w:r>
            <w:r w:rsidRPr="00BC1DEE">
              <w:rPr>
                <w:rFonts w:ascii="Times New Roman" w:eastAsia="宋体" w:hAnsi="Times New Roman" w:cs="Times New Roman"/>
                <w:color w:val="000000"/>
                <w:kern w:val="0"/>
                <w:sz w:val="20"/>
                <w:szCs w:val="20"/>
              </w:rPr>
              <w:t>)</w:t>
            </w:r>
          </w:p>
        </w:tc>
        <w:tc>
          <w:tcPr>
            <w:tcW w:w="272"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042"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N1</w:t>
            </w:r>
          </w:p>
        </w:tc>
        <w:tc>
          <w:tcPr>
            <w:tcW w:w="285"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c>
          <w:tcPr>
            <w:tcW w:w="1874" w:type="dxa"/>
            <w:tcBorders>
              <w:top w:val="nil"/>
              <w:left w:val="nil"/>
              <w:bottom w:val="nil"/>
              <w:right w:val="nil"/>
            </w:tcBorders>
            <w:noWrap/>
            <w:vAlign w:val="bottom"/>
            <w:hideMark/>
          </w:tcPr>
          <w:p w:rsidR="00BC1DEE" w:rsidRPr="00BC1DEE" w:rsidRDefault="00BC1DEE" w:rsidP="00BC1DEE">
            <w:pPr>
              <w:widowControl/>
              <w:jc w:val="center"/>
              <w:rPr>
                <w:rFonts w:ascii="Times New Roman" w:eastAsia="Times New Roman"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15</w:t>
            </w:r>
            <w:r w:rsidRPr="00BC1DEE">
              <w:rPr>
                <w:rFonts w:ascii="Times New Roman" w:eastAsia="Times New Roman" w:hAnsi="Times New Roman" w:cs="Times New Roman"/>
                <w:color w:val="000000"/>
                <w:kern w:val="0"/>
                <w:sz w:val="20"/>
                <w:szCs w:val="20"/>
              </w:rPr>
              <w:t xml:space="preserve"> (</w:t>
            </w:r>
            <w:r w:rsidRPr="00BC1DEE">
              <w:rPr>
                <w:rFonts w:ascii="Times New Roman" w:eastAsia="宋体" w:hAnsi="Times New Roman" w:cs="Times New Roman" w:hint="eastAsia"/>
                <w:color w:val="000000"/>
                <w:kern w:val="0"/>
                <w:sz w:val="20"/>
                <w:szCs w:val="20"/>
              </w:rPr>
              <w:t>37.5</w:t>
            </w:r>
            <w:r w:rsidRPr="00BC1DEE">
              <w:rPr>
                <w:rFonts w:ascii="Times New Roman" w:eastAsia="Times New Roman" w:hAnsi="Times New Roman" w:cs="Times New Roman"/>
                <w:color w:val="000000"/>
                <w:kern w:val="0"/>
                <w:sz w:val="20"/>
                <w:szCs w:val="20"/>
              </w:rPr>
              <w:t>)</w:t>
            </w:r>
          </w:p>
        </w:tc>
        <w:tc>
          <w:tcPr>
            <w:tcW w:w="272"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00"/>
        </w:trPr>
        <w:tc>
          <w:tcPr>
            <w:tcW w:w="2042"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宋体"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N2</w:t>
            </w:r>
          </w:p>
        </w:tc>
        <w:tc>
          <w:tcPr>
            <w:tcW w:w="285"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c>
          <w:tcPr>
            <w:tcW w:w="1874" w:type="dxa"/>
            <w:tcBorders>
              <w:top w:val="nil"/>
              <w:left w:val="nil"/>
              <w:bottom w:val="nil"/>
              <w:right w:val="nil"/>
            </w:tcBorders>
            <w:noWrap/>
            <w:vAlign w:val="bottom"/>
            <w:hideMark/>
          </w:tcPr>
          <w:p w:rsidR="00BC1DEE" w:rsidRPr="00BC1DEE" w:rsidRDefault="00BC1DEE" w:rsidP="00BC1DEE">
            <w:pPr>
              <w:widowControl/>
              <w:jc w:val="center"/>
              <w:rPr>
                <w:rFonts w:ascii="Times New Roman" w:eastAsia="Times New Roman" w:hAnsi="Times New Roman" w:cs="Times New Roman"/>
                <w:color w:val="000000"/>
                <w:kern w:val="0"/>
                <w:sz w:val="20"/>
                <w:szCs w:val="20"/>
              </w:rPr>
            </w:pPr>
            <w:r w:rsidRPr="00BC1DEE">
              <w:rPr>
                <w:rFonts w:ascii="Times New Roman" w:eastAsia="宋体" w:hAnsi="Times New Roman" w:cs="Times New Roman" w:hint="eastAsia"/>
                <w:color w:val="000000"/>
                <w:kern w:val="0"/>
                <w:sz w:val="20"/>
                <w:szCs w:val="20"/>
              </w:rPr>
              <w:t>12</w:t>
            </w:r>
            <w:r w:rsidRPr="00BC1DEE">
              <w:rPr>
                <w:rFonts w:ascii="Times New Roman" w:eastAsia="Times New Roman" w:hAnsi="Times New Roman" w:cs="Times New Roman"/>
                <w:color w:val="000000"/>
                <w:kern w:val="0"/>
                <w:sz w:val="20"/>
                <w:szCs w:val="20"/>
              </w:rPr>
              <w:t xml:space="preserve"> (</w:t>
            </w:r>
            <w:r w:rsidRPr="00BC1DEE">
              <w:rPr>
                <w:rFonts w:ascii="Times New Roman" w:eastAsia="宋体" w:hAnsi="Times New Roman" w:cs="Times New Roman" w:hint="eastAsia"/>
                <w:color w:val="000000"/>
                <w:kern w:val="0"/>
                <w:sz w:val="20"/>
                <w:szCs w:val="20"/>
              </w:rPr>
              <w:t>30</w:t>
            </w:r>
            <w:r w:rsidRPr="00BC1DEE">
              <w:rPr>
                <w:rFonts w:ascii="Times New Roman" w:eastAsia="Times New Roman" w:hAnsi="Times New Roman" w:cs="Times New Roman"/>
                <w:color w:val="000000"/>
                <w:kern w:val="0"/>
                <w:sz w:val="20"/>
                <w:szCs w:val="20"/>
              </w:rPr>
              <w:t>)</w:t>
            </w:r>
          </w:p>
        </w:tc>
        <w:tc>
          <w:tcPr>
            <w:tcW w:w="272" w:type="dxa"/>
            <w:tcBorders>
              <w:top w:val="nil"/>
              <w:left w:val="nil"/>
              <w:bottom w:val="nil"/>
              <w:right w:val="nil"/>
            </w:tcBorders>
            <w:noWrap/>
            <w:vAlign w:val="bottom"/>
            <w:hideMark/>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15"/>
        </w:trPr>
        <w:tc>
          <w:tcPr>
            <w:tcW w:w="2042"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b/>
                <w:bCs/>
                <w:color w:val="000000"/>
                <w:kern w:val="0"/>
                <w:sz w:val="20"/>
                <w:szCs w:val="20"/>
              </w:rPr>
            </w:pPr>
            <w:r w:rsidRPr="00BC1DEE">
              <w:rPr>
                <w:rFonts w:ascii="Times New Roman" w:eastAsia="Times New Roman" w:hAnsi="Times New Roman" w:cs="Times New Roman"/>
                <w:b/>
                <w:bCs/>
                <w:color w:val="000000"/>
                <w:kern w:val="0"/>
                <w:sz w:val="20"/>
                <w:szCs w:val="20"/>
              </w:rPr>
              <w:t>Differentiation</w:t>
            </w:r>
          </w:p>
        </w:tc>
        <w:tc>
          <w:tcPr>
            <w:tcW w:w="285"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b/>
                <w:bCs/>
                <w:color w:val="000000"/>
                <w:kern w:val="0"/>
                <w:sz w:val="20"/>
                <w:szCs w:val="20"/>
              </w:rPr>
            </w:pPr>
          </w:p>
        </w:tc>
        <w:tc>
          <w:tcPr>
            <w:tcW w:w="1874"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b/>
                <w:bCs/>
                <w:color w:val="000000"/>
                <w:kern w:val="0"/>
                <w:sz w:val="20"/>
                <w:szCs w:val="20"/>
              </w:rPr>
            </w:pPr>
          </w:p>
        </w:tc>
        <w:tc>
          <w:tcPr>
            <w:tcW w:w="272" w:type="dxa"/>
            <w:tcBorders>
              <w:top w:val="nil"/>
              <w:left w:val="nil"/>
              <w:bottom w:val="nil"/>
              <w:right w:val="nil"/>
            </w:tcBorders>
            <w:noWrap/>
            <w:vAlign w:val="bottom"/>
          </w:tcPr>
          <w:p w:rsidR="00BC1DEE" w:rsidRPr="00BC1DEE" w:rsidRDefault="00BC1DEE" w:rsidP="00BC1DEE">
            <w:pPr>
              <w:widowControl/>
              <w:jc w:val="left"/>
              <w:rPr>
                <w:rFonts w:ascii="Times New Roman" w:eastAsia="Times New Roman" w:hAnsi="Times New Roman" w:cs="Times New Roman"/>
                <w:b/>
                <w:bCs/>
                <w:color w:val="000000"/>
                <w:kern w:val="0"/>
                <w:sz w:val="20"/>
                <w:szCs w:val="20"/>
              </w:rPr>
            </w:pPr>
          </w:p>
        </w:tc>
      </w:tr>
      <w:tr w:rsidR="00BC1DEE" w:rsidRPr="00BC1DEE" w:rsidTr="009A62CA">
        <w:trPr>
          <w:trHeight w:val="315"/>
        </w:trPr>
        <w:tc>
          <w:tcPr>
            <w:tcW w:w="2042" w:type="dxa"/>
            <w:tcBorders>
              <w:top w:val="nil"/>
              <w:left w:val="nil"/>
              <w:right w:val="nil"/>
            </w:tcBorders>
            <w:noWrap/>
            <w:vAlign w:val="bottom"/>
          </w:tcPr>
          <w:p w:rsidR="00BC1DEE" w:rsidRPr="00BC1DEE" w:rsidRDefault="00BC1DEE" w:rsidP="00BC1DEE">
            <w:pPr>
              <w:widowControl/>
              <w:jc w:val="left"/>
              <w:rPr>
                <w:rFonts w:ascii="Times New Roman" w:eastAsia="宋体" w:hAnsi="Times New Roman" w:cs="Times New Roman"/>
                <w:color w:val="000000"/>
                <w:kern w:val="0"/>
                <w:sz w:val="20"/>
                <w:szCs w:val="20"/>
              </w:rPr>
            </w:pPr>
            <w:r w:rsidRPr="00BC1DEE">
              <w:rPr>
                <w:rFonts w:ascii="Times New Roman" w:eastAsia="宋体" w:hAnsi="Times New Roman" w:cs="Times New Roman"/>
                <w:color w:val="000000"/>
                <w:kern w:val="0"/>
                <w:sz w:val="20"/>
                <w:szCs w:val="20"/>
              </w:rPr>
              <w:t>Well/Moderately differentiated</w:t>
            </w:r>
          </w:p>
        </w:tc>
        <w:tc>
          <w:tcPr>
            <w:tcW w:w="285" w:type="dxa"/>
            <w:tcBorders>
              <w:top w:val="nil"/>
              <w:left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c>
          <w:tcPr>
            <w:tcW w:w="1874" w:type="dxa"/>
            <w:tcBorders>
              <w:top w:val="nil"/>
              <w:left w:val="nil"/>
              <w:right w:val="nil"/>
            </w:tcBorders>
            <w:noWrap/>
            <w:vAlign w:val="bottom"/>
          </w:tcPr>
          <w:p w:rsidR="00BC1DEE" w:rsidRPr="00BC1DEE" w:rsidRDefault="00BC1DEE" w:rsidP="00BC1DEE">
            <w:pPr>
              <w:widowControl/>
              <w:jc w:val="center"/>
              <w:rPr>
                <w:rFonts w:ascii="Times New Roman" w:eastAsia="宋体" w:hAnsi="Times New Roman" w:cs="Times New Roman"/>
                <w:color w:val="000000"/>
                <w:kern w:val="0"/>
                <w:sz w:val="20"/>
                <w:szCs w:val="20"/>
              </w:rPr>
            </w:pPr>
            <w:r w:rsidRPr="00BC1DEE">
              <w:rPr>
                <w:rFonts w:ascii="Times New Roman" w:eastAsia="宋体" w:hAnsi="Times New Roman" w:cs="Times New Roman"/>
                <w:color w:val="000000"/>
                <w:kern w:val="0"/>
                <w:sz w:val="20"/>
                <w:szCs w:val="20"/>
              </w:rPr>
              <w:t>34 (85)</w:t>
            </w:r>
          </w:p>
        </w:tc>
        <w:tc>
          <w:tcPr>
            <w:tcW w:w="272" w:type="dxa"/>
            <w:tcBorders>
              <w:top w:val="nil"/>
              <w:left w:val="nil"/>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tr w:rsidR="00BC1DEE" w:rsidRPr="00BC1DEE" w:rsidTr="009A62CA">
        <w:trPr>
          <w:trHeight w:val="315"/>
        </w:trPr>
        <w:tc>
          <w:tcPr>
            <w:tcW w:w="2042" w:type="dxa"/>
            <w:tcBorders>
              <w:top w:val="nil"/>
              <w:left w:val="nil"/>
              <w:bottom w:val="single" w:sz="8" w:space="0" w:color="auto"/>
              <w:right w:val="nil"/>
            </w:tcBorders>
            <w:noWrap/>
            <w:vAlign w:val="bottom"/>
          </w:tcPr>
          <w:p w:rsidR="00BC1DEE" w:rsidRPr="00BC1DEE" w:rsidRDefault="00BC1DEE" w:rsidP="00BC1DEE">
            <w:pPr>
              <w:widowControl/>
              <w:jc w:val="left"/>
              <w:rPr>
                <w:rFonts w:ascii="Times New Roman" w:eastAsia="宋体" w:hAnsi="Times New Roman" w:cs="Times New Roman"/>
                <w:color w:val="000000"/>
                <w:kern w:val="0"/>
                <w:sz w:val="20"/>
                <w:szCs w:val="20"/>
              </w:rPr>
            </w:pPr>
            <w:r w:rsidRPr="00BC1DEE">
              <w:rPr>
                <w:rFonts w:ascii="Times New Roman" w:eastAsia="宋体" w:hAnsi="Times New Roman" w:cs="Times New Roman"/>
                <w:color w:val="000000"/>
                <w:kern w:val="0"/>
                <w:sz w:val="20"/>
                <w:szCs w:val="20"/>
              </w:rPr>
              <w:t>Poorly differentiated</w:t>
            </w:r>
          </w:p>
        </w:tc>
        <w:tc>
          <w:tcPr>
            <w:tcW w:w="285" w:type="dxa"/>
            <w:tcBorders>
              <w:top w:val="nil"/>
              <w:left w:val="nil"/>
              <w:bottom w:val="single" w:sz="8" w:space="0" w:color="auto"/>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c>
          <w:tcPr>
            <w:tcW w:w="1874" w:type="dxa"/>
            <w:tcBorders>
              <w:top w:val="nil"/>
              <w:left w:val="nil"/>
              <w:bottom w:val="single" w:sz="8" w:space="0" w:color="auto"/>
              <w:right w:val="nil"/>
            </w:tcBorders>
            <w:noWrap/>
            <w:vAlign w:val="bottom"/>
          </w:tcPr>
          <w:p w:rsidR="00BC1DEE" w:rsidRPr="00BC1DEE" w:rsidRDefault="00BC1DEE" w:rsidP="00BC1DEE">
            <w:pPr>
              <w:widowControl/>
              <w:jc w:val="center"/>
              <w:rPr>
                <w:rFonts w:ascii="Times New Roman" w:eastAsia="宋体" w:hAnsi="Times New Roman" w:cs="Times New Roman"/>
                <w:color w:val="000000"/>
                <w:kern w:val="0"/>
                <w:sz w:val="20"/>
                <w:szCs w:val="20"/>
              </w:rPr>
            </w:pPr>
            <w:r w:rsidRPr="00BC1DEE">
              <w:rPr>
                <w:rFonts w:ascii="Times New Roman" w:eastAsia="宋体" w:hAnsi="Times New Roman" w:cs="Times New Roman"/>
                <w:color w:val="000000"/>
                <w:kern w:val="0"/>
                <w:sz w:val="20"/>
                <w:szCs w:val="20"/>
              </w:rPr>
              <w:t>6 (15)</w:t>
            </w:r>
          </w:p>
        </w:tc>
        <w:tc>
          <w:tcPr>
            <w:tcW w:w="272" w:type="dxa"/>
            <w:tcBorders>
              <w:top w:val="nil"/>
              <w:left w:val="nil"/>
              <w:bottom w:val="single" w:sz="8" w:space="0" w:color="auto"/>
              <w:right w:val="nil"/>
            </w:tcBorders>
            <w:noWrap/>
            <w:vAlign w:val="bottom"/>
          </w:tcPr>
          <w:p w:rsidR="00BC1DEE" w:rsidRPr="00BC1DEE" w:rsidRDefault="00BC1DEE" w:rsidP="00BC1DEE">
            <w:pPr>
              <w:widowControl/>
              <w:jc w:val="left"/>
              <w:rPr>
                <w:rFonts w:ascii="Times New Roman" w:eastAsia="Times New Roman" w:hAnsi="Times New Roman" w:cs="Times New Roman"/>
                <w:color w:val="000000"/>
                <w:kern w:val="0"/>
                <w:sz w:val="20"/>
                <w:szCs w:val="20"/>
              </w:rPr>
            </w:pPr>
          </w:p>
        </w:tc>
      </w:tr>
      <w:bookmarkEnd w:id="21"/>
    </w:tbl>
    <w:p w:rsidR="001658F6" w:rsidRPr="001658F6" w:rsidRDefault="001658F6">
      <w:pPr>
        <w:rPr>
          <w:rFonts w:ascii="Times New Roman" w:eastAsia="等线" w:hAnsi="Times New Roman" w:cs="Times New Roman"/>
          <w:szCs w:val="21"/>
        </w:rPr>
      </w:pPr>
    </w:p>
    <w:sectPr w:rsidR="001658F6" w:rsidRPr="001658F6" w:rsidSect="000952EF">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05FA" w:rsidRDefault="00AE05FA" w:rsidP="003D2014">
      <w:r>
        <w:separator/>
      </w:r>
    </w:p>
  </w:endnote>
  <w:endnote w:type="continuationSeparator" w:id="0">
    <w:p w:rsidR="00AE05FA" w:rsidRDefault="00AE05FA" w:rsidP="003D201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9725"/>
      <w:docPartObj>
        <w:docPartGallery w:val="Page Numbers (Bottom of Page)"/>
        <w:docPartUnique/>
      </w:docPartObj>
    </w:sdtPr>
    <w:sdtContent>
      <w:p w:rsidR="00CB7778" w:rsidRDefault="00821F64">
        <w:pPr>
          <w:pStyle w:val="a4"/>
          <w:jc w:val="center"/>
        </w:pPr>
        <w:r w:rsidRPr="00821F64">
          <w:fldChar w:fldCharType="begin"/>
        </w:r>
        <w:r w:rsidR="00D9776E">
          <w:instrText xml:space="preserve"> PAGE   \* MERGEFORMAT </w:instrText>
        </w:r>
        <w:r w:rsidRPr="00821F64">
          <w:fldChar w:fldCharType="separate"/>
        </w:r>
        <w:r w:rsidR="00AE05FA" w:rsidRPr="00AE05FA">
          <w:rPr>
            <w:noProof/>
            <w:lang w:val="zh-CN"/>
          </w:rPr>
          <w:t>1</w:t>
        </w:r>
        <w:r>
          <w:rPr>
            <w:noProof/>
            <w:lang w:val="zh-CN"/>
          </w:rPr>
          <w:fldChar w:fldCharType="end"/>
        </w:r>
      </w:p>
    </w:sdtContent>
  </w:sdt>
  <w:p w:rsidR="004E46AC" w:rsidRDefault="004E46AC">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05FA" w:rsidRDefault="00AE05FA" w:rsidP="003D2014">
      <w:r>
        <w:separator/>
      </w:r>
    </w:p>
  </w:footnote>
  <w:footnote w:type="continuationSeparator" w:id="0">
    <w:p w:rsidR="00AE05FA" w:rsidRDefault="00AE05FA" w:rsidP="003D201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D2014"/>
    <w:rsid w:val="000952EF"/>
    <w:rsid w:val="000F65C1"/>
    <w:rsid w:val="001658F6"/>
    <w:rsid w:val="00167658"/>
    <w:rsid w:val="001C1B27"/>
    <w:rsid w:val="003D2014"/>
    <w:rsid w:val="00404E33"/>
    <w:rsid w:val="004E27AC"/>
    <w:rsid w:val="004E46AC"/>
    <w:rsid w:val="004E657B"/>
    <w:rsid w:val="0058032D"/>
    <w:rsid w:val="00583CE8"/>
    <w:rsid w:val="00821F64"/>
    <w:rsid w:val="00844DE8"/>
    <w:rsid w:val="00A4518D"/>
    <w:rsid w:val="00AE05FA"/>
    <w:rsid w:val="00AF3171"/>
    <w:rsid w:val="00BA28B2"/>
    <w:rsid w:val="00BC1DEE"/>
    <w:rsid w:val="00CB7778"/>
    <w:rsid w:val="00D9776E"/>
    <w:rsid w:val="00E66731"/>
    <w:rsid w:val="00ED2C1F"/>
    <w:rsid w:val="00ED5C3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201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D201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D2014"/>
    <w:rPr>
      <w:sz w:val="18"/>
      <w:szCs w:val="18"/>
    </w:rPr>
  </w:style>
  <w:style w:type="paragraph" w:styleId="a4">
    <w:name w:val="footer"/>
    <w:basedOn w:val="a"/>
    <w:link w:val="Char0"/>
    <w:uiPriority w:val="99"/>
    <w:unhideWhenUsed/>
    <w:rsid w:val="003D2014"/>
    <w:pPr>
      <w:tabs>
        <w:tab w:val="center" w:pos="4153"/>
        <w:tab w:val="right" w:pos="8306"/>
      </w:tabs>
      <w:snapToGrid w:val="0"/>
      <w:jc w:val="left"/>
    </w:pPr>
    <w:rPr>
      <w:sz w:val="18"/>
      <w:szCs w:val="18"/>
    </w:rPr>
  </w:style>
  <w:style w:type="character" w:customStyle="1" w:styleId="Char0">
    <w:name w:val="页脚 Char"/>
    <w:basedOn w:val="a0"/>
    <w:link w:val="a4"/>
    <w:uiPriority w:val="99"/>
    <w:rsid w:val="003D2014"/>
    <w:rPr>
      <w:sz w:val="18"/>
      <w:szCs w:val="18"/>
    </w:rPr>
  </w:style>
  <w:style w:type="paragraph" w:styleId="a5">
    <w:name w:val="Balloon Text"/>
    <w:basedOn w:val="a"/>
    <w:link w:val="Char1"/>
    <w:uiPriority w:val="99"/>
    <w:semiHidden/>
    <w:unhideWhenUsed/>
    <w:rsid w:val="003D2014"/>
    <w:rPr>
      <w:sz w:val="18"/>
      <w:szCs w:val="18"/>
    </w:rPr>
  </w:style>
  <w:style w:type="character" w:customStyle="1" w:styleId="Char1">
    <w:name w:val="批注框文本 Char"/>
    <w:basedOn w:val="a0"/>
    <w:link w:val="a5"/>
    <w:uiPriority w:val="99"/>
    <w:semiHidden/>
    <w:rsid w:val="003D2014"/>
    <w:rPr>
      <w:sz w:val="18"/>
      <w:szCs w:val="18"/>
    </w:rPr>
  </w:style>
  <w:style w:type="table" w:styleId="a6">
    <w:name w:val="Table Grid"/>
    <w:basedOn w:val="a1"/>
    <w:uiPriority w:val="39"/>
    <w:rsid w:val="003D2014"/>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12</Pages>
  <Words>2463</Words>
  <Characters>14041</Characters>
  <Application>Microsoft Office Word</Application>
  <DocSecurity>0</DocSecurity>
  <Lines>117</Lines>
  <Paragraphs>32</Paragraphs>
  <ScaleCrop>false</ScaleCrop>
  <Company/>
  <LinksUpToDate>false</LinksUpToDate>
  <CharactersWithSpaces>16472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LmtLab</dc:creator>
  <cp:keywords/>
  <dc:description/>
  <cp:lastModifiedBy>LmtLab</cp:lastModifiedBy>
  <cp:revision>12</cp:revision>
  <dcterms:created xsi:type="dcterms:W3CDTF">2025-10-23T06:26:00Z</dcterms:created>
  <dcterms:modified xsi:type="dcterms:W3CDTF">2025-11-13T13:29:00Z</dcterms:modified>
</cp:coreProperties>
</file>