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A74DB" w14:textId="31C1A0C4" w:rsidR="00140148" w:rsidRPr="00A04FA1" w:rsidRDefault="00E05931">
      <w:pPr>
        <w:rPr>
          <w:rFonts w:ascii="Arial" w:eastAsia="黑体" w:hAnsi="Arial" w:cs="Arial"/>
          <w:b/>
          <w:bCs/>
        </w:rPr>
      </w:pPr>
      <w:r w:rsidRPr="00A04FA1">
        <w:rPr>
          <w:rFonts w:ascii="Arial" w:eastAsia="黑体" w:hAnsi="Arial" w:cs="Arial"/>
          <w:b/>
          <w:bCs/>
        </w:rPr>
        <w:t>Supplementary Figure</w:t>
      </w:r>
      <w:r w:rsidR="00A04FA1" w:rsidRPr="00A04FA1">
        <w:rPr>
          <w:rFonts w:ascii="Arial" w:eastAsia="黑体" w:hAnsi="Arial" w:cs="Arial"/>
          <w:b/>
          <w:bCs/>
        </w:rPr>
        <w:t xml:space="preserve"> legend</w:t>
      </w:r>
      <w:r w:rsidRPr="00A04FA1">
        <w:rPr>
          <w:rFonts w:ascii="Arial" w:eastAsia="黑体" w:hAnsi="Arial" w:cs="Arial"/>
          <w:b/>
          <w:bCs/>
        </w:rPr>
        <w:t>s</w:t>
      </w:r>
    </w:p>
    <w:p w14:paraId="4D3074B3" w14:textId="77777777" w:rsidR="00E05931" w:rsidRPr="00E05931" w:rsidRDefault="00E05931">
      <w:pPr>
        <w:rPr>
          <w:rFonts w:ascii="黑体" w:eastAsia="黑体" w:hAnsi="黑体"/>
          <w:b/>
          <w:bCs/>
        </w:rPr>
      </w:pPr>
    </w:p>
    <w:tbl>
      <w:tblPr>
        <w:tblStyle w:val="11"/>
        <w:tblW w:w="0" w:type="auto"/>
        <w:jc w:val="center"/>
        <w:tblLook w:val="04A0" w:firstRow="1" w:lastRow="0" w:firstColumn="1" w:lastColumn="0" w:noHBand="0" w:noVBand="1"/>
      </w:tblPr>
      <w:tblGrid>
        <w:gridCol w:w="8086"/>
      </w:tblGrid>
      <w:tr w:rsidR="00E05931" w:rsidRPr="00E05931" w14:paraId="6D72DEE1" w14:textId="77777777" w:rsidTr="007C673E">
        <w:trPr>
          <w:jc w:val="center"/>
        </w:trPr>
        <w:tc>
          <w:tcPr>
            <w:tcW w:w="8086" w:type="dxa"/>
            <w:tcBorders>
              <w:top w:val="single" w:sz="4" w:space="0" w:color="auto"/>
              <w:left w:val="single" w:sz="4" w:space="0" w:color="auto"/>
              <w:bottom w:val="single" w:sz="4" w:space="0" w:color="auto"/>
              <w:right w:val="single" w:sz="4" w:space="0" w:color="auto"/>
            </w:tcBorders>
          </w:tcPr>
          <w:p w14:paraId="67DEE7E3" w14:textId="77777777" w:rsidR="00E05931" w:rsidRPr="000B4F5B" w:rsidRDefault="00E05931" w:rsidP="007C673E">
            <w:pPr>
              <w:spacing w:before="100" w:beforeAutospacing="1" w:after="100" w:afterAutospacing="1"/>
              <w:rPr>
                <w:rFonts w:ascii="Arial" w:hAnsi="Arial" w:cs="Arial"/>
              </w:rPr>
            </w:pPr>
            <w:r w:rsidRPr="000B4F5B">
              <w:rPr>
                <w:rFonts w:ascii="Arial" w:hAnsi="Arial" w:cs="Arial"/>
                <w:b/>
                <w:bCs/>
              </w:rPr>
              <w:t>Figure S1. Differentially expressed genes in CRC.</w:t>
            </w:r>
          </w:p>
        </w:tc>
      </w:tr>
      <w:tr w:rsidR="00E05931" w:rsidRPr="000B4F5B" w14:paraId="6FDA1456" w14:textId="77777777" w:rsidTr="007C673E">
        <w:trPr>
          <w:jc w:val="center"/>
        </w:trPr>
        <w:tc>
          <w:tcPr>
            <w:tcW w:w="8086" w:type="dxa"/>
            <w:tcBorders>
              <w:top w:val="single" w:sz="4" w:space="0" w:color="auto"/>
              <w:left w:val="single" w:sz="4" w:space="0" w:color="auto"/>
              <w:bottom w:val="single" w:sz="4" w:space="0" w:color="auto"/>
              <w:right w:val="single" w:sz="4" w:space="0" w:color="auto"/>
            </w:tcBorders>
          </w:tcPr>
          <w:p w14:paraId="6ADD61C2" w14:textId="77777777" w:rsidR="00E05931" w:rsidRPr="000B4F5B" w:rsidRDefault="00E05931" w:rsidP="007C673E">
            <w:pPr>
              <w:spacing w:before="100" w:beforeAutospacing="1" w:after="100" w:afterAutospacing="1"/>
              <w:rPr>
                <w:rFonts w:ascii="Arial" w:hAnsi="Arial" w:cs="Arial"/>
              </w:rPr>
            </w:pPr>
            <w:r w:rsidRPr="000B4F5B">
              <w:rPr>
                <w:rFonts w:ascii="Arial" w:hAnsi="Arial" w:cs="Arial"/>
              </w:rPr>
              <w:t>(A) Hierarchical clustering heatmap of gene expression profiles of differentially expressed genes (DEGs) between adjacent normal mucosa (blue) and primary CRC tissues (red), with |</w:t>
            </w:r>
            <w:proofErr w:type="spellStart"/>
            <w:r w:rsidRPr="000B4F5B">
              <w:rPr>
                <w:rFonts w:ascii="Arial" w:hAnsi="Arial" w:cs="Arial"/>
              </w:rPr>
              <w:t>LogFC</w:t>
            </w:r>
            <w:proofErr w:type="spellEnd"/>
            <w:r w:rsidRPr="000B4F5B">
              <w:rPr>
                <w:rFonts w:ascii="Arial" w:hAnsi="Arial" w:cs="Arial"/>
              </w:rPr>
              <w:t>|</w:t>
            </w:r>
            <w:r w:rsidRPr="000B4F5B">
              <w:rPr>
                <w:rFonts w:ascii="Times New Roman" w:hAnsi="Times New Roman" w:cs="Times New Roman"/>
              </w:rPr>
              <w:t> </w:t>
            </w:r>
            <w:r w:rsidRPr="000B4F5B">
              <w:rPr>
                <w:rFonts w:ascii="等线" w:hAnsi="等线" w:cs="等线"/>
              </w:rPr>
              <w:t>≥</w:t>
            </w:r>
            <w:r w:rsidRPr="000B4F5B">
              <w:rPr>
                <w:rFonts w:ascii="Times New Roman" w:hAnsi="Times New Roman" w:cs="Times New Roman"/>
              </w:rPr>
              <w:t> </w:t>
            </w:r>
            <w:r w:rsidRPr="000B4F5B">
              <w:rPr>
                <w:rFonts w:ascii="Arial" w:hAnsi="Arial" w:cs="Arial"/>
              </w:rPr>
              <w:t>0 and p-value</w:t>
            </w:r>
            <w:r w:rsidRPr="000B4F5B">
              <w:rPr>
                <w:rFonts w:ascii="Times New Roman" w:hAnsi="Times New Roman" w:cs="Times New Roman"/>
              </w:rPr>
              <w:t> </w:t>
            </w:r>
            <w:r w:rsidRPr="000B4F5B">
              <w:rPr>
                <w:rFonts w:ascii="Arial" w:hAnsi="Arial" w:cs="Arial"/>
              </w:rPr>
              <w:t>&lt;</w:t>
            </w:r>
            <w:r w:rsidRPr="000B4F5B">
              <w:rPr>
                <w:rFonts w:ascii="Times New Roman" w:hAnsi="Times New Roman" w:cs="Times New Roman"/>
              </w:rPr>
              <w:t> </w:t>
            </w:r>
            <w:r w:rsidRPr="000B4F5B">
              <w:rPr>
                <w:rFonts w:ascii="Arial" w:hAnsi="Arial" w:cs="Arial"/>
              </w:rPr>
              <w:t>0.05.</w:t>
            </w:r>
            <w:r w:rsidRPr="000B4F5B">
              <w:rPr>
                <w:rFonts w:ascii="Arial" w:hAnsi="Arial" w:cs="Arial"/>
              </w:rPr>
              <w:br/>
              <w:t>(B) Volcano plot showing fold changes (</w:t>
            </w:r>
            <w:proofErr w:type="spellStart"/>
            <w:r w:rsidRPr="000B4F5B">
              <w:rPr>
                <w:rFonts w:ascii="Arial" w:hAnsi="Arial" w:cs="Arial"/>
              </w:rPr>
              <w:t>LogFC</w:t>
            </w:r>
            <w:proofErr w:type="spellEnd"/>
            <w:r w:rsidRPr="000B4F5B">
              <w:rPr>
                <w:rFonts w:ascii="Arial" w:hAnsi="Arial" w:cs="Arial"/>
              </w:rPr>
              <w:t>) and p-values from significance tests for DEGs between primary CRC tissues and adjacent normal mucosa, highlighting significant differences between the two groups.</w:t>
            </w:r>
            <w:r w:rsidRPr="000B4F5B">
              <w:rPr>
                <w:rFonts w:ascii="Arial" w:hAnsi="Arial" w:cs="Arial"/>
              </w:rPr>
              <w:br/>
              <w:t>(C) Hierarchical clustering heatmap of gene expression profiles of DEGs between colorectal liver metastases (blue) and primary CRC tissues (red), with |</w:t>
            </w:r>
            <w:proofErr w:type="spellStart"/>
            <w:r w:rsidRPr="000B4F5B">
              <w:rPr>
                <w:rFonts w:ascii="Arial" w:hAnsi="Arial" w:cs="Arial"/>
              </w:rPr>
              <w:t>LogFC</w:t>
            </w:r>
            <w:proofErr w:type="spellEnd"/>
            <w:r w:rsidRPr="000B4F5B">
              <w:rPr>
                <w:rFonts w:ascii="Arial" w:hAnsi="Arial" w:cs="Arial"/>
              </w:rPr>
              <w:t>|</w:t>
            </w:r>
            <w:r w:rsidRPr="000B4F5B">
              <w:rPr>
                <w:rFonts w:ascii="Times New Roman" w:hAnsi="Times New Roman" w:cs="Times New Roman"/>
              </w:rPr>
              <w:t> </w:t>
            </w:r>
            <w:r w:rsidRPr="000B4F5B">
              <w:rPr>
                <w:rFonts w:ascii="等线" w:hAnsi="等线" w:cs="等线"/>
              </w:rPr>
              <w:t>≥</w:t>
            </w:r>
            <w:r w:rsidRPr="000B4F5B">
              <w:rPr>
                <w:rFonts w:ascii="Times New Roman" w:hAnsi="Times New Roman" w:cs="Times New Roman"/>
              </w:rPr>
              <w:t> </w:t>
            </w:r>
            <w:r w:rsidRPr="000B4F5B">
              <w:rPr>
                <w:rFonts w:ascii="Arial" w:hAnsi="Arial" w:cs="Arial"/>
              </w:rPr>
              <w:t>0 and p-value</w:t>
            </w:r>
            <w:r w:rsidRPr="000B4F5B">
              <w:rPr>
                <w:rFonts w:ascii="Times New Roman" w:hAnsi="Times New Roman" w:cs="Times New Roman"/>
              </w:rPr>
              <w:t> </w:t>
            </w:r>
            <w:r w:rsidRPr="000B4F5B">
              <w:rPr>
                <w:rFonts w:ascii="Arial" w:hAnsi="Arial" w:cs="Arial"/>
              </w:rPr>
              <w:t>&lt;</w:t>
            </w:r>
            <w:r w:rsidRPr="000B4F5B">
              <w:rPr>
                <w:rFonts w:ascii="Times New Roman" w:hAnsi="Times New Roman" w:cs="Times New Roman"/>
              </w:rPr>
              <w:t> </w:t>
            </w:r>
            <w:r w:rsidRPr="000B4F5B">
              <w:rPr>
                <w:rFonts w:ascii="Arial" w:hAnsi="Arial" w:cs="Arial"/>
              </w:rPr>
              <w:t>0.05.</w:t>
            </w:r>
            <w:r w:rsidRPr="000B4F5B">
              <w:rPr>
                <w:rFonts w:ascii="Arial" w:hAnsi="Arial" w:cs="Arial"/>
              </w:rPr>
              <w:br/>
              <w:t>(D) Volcano plot showing fold changes (</w:t>
            </w:r>
            <w:proofErr w:type="spellStart"/>
            <w:r w:rsidRPr="000B4F5B">
              <w:rPr>
                <w:rFonts w:ascii="Arial" w:hAnsi="Arial" w:cs="Arial"/>
              </w:rPr>
              <w:t>LogFC</w:t>
            </w:r>
            <w:proofErr w:type="spellEnd"/>
            <w:r w:rsidRPr="000B4F5B">
              <w:rPr>
                <w:rFonts w:ascii="Arial" w:hAnsi="Arial" w:cs="Arial"/>
              </w:rPr>
              <w:t>) and p-values from significance tests for DEGs between colorectal liver metastases and primary CRC tissues, highlighting significant differences between the two groups.</w:t>
            </w:r>
            <w:r w:rsidRPr="000B4F5B">
              <w:rPr>
                <w:rFonts w:ascii="Arial" w:hAnsi="Arial" w:cs="Arial"/>
              </w:rPr>
              <w:br/>
              <w:t>(E) Venn diagram illustrating the intersection of DEGs between adjacent normal mucosa and primary CRC tissues, and DEGs between colorectal liver metastases and primary CRC tissues. Numbers represent the quantity of DEGs, and percentages indicate their proportion in the total number of genes.</w:t>
            </w:r>
            <w:r w:rsidRPr="000B4F5B">
              <w:rPr>
                <w:rFonts w:ascii="Arial" w:hAnsi="Arial" w:cs="Arial"/>
              </w:rPr>
              <w:br/>
              <w:t>(F) Enrichment analysis of DEGs based on the Kyoto Encyclopedia of Genes and Genomes (KEGG) and Gene Ontology (GO). GO functions include Biological Processes (BP), Cellular Components (CC), and Molecular Functions (MF).</w:t>
            </w:r>
          </w:p>
          <w:p w14:paraId="49FC51C7" w14:textId="77777777" w:rsidR="00E05931" w:rsidRPr="000B4F5B" w:rsidRDefault="00E05931" w:rsidP="007C673E">
            <w:pPr>
              <w:spacing w:before="100" w:beforeAutospacing="1" w:after="100" w:afterAutospacing="1"/>
              <w:rPr>
                <w:rFonts w:ascii="Arial" w:hAnsi="Arial" w:cs="Arial"/>
              </w:rPr>
            </w:pPr>
          </w:p>
        </w:tc>
      </w:tr>
      <w:tr w:rsidR="00E05931" w:rsidRPr="000B4F5B" w14:paraId="0563E9B8" w14:textId="77777777" w:rsidTr="007C673E">
        <w:tblPrEx>
          <w:jc w:val="left"/>
        </w:tblPrEx>
        <w:tc>
          <w:tcPr>
            <w:tcW w:w="8086" w:type="dxa"/>
          </w:tcPr>
          <w:p w14:paraId="1C4B074E" w14:textId="77777777" w:rsidR="00E05931" w:rsidRPr="000B4F5B" w:rsidRDefault="00E05931" w:rsidP="007C673E">
            <w:pPr>
              <w:spacing w:before="100" w:beforeAutospacing="1" w:after="100" w:afterAutospacing="1"/>
              <w:rPr>
                <w:rFonts w:ascii="Arial" w:hAnsi="Arial" w:cs="Arial"/>
                <w:b/>
                <w:bCs/>
              </w:rPr>
            </w:pPr>
            <w:r w:rsidRPr="000B4F5B">
              <w:rPr>
                <w:rFonts w:ascii="Arial" w:hAnsi="Arial" w:cs="Arial"/>
                <w:b/>
                <w:bCs/>
              </w:rPr>
              <w:t>Figure S2. Overexpression of OTUB2 increases CRC cell viability and confers resistance to ferroptosis.</w:t>
            </w:r>
          </w:p>
        </w:tc>
      </w:tr>
      <w:tr w:rsidR="00E05931" w:rsidRPr="000B4F5B" w14:paraId="38DE17E0" w14:textId="77777777" w:rsidTr="007C673E">
        <w:tblPrEx>
          <w:jc w:val="left"/>
        </w:tblPrEx>
        <w:tc>
          <w:tcPr>
            <w:tcW w:w="8086" w:type="dxa"/>
          </w:tcPr>
          <w:p w14:paraId="6509FC07" w14:textId="37BD836E" w:rsidR="00E05931" w:rsidRPr="000B4F5B" w:rsidRDefault="00E05931" w:rsidP="007C673E">
            <w:pPr>
              <w:spacing w:before="100" w:beforeAutospacing="1" w:after="100" w:afterAutospacing="1"/>
              <w:rPr>
                <w:rFonts w:ascii="Arial" w:hAnsi="Arial" w:cs="Arial"/>
              </w:rPr>
            </w:pPr>
            <w:r w:rsidRPr="000B4F5B">
              <w:rPr>
                <w:rFonts w:ascii="Arial" w:hAnsi="Arial" w:cs="Arial"/>
              </w:rPr>
              <w:t xml:space="preserve">(A) WB results demonstrating the overexpression of OTUB2 in </w:t>
            </w:r>
            <w:proofErr w:type="spellStart"/>
            <w:r w:rsidRPr="000B4F5B">
              <w:rPr>
                <w:rFonts w:ascii="Arial" w:hAnsi="Arial" w:cs="Arial"/>
              </w:rPr>
              <w:t>LoVo</w:t>
            </w:r>
            <w:proofErr w:type="spellEnd"/>
            <w:r w:rsidRPr="000B4F5B">
              <w:rPr>
                <w:rFonts w:ascii="Arial" w:hAnsi="Arial" w:cs="Arial"/>
              </w:rPr>
              <w:t xml:space="preserve"> and RKO cell lines using plasmids containing the full-length OTUB2 sequence.</w:t>
            </w:r>
            <w:r w:rsidRPr="000B4F5B">
              <w:rPr>
                <w:rFonts w:ascii="Arial" w:hAnsi="Arial" w:cs="Arial"/>
              </w:rPr>
              <w:br/>
            </w:r>
            <w:r w:rsidRPr="000B4F5B">
              <w:rPr>
                <w:rFonts w:ascii="Arial" w:hAnsi="Arial" w:cs="Arial" w:hint="eastAsia"/>
              </w:rPr>
              <w:t xml:space="preserve">(B) </w:t>
            </w:r>
            <w:r w:rsidRPr="000B4F5B">
              <w:rPr>
                <w:rFonts w:ascii="Arial" w:hAnsi="Arial" w:cs="Arial"/>
              </w:rPr>
              <w:t xml:space="preserve">Colony formation assays demonstrating the effect of OTUB2 overexpression on the proliferative capacity of </w:t>
            </w:r>
            <w:proofErr w:type="spellStart"/>
            <w:r w:rsidRPr="000B4F5B">
              <w:rPr>
                <w:rFonts w:ascii="Arial" w:hAnsi="Arial" w:cs="Arial"/>
              </w:rPr>
              <w:t>LoVo</w:t>
            </w:r>
            <w:proofErr w:type="spellEnd"/>
            <w:r w:rsidRPr="000B4F5B">
              <w:rPr>
                <w:rFonts w:ascii="Arial" w:hAnsi="Arial" w:cs="Arial"/>
              </w:rPr>
              <w:t xml:space="preserve"> and RKO cells.</w:t>
            </w:r>
            <w:r w:rsidRPr="000B4F5B">
              <w:rPr>
                <w:rFonts w:ascii="Arial" w:hAnsi="Arial" w:cs="Arial"/>
              </w:rPr>
              <w:br/>
              <w:t>(</w:t>
            </w:r>
            <w:r w:rsidRPr="000B4F5B">
              <w:rPr>
                <w:rFonts w:ascii="Arial" w:hAnsi="Arial" w:cs="Arial" w:hint="eastAsia"/>
              </w:rPr>
              <w:t>C</w:t>
            </w:r>
            <w:r w:rsidRPr="000B4F5B">
              <w:rPr>
                <w:rFonts w:ascii="Arial" w:hAnsi="Arial" w:cs="Arial"/>
              </w:rPr>
              <w:t xml:space="preserve">) </w:t>
            </w:r>
            <w:proofErr w:type="spellStart"/>
            <w:r w:rsidRPr="000B4F5B">
              <w:rPr>
                <w:rFonts w:ascii="Arial" w:hAnsi="Arial" w:cs="Arial"/>
              </w:rPr>
              <w:t>Transwell</w:t>
            </w:r>
            <w:proofErr w:type="spellEnd"/>
            <w:r w:rsidRPr="000B4F5B">
              <w:rPr>
                <w:rFonts w:ascii="Arial" w:hAnsi="Arial" w:cs="Arial"/>
              </w:rPr>
              <w:t xml:space="preserve"> assays showing the impact of OTUB2 overexpression on the migration ability of </w:t>
            </w:r>
            <w:proofErr w:type="spellStart"/>
            <w:r w:rsidRPr="000B4F5B">
              <w:rPr>
                <w:rFonts w:ascii="Arial" w:hAnsi="Arial" w:cs="Arial"/>
              </w:rPr>
              <w:t>LoVo</w:t>
            </w:r>
            <w:proofErr w:type="spellEnd"/>
            <w:r w:rsidRPr="000B4F5B">
              <w:rPr>
                <w:rFonts w:ascii="Arial" w:hAnsi="Arial" w:cs="Arial"/>
              </w:rPr>
              <w:t xml:space="preserve"> and RKO cells.</w:t>
            </w:r>
            <w:r w:rsidR="00FB7328">
              <w:rPr>
                <w:rFonts w:ascii="Arial" w:hAnsi="Arial" w:cs="Arial"/>
              </w:rPr>
              <w:t xml:space="preserve"> </w:t>
            </w:r>
            <w:r w:rsidR="00FB7328" w:rsidRPr="00FB7328">
              <w:rPr>
                <w:rFonts w:ascii="Arial" w:hAnsi="Arial" w:cs="Arial"/>
              </w:rPr>
              <w:t xml:space="preserve">Scale bar = 100 </w:t>
            </w:r>
            <w:proofErr w:type="spellStart"/>
            <w:r w:rsidR="00FB7328" w:rsidRPr="00FB7328">
              <w:rPr>
                <w:rFonts w:ascii="Arial" w:hAnsi="Arial" w:cs="Arial"/>
              </w:rPr>
              <w:t>μm</w:t>
            </w:r>
            <w:proofErr w:type="spellEnd"/>
            <w:r w:rsidR="00FB7328" w:rsidRPr="00FB7328">
              <w:rPr>
                <w:rFonts w:ascii="Arial" w:hAnsi="Arial" w:cs="Arial"/>
              </w:rPr>
              <w:t>.</w:t>
            </w:r>
            <w:r w:rsidRPr="000B4F5B">
              <w:rPr>
                <w:rFonts w:ascii="Arial" w:hAnsi="Arial" w:cs="Arial"/>
              </w:rPr>
              <w:br/>
              <w:t>(</w:t>
            </w:r>
            <w:r w:rsidRPr="000B4F5B">
              <w:rPr>
                <w:rFonts w:ascii="Arial" w:hAnsi="Arial" w:cs="Arial" w:hint="eastAsia"/>
              </w:rPr>
              <w:t>D</w:t>
            </w:r>
            <w:r w:rsidRPr="000B4F5B">
              <w:rPr>
                <w:rFonts w:ascii="Arial" w:hAnsi="Arial" w:cs="Arial"/>
              </w:rPr>
              <w:t xml:space="preserve">) PI staining and flow cytometry analyses indicating the effect of OTUB2 overexpression on cell death in </w:t>
            </w:r>
            <w:proofErr w:type="spellStart"/>
            <w:r w:rsidRPr="000B4F5B">
              <w:rPr>
                <w:rFonts w:ascii="Arial" w:hAnsi="Arial" w:cs="Arial"/>
              </w:rPr>
              <w:t>LoVo</w:t>
            </w:r>
            <w:proofErr w:type="spellEnd"/>
            <w:r w:rsidRPr="000B4F5B">
              <w:rPr>
                <w:rFonts w:ascii="Arial" w:hAnsi="Arial" w:cs="Arial"/>
              </w:rPr>
              <w:t xml:space="preserve"> and RKO cells.</w:t>
            </w:r>
            <w:r w:rsidRPr="000B4F5B">
              <w:rPr>
                <w:rFonts w:ascii="Arial" w:hAnsi="Arial" w:cs="Arial"/>
              </w:rPr>
              <w:br/>
              <w:t>(</w:t>
            </w:r>
            <w:r w:rsidRPr="000B4F5B">
              <w:rPr>
                <w:rFonts w:ascii="Arial" w:hAnsi="Arial" w:cs="Arial" w:hint="eastAsia"/>
              </w:rPr>
              <w:t>E</w:t>
            </w:r>
            <w:r w:rsidRPr="000B4F5B">
              <w:rPr>
                <w:rFonts w:ascii="Arial" w:hAnsi="Arial" w:cs="Arial"/>
              </w:rPr>
              <w:t xml:space="preserve">) Endothelial adhesion assays demonstrating the effect of OTUB2 overexpression on the metastatic adhesion capability of </w:t>
            </w:r>
            <w:proofErr w:type="spellStart"/>
            <w:r w:rsidRPr="000B4F5B">
              <w:rPr>
                <w:rFonts w:ascii="Arial" w:hAnsi="Arial" w:cs="Arial"/>
              </w:rPr>
              <w:t>LoVo</w:t>
            </w:r>
            <w:proofErr w:type="spellEnd"/>
            <w:r w:rsidRPr="000B4F5B">
              <w:rPr>
                <w:rFonts w:ascii="Arial" w:hAnsi="Arial" w:cs="Arial"/>
              </w:rPr>
              <w:t xml:space="preserve"> and RKO </w:t>
            </w:r>
            <w:r w:rsidRPr="000B4F5B">
              <w:rPr>
                <w:rFonts w:ascii="Arial" w:hAnsi="Arial" w:cs="Arial"/>
              </w:rPr>
              <w:lastRenderedPageBreak/>
              <w:t>cells.</w:t>
            </w:r>
            <w:r w:rsidR="00FB7328">
              <w:rPr>
                <w:rFonts w:ascii="Arial" w:hAnsi="Arial" w:cs="Arial"/>
              </w:rPr>
              <w:t xml:space="preserve"> </w:t>
            </w:r>
            <w:r w:rsidR="00FB7328" w:rsidRPr="00FB7328">
              <w:rPr>
                <w:rFonts w:ascii="Arial" w:hAnsi="Arial" w:cs="Arial"/>
              </w:rPr>
              <w:t xml:space="preserve">Scale bar = 100 </w:t>
            </w:r>
            <w:proofErr w:type="spellStart"/>
            <w:r w:rsidR="00FB7328" w:rsidRPr="00FB7328">
              <w:rPr>
                <w:rFonts w:ascii="Arial" w:hAnsi="Arial" w:cs="Arial"/>
              </w:rPr>
              <w:t>μm</w:t>
            </w:r>
            <w:proofErr w:type="spellEnd"/>
            <w:r w:rsidR="00FB7328" w:rsidRPr="00FB7328">
              <w:rPr>
                <w:rFonts w:ascii="Arial" w:hAnsi="Arial" w:cs="Arial"/>
              </w:rPr>
              <w:t>.</w:t>
            </w:r>
            <w:r w:rsidRPr="000B4F5B">
              <w:rPr>
                <w:rFonts w:ascii="Arial" w:hAnsi="Arial" w:cs="Arial"/>
              </w:rPr>
              <w:br/>
              <w:t>(</w:t>
            </w:r>
            <w:r w:rsidRPr="000B4F5B">
              <w:rPr>
                <w:rFonts w:ascii="Arial" w:hAnsi="Arial" w:cs="Arial" w:hint="eastAsia"/>
              </w:rPr>
              <w:t>F</w:t>
            </w:r>
            <w:r w:rsidRPr="000B4F5B">
              <w:rPr>
                <w:rFonts w:ascii="Arial" w:hAnsi="Arial" w:cs="Arial"/>
              </w:rPr>
              <w:t xml:space="preserve">) WB analyses showing the impact of OTUB2 overexpression on the expression levels of epithelial-mesenchymal transition-related proteins E-Cadherin, N-Cadherin, and Vimentin in </w:t>
            </w:r>
            <w:proofErr w:type="spellStart"/>
            <w:r w:rsidRPr="000B4F5B">
              <w:rPr>
                <w:rFonts w:ascii="Arial" w:hAnsi="Arial" w:cs="Arial"/>
              </w:rPr>
              <w:t>LoVo</w:t>
            </w:r>
            <w:proofErr w:type="spellEnd"/>
            <w:r w:rsidRPr="000B4F5B">
              <w:rPr>
                <w:rFonts w:ascii="Arial" w:hAnsi="Arial" w:cs="Arial"/>
              </w:rPr>
              <w:t xml:space="preserve"> and RKO cells.</w:t>
            </w:r>
            <w:r w:rsidRPr="000B4F5B">
              <w:rPr>
                <w:rFonts w:ascii="Arial" w:hAnsi="Arial" w:cs="Arial"/>
              </w:rPr>
              <w:br/>
              <w:t>(</w:t>
            </w:r>
            <w:r w:rsidRPr="000B4F5B">
              <w:rPr>
                <w:rFonts w:ascii="Arial" w:hAnsi="Arial" w:cs="Arial" w:hint="eastAsia"/>
              </w:rPr>
              <w:t>G</w:t>
            </w:r>
            <w:r w:rsidRPr="000B4F5B">
              <w:rPr>
                <w:rFonts w:ascii="Arial" w:hAnsi="Arial" w:cs="Arial"/>
              </w:rPr>
              <w:t>) Effects of OTUB2 overexpression on ferroptosis-related biochemical indicators GSH, Fe²</w:t>
            </w:r>
            <w:r w:rsidRPr="000B4F5B">
              <w:rPr>
                <w:rFonts w:ascii="MS Gothic" w:eastAsia="MS Gothic" w:hAnsi="MS Gothic" w:cs="MS Gothic" w:hint="eastAsia"/>
              </w:rPr>
              <w:t>⁺</w:t>
            </w:r>
            <w:r w:rsidRPr="000B4F5B">
              <w:rPr>
                <w:rFonts w:ascii="Arial" w:hAnsi="Arial" w:cs="Arial"/>
              </w:rPr>
              <w:t xml:space="preserve">, and MDA in </w:t>
            </w:r>
            <w:proofErr w:type="spellStart"/>
            <w:r w:rsidRPr="000B4F5B">
              <w:rPr>
                <w:rFonts w:ascii="Arial" w:hAnsi="Arial" w:cs="Arial"/>
              </w:rPr>
              <w:t>LoVo</w:t>
            </w:r>
            <w:proofErr w:type="spellEnd"/>
            <w:r w:rsidRPr="000B4F5B">
              <w:rPr>
                <w:rFonts w:ascii="Arial" w:hAnsi="Arial" w:cs="Arial"/>
              </w:rPr>
              <w:t xml:space="preserve"> and RKO cells.</w:t>
            </w:r>
            <w:r w:rsidRPr="000B4F5B">
              <w:rPr>
                <w:rFonts w:ascii="Arial" w:hAnsi="Arial" w:cs="Arial"/>
              </w:rPr>
              <w:br/>
              <w:t>(</w:t>
            </w:r>
            <w:r w:rsidRPr="000B4F5B">
              <w:rPr>
                <w:rFonts w:ascii="Arial" w:hAnsi="Arial" w:cs="Arial" w:hint="eastAsia"/>
              </w:rPr>
              <w:t>H</w:t>
            </w:r>
            <w:r w:rsidRPr="000B4F5B">
              <w:rPr>
                <w:rFonts w:ascii="Arial" w:hAnsi="Arial" w:cs="Arial"/>
              </w:rPr>
              <w:t xml:space="preserve">) Impact of OTUB2 overexpression on the expression of ferroptosis-related proteins ACSL4, FTH1, and GPX4 in </w:t>
            </w:r>
            <w:proofErr w:type="spellStart"/>
            <w:r w:rsidRPr="000B4F5B">
              <w:rPr>
                <w:rFonts w:ascii="Arial" w:hAnsi="Arial" w:cs="Arial"/>
              </w:rPr>
              <w:t>LoVo</w:t>
            </w:r>
            <w:proofErr w:type="spellEnd"/>
            <w:r w:rsidRPr="000B4F5B">
              <w:rPr>
                <w:rFonts w:ascii="Arial" w:hAnsi="Arial" w:cs="Arial"/>
              </w:rPr>
              <w:t xml:space="preserve"> and RKO cells.</w:t>
            </w:r>
            <w:r w:rsidRPr="000B4F5B">
              <w:rPr>
                <w:rFonts w:ascii="Arial" w:hAnsi="Arial" w:cs="Arial"/>
              </w:rPr>
              <w:br/>
              <w:t>(</w:t>
            </w:r>
            <w:r w:rsidRPr="000B4F5B">
              <w:rPr>
                <w:rFonts w:ascii="Arial" w:hAnsi="Arial" w:cs="Arial" w:hint="eastAsia"/>
              </w:rPr>
              <w:t>I</w:t>
            </w:r>
            <w:r w:rsidRPr="000B4F5B">
              <w:rPr>
                <w:rFonts w:ascii="Arial" w:hAnsi="Arial" w:cs="Arial"/>
              </w:rPr>
              <w:t xml:space="preserve">) BODIPY C11 probe staining showing intracellular ROS levels in </w:t>
            </w:r>
            <w:proofErr w:type="spellStart"/>
            <w:r w:rsidRPr="000B4F5B">
              <w:rPr>
                <w:rFonts w:ascii="Arial" w:hAnsi="Arial" w:cs="Arial"/>
              </w:rPr>
              <w:t>LoVo</w:t>
            </w:r>
            <w:proofErr w:type="spellEnd"/>
            <w:r w:rsidRPr="000B4F5B">
              <w:rPr>
                <w:rFonts w:ascii="Arial" w:hAnsi="Arial" w:cs="Arial"/>
              </w:rPr>
              <w:t xml:space="preserve"> and RKO cells after OTUB2 overexpression.</w:t>
            </w:r>
            <w:r w:rsidR="00FB7328">
              <w:rPr>
                <w:rFonts w:ascii="Arial" w:hAnsi="Arial" w:cs="Arial"/>
              </w:rPr>
              <w:t xml:space="preserve"> </w:t>
            </w:r>
            <w:r w:rsidR="00FB7328" w:rsidRPr="00FB7328">
              <w:rPr>
                <w:rFonts w:ascii="Arial" w:hAnsi="Arial" w:cs="Arial"/>
              </w:rPr>
              <w:t xml:space="preserve">Scale bar = 100 </w:t>
            </w:r>
            <w:proofErr w:type="spellStart"/>
            <w:r w:rsidR="00FB7328" w:rsidRPr="00FB7328">
              <w:rPr>
                <w:rFonts w:ascii="Arial" w:hAnsi="Arial" w:cs="Arial"/>
              </w:rPr>
              <w:t>μm</w:t>
            </w:r>
            <w:proofErr w:type="spellEnd"/>
            <w:r w:rsidR="00FB7328" w:rsidRPr="00FB7328">
              <w:rPr>
                <w:rFonts w:ascii="Arial" w:hAnsi="Arial" w:cs="Arial"/>
              </w:rPr>
              <w:t>.</w:t>
            </w:r>
            <w:r w:rsidRPr="000B4F5B">
              <w:rPr>
                <w:rFonts w:ascii="Arial" w:hAnsi="Arial" w:cs="Arial"/>
              </w:rPr>
              <w:br/>
              <w:t>(</w:t>
            </w:r>
            <w:r w:rsidRPr="000B4F5B">
              <w:rPr>
                <w:rFonts w:ascii="Arial" w:hAnsi="Arial" w:cs="Arial" w:hint="eastAsia"/>
              </w:rPr>
              <w:t>J</w:t>
            </w:r>
            <w:r w:rsidRPr="000B4F5B">
              <w:rPr>
                <w:rFonts w:ascii="Arial" w:hAnsi="Arial" w:cs="Arial"/>
              </w:rPr>
              <w:t xml:space="preserve">) CCK-8 assays indicating cell viability of </w:t>
            </w:r>
            <w:proofErr w:type="spellStart"/>
            <w:r w:rsidRPr="000B4F5B">
              <w:rPr>
                <w:rFonts w:ascii="Arial" w:hAnsi="Arial" w:cs="Arial"/>
              </w:rPr>
              <w:t>LoVo</w:t>
            </w:r>
            <w:proofErr w:type="spellEnd"/>
            <w:r w:rsidRPr="000B4F5B">
              <w:rPr>
                <w:rFonts w:ascii="Arial" w:hAnsi="Arial" w:cs="Arial"/>
              </w:rPr>
              <w:t xml:space="preserve"> and RKO cells treated with different concentrations of </w:t>
            </w:r>
            <w:proofErr w:type="spellStart"/>
            <w:r w:rsidRPr="000B4F5B">
              <w:rPr>
                <w:rFonts w:ascii="Arial" w:hAnsi="Arial" w:cs="Arial"/>
              </w:rPr>
              <w:t>Erastin</w:t>
            </w:r>
            <w:proofErr w:type="spellEnd"/>
            <w:r w:rsidRPr="000B4F5B">
              <w:rPr>
                <w:rFonts w:ascii="Arial" w:hAnsi="Arial" w:cs="Arial"/>
              </w:rPr>
              <w:t xml:space="preserve"> following OTUB2 overexpression.</w:t>
            </w:r>
          </w:p>
          <w:p w14:paraId="4B167D9F" w14:textId="77777777" w:rsidR="00E05931" w:rsidRPr="000B4F5B" w:rsidRDefault="00E05931" w:rsidP="007C673E">
            <w:pPr>
              <w:spacing w:before="100" w:beforeAutospacing="1" w:after="100" w:afterAutospacing="1"/>
              <w:rPr>
                <w:rFonts w:ascii="Arial" w:hAnsi="Arial" w:cs="Arial"/>
              </w:rPr>
            </w:pPr>
            <w:r w:rsidRPr="000B4F5B">
              <w:rPr>
                <w:rFonts w:ascii="Arial" w:hAnsi="Arial" w:cs="Arial"/>
              </w:rPr>
              <w:t>All experiments were performed in triplicate. Data are presented as mean</w:t>
            </w:r>
            <w:r w:rsidRPr="000B4F5B">
              <w:rPr>
                <w:rFonts w:ascii="Times New Roman" w:hAnsi="Times New Roman" w:cs="Times New Roman"/>
              </w:rPr>
              <w:t> </w:t>
            </w:r>
            <w:r w:rsidRPr="000B4F5B">
              <w:rPr>
                <w:rFonts w:ascii="等线" w:hAnsi="等线" w:cs="等线"/>
              </w:rPr>
              <w:t>±</w:t>
            </w:r>
            <w:r w:rsidRPr="000B4F5B">
              <w:rPr>
                <w:rFonts w:ascii="Times New Roman" w:hAnsi="Times New Roman" w:cs="Times New Roman"/>
              </w:rPr>
              <w:t> </w:t>
            </w:r>
            <w:r w:rsidRPr="000B4F5B">
              <w:rPr>
                <w:rFonts w:ascii="Arial" w:hAnsi="Arial" w:cs="Arial"/>
              </w:rPr>
              <w:t>standard deviation. Statistical significance was determined using one-way ANOVA followed by Tukey's post hoc test. *P</w:t>
            </w:r>
            <w:r w:rsidRPr="000B4F5B">
              <w:rPr>
                <w:rFonts w:ascii="Times New Roman" w:hAnsi="Times New Roman" w:cs="Times New Roman"/>
              </w:rPr>
              <w:t> </w:t>
            </w:r>
            <w:r w:rsidRPr="000B4F5B">
              <w:rPr>
                <w:rFonts w:ascii="Arial" w:hAnsi="Arial" w:cs="Arial"/>
              </w:rPr>
              <w:t>&lt;</w:t>
            </w:r>
            <w:r w:rsidRPr="000B4F5B">
              <w:rPr>
                <w:rFonts w:ascii="Times New Roman" w:hAnsi="Times New Roman" w:cs="Times New Roman"/>
              </w:rPr>
              <w:t> </w:t>
            </w:r>
            <w:r w:rsidRPr="000B4F5B">
              <w:rPr>
                <w:rFonts w:ascii="Arial" w:hAnsi="Arial" w:cs="Arial"/>
              </w:rPr>
              <w:t>0.05, **P</w:t>
            </w:r>
            <w:r w:rsidRPr="000B4F5B">
              <w:rPr>
                <w:rFonts w:ascii="Times New Roman" w:hAnsi="Times New Roman" w:cs="Times New Roman"/>
              </w:rPr>
              <w:t> </w:t>
            </w:r>
            <w:r w:rsidRPr="000B4F5B">
              <w:rPr>
                <w:rFonts w:ascii="Arial" w:hAnsi="Arial" w:cs="Arial"/>
              </w:rPr>
              <w:t>&lt;</w:t>
            </w:r>
            <w:r w:rsidRPr="000B4F5B">
              <w:rPr>
                <w:rFonts w:ascii="Times New Roman" w:hAnsi="Times New Roman" w:cs="Times New Roman"/>
              </w:rPr>
              <w:t> </w:t>
            </w:r>
            <w:r w:rsidRPr="000B4F5B">
              <w:rPr>
                <w:rFonts w:ascii="Arial" w:hAnsi="Arial" w:cs="Arial"/>
              </w:rPr>
              <w:t>0.01, ***P</w:t>
            </w:r>
            <w:r w:rsidRPr="000B4F5B">
              <w:rPr>
                <w:rFonts w:ascii="Times New Roman" w:hAnsi="Times New Roman" w:cs="Times New Roman"/>
              </w:rPr>
              <w:t> </w:t>
            </w:r>
            <w:r w:rsidRPr="000B4F5B">
              <w:rPr>
                <w:rFonts w:ascii="Arial" w:hAnsi="Arial" w:cs="Arial"/>
              </w:rPr>
              <w:t>&lt;</w:t>
            </w:r>
            <w:r w:rsidRPr="000B4F5B">
              <w:rPr>
                <w:rFonts w:ascii="Times New Roman" w:hAnsi="Times New Roman" w:cs="Times New Roman"/>
              </w:rPr>
              <w:t> </w:t>
            </w:r>
            <w:r w:rsidRPr="000B4F5B">
              <w:rPr>
                <w:rFonts w:ascii="Arial" w:hAnsi="Arial" w:cs="Arial"/>
              </w:rPr>
              <w:t>0.001 compared to control groups.</w:t>
            </w:r>
          </w:p>
        </w:tc>
      </w:tr>
    </w:tbl>
    <w:p w14:paraId="2E043189" w14:textId="77777777" w:rsidR="00E05931" w:rsidRPr="00E05931" w:rsidRDefault="00E05931"/>
    <w:sectPr w:rsidR="00E05931" w:rsidRPr="00E0593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3EFCE" w14:textId="77777777" w:rsidR="00E05931" w:rsidRDefault="00E05931" w:rsidP="00E05931">
      <w:r>
        <w:separator/>
      </w:r>
    </w:p>
  </w:endnote>
  <w:endnote w:type="continuationSeparator" w:id="0">
    <w:p w14:paraId="6E97A399" w14:textId="77777777" w:rsidR="00E05931" w:rsidRDefault="00E05931" w:rsidP="00E05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F47E6" w14:textId="77777777" w:rsidR="00E05931" w:rsidRDefault="00E05931" w:rsidP="00E05931">
      <w:r>
        <w:separator/>
      </w:r>
    </w:p>
  </w:footnote>
  <w:footnote w:type="continuationSeparator" w:id="0">
    <w:p w14:paraId="5F7C395C" w14:textId="77777777" w:rsidR="00E05931" w:rsidRDefault="00E05931" w:rsidP="00E059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148"/>
    <w:rsid w:val="00140148"/>
    <w:rsid w:val="001A7EF6"/>
    <w:rsid w:val="001D0DFF"/>
    <w:rsid w:val="00A04FA1"/>
    <w:rsid w:val="00E05931"/>
    <w:rsid w:val="00FB73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D5B6E1"/>
  <w15:chartTrackingRefBased/>
  <w15:docId w15:val="{6C08FD28-43C6-470F-91E7-72FCB5D41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5931"/>
    <w:pPr>
      <w:spacing w:after="0" w:line="240" w:lineRule="auto"/>
    </w:pPr>
    <w:rPr>
      <w:rFonts w:ascii="宋体" w:eastAsia="宋体" w:hAnsi="宋体" w:cs="宋体"/>
      <w:kern w:val="0"/>
      <w:sz w:val="24"/>
      <w14:ligatures w14:val="none"/>
    </w:rPr>
  </w:style>
  <w:style w:type="paragraph" w:styleId="1">
    <w:name w:val="heading 1"/>
    <w:basedOn w:val="a"/>
    <w:next w:val="a"/>
    <w:link w:val="10"/>
    <w:uiPriority w:val="9"/>
    <w:qFormat/>
    <w:rsid w:val="00140148"/>
    <w:pPr>
      <w:keepNext/>
      <w:keepLines/>
      <w:widowControl w:val="0"/>
      <w:spacing w:before="480" w:after="80" w:line="278" w:lineRule="auto"/>
      <w:outlineLvl w:val="0"/>
    </w:pPr>
    <w:rPr>
      <w:rFonts w:asciiTheme="majorHAnsi" w:eastAsiaTheme="majorEastAsia" w:hAnsiTheme="majorHAnsi" w:cstheme="majorBidi"/>
      <w:color w:val="0F4761" w:themeColor="accent1" w:themeShade="BF"/>
      <w:kern w:val="2"/>
      <w:sz w:val="48"/>
      <w:szCs w:val="48"/>
      <w14:ligatures w14:val="standardContextual"/>
    </w:rPr>
  </w:style>
  <w:style w:type="paragraph" w:styleId="2">
    <w:name w:val="heading 2"/>
    <w:basedOn w:val="a"/>
    <w:next w:val="a"/>
    <w:link w:val="20"/>
    <w:uiPriority w:val="9"/>
    <w:semiHidden/>
    <w:unhideWhenUsed/>
    <w:qFormat/>
    <w:rsid w:val="00140148"/>
    <w:pPr>
      <w:keepNext/>
      <w:keepLines/>
      <w:widowControl w:val="0"/>
      <w:spacing w:before="160" w:after="80" w:line="278" w:lineRule="auto"/>
      <w:outlineLvl w:val="1"/>
    </w:pPr>
    <w:rPr>
      <w:rFonts w:asciiTheme="majorHAnsi" w:eastAsiaTheme="majorEastAsia" w:hAnsiTheme="majorHAnsi" w:cstheme="majorBidi"/>
      <w:color w:val="0F4761" w:themeColor="accent1" w:themeShade="BF"/>
      <w:kern w:val="2"/>
      <w:sz w:val="40"/>
      <w:szCs w:val="40"/>
      <w14:ligatures w14:val="standardContextual"/>
    </w:rPr>
  </w:style>
  <w:style w:type="paragraph" w:styleId="3">
    <w:name w:val="heading 3"/>
    <w:basedOn w:val="a"/>
    <w:next w:val="a"/>
    <w:link w:val="30"/>
    <w:uiPriority w:val="9"/>
    <w:semiHidden/>
    <w:unhideWhenUsed/>
    <w:qFormat/>
    <w:rsid w:val="00140148"/>
    <w:pPr>
      <w:keepNext/>
      <w:keepLines/>
      <w:widowControl w:val="0"/>
      <w:spacing w:before="160" w:after="80" w:line="278" w:lineRule="auto"/>
      <w:outlineLvl w:val="2"/>
    </w:pPr>
    <w:rPr>
      <w:rFonts w:asciiTheme="majorHAnsi" w:eastAsiaTheme="majorEastAsia" w:hAnsiTheme="majorHAnsi" w:cstheme="majorBidi"/>
      <w:color w:val="0F4761" w:themeColor="accent1" w:themeShade="BF"/>
      <w:kern w:val="2"/>
      <w:sz w:val="32"/>
      <w:szCs w:val="32"/>
      <w14:ligatures w14:val="standardContextual"/>
    </w:rPr>
  </w:style>
  <w:style w:type="paragraph" w:styleId="4">
    <w:name w:val="heading 4"/>
    <w:basedOn w:val="a"/>
    <w:next w:val="a"/>
    <w:link w:val="40"/>
    <w:uiPriority w:val="9"/>
    <w:semiHidden/>
    <w:unhideWhenUsed/>
    <w:qFormat/>
    <w:rsid w:val="00140148"/>
    <w:pPr>
      <w:keepNext/>
      <w:keepLines/>
      <w:widowControl w:val="0"/>
      <w:spacing w:before="80" w:after="40" w:line="278" w:lineRule="auto"/>
      <w:outlineLvl w:val="3"/>
    </w:pPr>
    <w:rPr>
      <w:rFonts w:asciiTheme="minorHAnsi" w:eastAsiaTheme="minorEastAsia" w:hAnsiTheme="minorHAnsi" w:cstheme="majorBidi"/>
      <w:color w:val="0F4761" w:themeColor="accent1" w:themeShade="BF"/>
      <w:kern w:val="2"/>
      <w:sz w:val="28"/>
      <w:szCs w:val="28"/>
      <w14:ligatures w14:val="standardContextual"/>
    </w:rPr>
  </w:style>
  <w:style w:type="paragraph" w:styleId="5">
    <w:name w:val="heading 5"/>
    <w:basedOn w:val="a"/>
    <w:next w:val="a"/>
    <w:link w:val="50"/>
    <w:uiPriority w:val="9"/>
    <w:semiHidden/>
    <w:unhideWhenUsed/>
    <w:qFormat/>
    <w:rsid w:val="00140148"/>
    <w:pPr>
      <w:keepNext/>
      <w:keepLines/>
      <w:widowControl w:val="0"/>
      <w:spacing w:before="80" w:after="40" w:line="278" w:lineRule="auto"/>
      <w:outlineLvl w:val="4"/>
    </w:pPr>
    <w:rPr>
      <w:rFonts w:asciiTheme="minorHAnsi" w:eastAsiaTheme="minorEastAsia" w:hAnsiTheme="minorHAnsi" w:cstheme="majorBidi"/>
      <w:color w:val="0F4761" w:themeColor="accent1" w:themeShade="BF"/>
      <w:kern w:val="2"/>
      <w14:ligatures w14:val="standardContextual"/>
    </w:rPr>
  </w:style>
  <w:style w:type="paragraph" w:styleId="6">
    <w:name w:val="heading 6"/>
    <w:basedOn w:val="a"/>
    <w:next w:val="a"/>
    <w:link w:val="60"/>
    <w:uiPriority w:val="9"/>
    <w:semiHidden/>
    <w:unhideWhenUsed/>
    <w:qFormat/>
    <w:rsid w:val="00140148"/>
    <w:pPr>
      <w:keepNext/>
      <w:keepLines/>
      <w:widowControl w:val="0"/>
      <w:spacing w:before="40" w:line="278" w:lineRule="auto"/>
      <w:outlineLvl w:val="5"/>
    </w:pPr>
    <w:rPr>
      <w:rFonts w:asciiTheme="minorHAnsi" w:eastAsiaTheme="minorEastAsia" w:hAnsiTheme="minorHAnsi" w:cstheme="majorBidi"/>
      <w:b/>
      <w:bCs/>
      <w:color w:val="0F4761" w:themeColor="accent1" w:themeShade="BF"/>
      <w:kern w:val="2"/>
      <w:sz w:val="22"/>
      <w14:ligatures w14:val="standardContextual"/>
    </w:rPr>
  </w:style>
  <w:style w:type="paragraph" w:styleId="7">
    <w:name w:val="heading 7"/>
    <w:basedOn w:val="a"/>
    <w:next w:val="a"/>
    <w:link w:val="70"/>
    <w:uiPriority w:val="9"/>
    <w:semiHidden/>
    <w:unhideWhenUsed/>
    <w:qFormat/>
    <w:rsid w:val="00140148"/>
    <w:pPr>
      <w:keepNext/>
      <w:keepLines/>
      <w:widowControl w:val="0"/>
      <w:spacing w:before="40" w:line="278" w:lineRule="auto"/>
      <w:outlineLvl w:val="6"/>
    </w:pPr>
    <w:rPr>
      <w:rFonts w:asciiTheme="minorHAnsi" w:eastAsiaTheme="minorEastAsia" w:hAnsiTheme="minorHAnsi" w:cstheme="majorBidi"/>
      <w:b/>
      <w:bCs/>
      <w:color w:val="595959" w:themeColor="text1" w:themeTint="A6"/>
      <w:kern w:val="2"/>
      <w:sz w:val="22"/>
      <w14:ligatures w14:val="standardContextual"/>
    </w:rPr>
  </w:style>
  <w:style w:type="paragraph" w:styleId="8">
    <w:name w:val="heading 8"/>
    <w:basedOn w:val="a"/>
    <w:next w:val="a"/>
    <w:link w:val="80"/>
    <w:uiPriority w:val="9"/>
    <w:semiHidden/>
    <w:unhideWhenUsed/>
    <w:qFormat/>
    <w:rsid w:val="00140148"/>
    <w:pPr>
      <w:keepNext/>
      <w:keepLines/>
      <w:widowControl w:val="0"/>
      <w:spacing w:line="278" w:lineRule="auto"/>
      <w:outlineLvl w:val="7"/>
    </w:pPr>
    <w:rPr>
      <w:rFonts w:asciiTheme="minorHAnsi" w:eastAsiaTheme="minorEastAsia" w:hAnsiTheme="minorHAnsi" w:cstheme="majorBidi"/>
      <w:color w:val="595959" w:themeColor="text1" w:themeTint="A6"/>
      <w:kern w:val="2"/>
      <w:sz w:val="22"/>
      <w14:ligatures w14:val="standardContextual"/>
    </w:rPr>
  </w:style>
  <w:style w:type="paragraph" w:styleId="9">
    <w:name w:val="heading 9"/>
    <w:basedOn w:val="a"/>
    <w:next w:val="a"/>
    <w:link w:val="90"/>
    <w:uiPriority w:val="9"/>
    <w:semiHidden/>
    <w:unhideWhenUsed/>
    <w:qFormat/>
    <w:rsid w:val="00140148"/>
    <w:pPr>
      <w:keepNext/>
      <w:keepLines/>
      <w:widowControl w:val="0"/>
      <w:spacing w:line="278" w:lineRule="auto"/>
      <w:outlineLvl w:val="8"/>
    </w:pPr>
    <w:rPr>
      <w:rFonts w:asciiTheme="minorHAnsi" w:eastAsiaTheme="majorEastAsia" w:hAnsiTheme="minorHAnsi" w:cstheme="majorBidi"/>
      <w:color w:val="595959" w:themeColor="text1" w:themeTint="A6"/>
      <w:kern w:val="2"/>
      <w:sz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40148"/>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140148"/>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140148"/>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140148"/>
    <w:rPr>
      <w:rFonts w:cstheme="majorBidi"/>
      <w:color w:val="0F4761" w:themeColor="accent1" w:themeShade="BF"/>
      <w:sz w:val="28"/>
      <w:szCs w:val="28"/>
    </w:rPr>
  </w:style>
  <w:style w:type="character" w:customStyle="1" w:styleId="50">
    <w:name w:val="标题 5 字符"/>
    <w:basedOn w:val="a0"/>
    <w:link w:val="5"/>
    <w:uiPriority w:val="9"/>
    <w:semiHidden/>
    <w:rsid w:val="00140148"/>
    <w:rPr>
      <w:rFonts w:cstheme="majorBidi"/>
      <w:color w:val="0F4761" w:themeColor="accent1" w:themeShade="BF"/>
      <w:sz w:val="24"/>
    </w:rPr>
  </w:style>
  <w:style w:type="character" w:customStyle="1" w:styleId="60">
    <w:name w:val="标题 6 字符"/>
    <w:basedOn w:val="a0"/>
    <w:link w:val="6"/>
    <w:uiPriority w:val="9"/>
    <w:semiHidden/>
    <w:rsid w:val="00140148"/>
    <w:rPr>
      <w:rFonts w:cstheme="majorBidi"/>
      <w:b/>
      <w:bCs/>
      <w:color w:val="0F4761" w:themeColor="accent1" w:themeShade="BF"/>
    </w:rPr>
  </w:style>
  <w:style w:type="character" w:customStyle="1" w:styleId="70">
    <w:name w:val="标题 7 字符"/>
    <w:basedOn w:val="a0"/>
    <w:link w:val="7"/>
    <w:uiPriority w:val="9"/>
    <w:semiHidden/>
    <w:rsid w:val="00140148"/>
    <w:rPr>
      <w:rFonts w:cstheme="majorBidi"/>
      <w:b/>
      <w:bCs/>
      <w:color w:val="595959" w:themeColor="text1" w:themeTint="A6"/>
    </w:rPr>
  </w:style>
  <w:style w:type="character" w:customStyle="1" w:styleId="80">
    <w:name w:val="标题 8 字符"/>
    <w:basedOn w:val="a0"/>
    <w:link w:val="8"/>
    <w:uiPriority w:val="9"/>
    <w:semiHidden/>
    <w:rsid w:val="00140148"/>
    <w:rPr>
      <w:rFonts w:cstheme="majorBidi"/>
      <w:color w:val="595959" w:themeColor="text1" w:themeTint="A6"/>
    </w:rPr>
  </w:style>
  <w:style w:type="character" w:customStyle="1" w:styleId="90">
    <w:name w:val="标题 9 字符"/>
    <w:basedOn w:val="a0"/>
    <w:link w:val="9"/>
    <w:uiPriority w:val="9"/>
    <w:semiHidden/>
    <w:rsid w:val="00140148"/>
    <w:rPr>
      <w:rFonts w:eastAsiaTheme="majorEastAsia" w:cstheme="majorBidi"/>
      <w:color w:val="595959" w:themeColor="text1" w:themeTint="A6"/>
    </w:rPr>
  </w:style>
  <w:style w:type="paragraph" w:styleId="a3">
    <w:name w:val="Title"/>
    <w:basedOn w:val="a"/>
    <w:next w:val="a"/>
    <w:link w:val="a4"/>
    <w:uiPriority w:val="10"/>
    <w:qFormat/>
    <w:rsid w:val="00140148"/>
    <w:pPr>
      <w:widowControl w:val="0"/>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14014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40148"/>
    <w:pPr>
      <w:widowControl w:val="0"/>
      <w:numPr>
        <w:ilvl w:val="1"/>
      </w:numPr>
      <w:spacing w:after="160" w:line="278" w:lineRule="auto"/>
      <w:jc w:val="center"/>
    </w:pPr>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6">
    <w:name w:val="副标题 字符"/>
    <w:basedOn w:val="a0"/>
    <w:link w:val="a5"/>
    <w:uiPriority w:val="11"/>
    <w:rsid w:val="0014014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40148"/>
    <w:pPr>
      <w:widowControl w:val="0"/>
      <w:spacing w:before="160" w:after="160" w:line="278" w:lineRule="auto"/>
      <w:jc w:val="center"/>
    </w:pPr>
    <w:rPr>
      <w:rFonts w:asciiTheme="minorHAnsi" w:eastAsiaTheme="minorEastAsia" w:hAnsiTheme="minorHAnsi" w:cstheme="minorBidi"/>
      <w:i/>
      <w:iCs/>
      <w:color w:val="404040" w:themeColor="text1" w:themeTint="BF"/>
      <w:kern w:val="2"/>
      <w:sz w:val="22"/>
      <w14:ligatures w14:val="standardContextual"/>
    </w:rPr>
  </w:style>
  <w:style w:type="character" w:customStyle="1" w:styleId="a8">
    <w:name w:val="引用 字符"/>
    <w:basedOn w:val="a0"/>
    <w:link w:val="a7"/>
    <w:uiPriority w:val="29"/>
    <w:rsid w:val="00140148"/>
    <w:rPr>
      <w:i/>
      <w:iCs/>
      <w:color w:val="404040" w:themeColor="text1" w:themeTint="BF"/>
    </w:rPr>
  </w:style>
  <w:style w:type="paragraph" w:styleId="a9">
    <w:name w:val="List Paragraph"/>
    <w:basedOn w:val="a"/>
    <w:uiPriority w:val="34"/>
    <w:qFormat/>
    <w:rsid w:val="00140148"/>
    <w:pPr>
      <w:widowControl w:val="0"/>
      <w:spacing w:after="160" w:line="278" w:lineRule="auto"/>
      <w:ind w:left="720"/>
      <w:contextualSpacing/>
    </w:pPr>
    <w:rPr>
      <w:rFonts w:asciiTheme="minorHAnsi" w:eastAsiaTheme="minorEastAsia" w:hAnsiTheme="minorHAnsi" w:cstheme="minorBidi"/>
      <w:kern w:val="2"/>
      <w:sz w:val="22"/>
      <w14:ligatures w14:val="standardContextual"/>
    </w:rPr>
  </w:style>
  <w:style w:type="character" w:styleId="aa">
    <w:name w:val="Intense Emphasis"/>
    <w:basedOn w:val="a0"/>
    <w:uiPriority w:val="21"/>
    <w:qFormat/>
    <w:rsid w:val="00140148"/>
    <w:rPr>
      <w:i/>
      <w:iCs/>
      <w:color w:val="0F4761" w:themeColor="accent1" w:themeShade="BF"/>
    </w:rPr>
  </w:style>
  <w:style w:type="paragraph" w:styleId="ab">
    <w:name w:val="Intense Quote"/>
    <w:basedOn w:val="a"/>
    <w:next w:val="a"/>
    <w:link w:val="ac"/>
    <w:uiPriority w:val="30"/>
    <w:qFormat/>
    <w:rsid w:val="00140148"/>
    <w:pPr>
      <w:widowControl w:val="0"/>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2"/>
      <w14:ligatures w14:val="standardContextual"/>
    </w:rPr>
  </w:style>
  <w:style w:type="character" w:customStyle="1" w:styleId="ac">
    <w:name w:val="明显引用 字符"/>
    <w:basedOn w:val="a0"/>
    <w:link w:val="ab"/>
    <w:uiPriority w:val="30"/>
    <w:rsid w:val="00140148"/>
    <w:rPr>
      <w:i/>
      <w:iCs/>
      <w:color w:val="0F4761" w:themeColor="accent1" w:themeShade="BF"/>
    </w:rPr>
  </w:style>
  <w:style w:type="character" w:styleId="ad">
    <w:name w:val="Intense Reference"/>
    <w:basedOn w:val="a0"/>
    <w:uiPriority w:val="32"/>
    <w:qFormat/>
    <w:rsid w:val="00140148"/>
    <w:rPr>
      <w:b/>
      <w:bCs/>
      <w:smallCaps/>
      <w:color w:val="0F4761" w:themeColor="accent1" w:themeShade="BF"/>
      <w:spacing w:val="5"/>
    </w:rPr>
  </w:style>
  <w:style w:type="paragraph" w:styleId="ae">
    <w:name w:val="header"/>
    <w:basedOn w:val="a"/>
    <w:link w:val="af"/>
    <w:uiPriority w:val="99"/>
    <w:unhideWhenUsed/>
    <w:rsid w:val="00E05931"/>
    <w:pPr>
      <w:widowControl w:val="0"/>
      <w:tabs>
        <w:tab w:val="center" w:pos="4153"/>
        <w:tab w:val="right" w:pos="8306"/>
      </w:tabs>
      <w:snapToGrid w:val="0"/>
      <w:spacing w:after="160"/>
      <w:jc w:val="center"/>
    </w:pPr>
    <w:rPr>
      <w:rFonts w:asciiTheme="minorHAnsi" w:eastAsiaTheme="minorEastAsia" w:hAnsiTheme="minorHAnsi" w:cstheme="minorBidi"/>
      <w:kern w:val="2"/>
      <w:sz w:val="18"/>
      <w:szCs w:val="18"/>
      <w14:ligatures w14:val="standardContextual"/>
    </w:rPr>
  </w:style>
  <w:style w:type="character" w:customStyle="1" w:styleId="af">
    <w:name w:val="页眉 字符"/>
    <w:basedOn w:val="a0"/>
    <w:link w:val="ae"/>
    <w:uiPriority w:val="99"/>
    <w:rsid w:val="00E05931"/>
    <w:rPr>
      <w:sz w:val="18"/>
      <w:szCs w:val="18"/>
    </w:rPr>
  </w:style>
  <w:style w:type="paragraph" w:styleId="af0">
    <w:name w:val="footer"/>
    <w:basedOn w:val="a"/>
    <w:link w:val="af1"/>
    <w:uiPriority w:val="99"/>
    <w:unhideWhenUsed/>
    <w:rsid w:val="00E05931"/>
    <w:pPr>
      <w:widowControl w:val="0"/>
      <w:tabs>
        <w:tab w:val="center" w:pos="4153"/>
        <w:tab w:val="right" w:pos="8306"/>
      </w:tabs>
      <w:snapToGrid w:val="0"/>
      <w:spacing w:after="160"/>
    </w:pPr>
    <w:rPr>
      <w:rFonts w:asciiTheme="minorHAnsi" w:eastAsiaTheme="minorEastAsia" w:hAnsiTheme="minorHAnsi" w:cstheme="minorBidi"/>
      <w:kern w:val="2"/>
      <w:sz w:val="18"/>
      <w:szCs w:val="18"/>
      <w14:ligatures w14:val="standardContextual"/>
    </w:rPr>
  </w:style>
  <w:style w:type="character" w:customStyle="1" w:styleId="af1">
    <w:name w:val="页脚 字符"/>
    <w:basedOn w:val="a0"/>
    <w:link w:val="af0"/>
    <w:uiPriority w:val="99"/>
    <w:rsid w:val="00E05931"/>
    <w:rPr>
      <w:sz w:val="18"/>
      <w:szCs w:val="18"/>
    </w:rPr>
  </w:style>
  <w:style w:type="table" w:customStyle="1" w:styleId="11">
    <w:name w:val="网格型1"/>
    <w:basedOn w:val="a1"/>
    <w:uiPriority w:val="39"/>
    <w:qFormat/>
    <w:rsid w:val="00E05931"/>
    <w:pPr>
      <w:spacing w:after="0" w:line="240" w:lineRule="auto"/>
    </w:pPr>
    <w:rPr>
      <w:rFonts w:ascii="等线" w:eastAsia="等线" w:hAnsi="等线"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uiPriority w:val="39"/>
    <w:qFormat/>
    <w:rsid w:val="00E05931"/>
    <w:pPr>
      <w:spacing w:after="0" w:line="240" w:lineRule="auto"/>
    </w:pPr>
    <w:rPr>
      <w:rFonts w:ascii="等线" w:eastAsia="等线" w:hAnsi="等线"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457</Words>
  <Characters>2740</Characters>
  <Application>Microsoft Office Word</Application>
  <DocSecurity>0</DocSecurity>
  <Lines>22</Lines>
  <Paragraphs>6</Paragraphs>
  <ScaleCrop>false</ScaleCrop>
  <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LICHENG</dc:creator>
  <cp:keywords/>
  <dc:description/>
  <cp:lastModifiedBy>L</cp:lastModifiedBy>
  <cp:revision>4</cp:revision>
  <dcterms:created xsi:type="dcterms:W3CDTF">2025-10-28T03:01:00Z</dcterms:created>
  <dcterms:modified xsi:type="dcterms:W3CDTF">2026-01-13T09:35:00Z</dcterms:modified>
</cp:coreProperties>
</file>