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009B6" w14:textId="52851277" w:rsidR="00203F23" w:rsidRPr="00EE0340" w:rsidRDefault="00203F23" w:rsidP="0049254B">
      <w:pPr>
        <w:spacing w:line="480" w:lineRule="auto"/>
        <w:jc w:val="both"/>
        <w:rPr>
          <w:rFonts w:cstheme="minorHAnsi"/>
          <w:b/>
          <w:bCs/>
          <w:sz w:val="28"/>
          <w:szCs w:val="28"/>
        </w:rPr>
      </w:pPr>
      <w:bookmarkStart w:id="0" w:name="_Hlk179477352"/>
      <w:r w:rsidRPr="00EE0340">
        <w:rPr>
          <w:rFonts w:cstheme="minorHAnsi"/>
          <w:b/>
          <w:bCs/>
          <w:sz w:val="28"/>
          <w:szCs w:val="28"/>
        </w:rPr>
        <w:t>Materials and Methods</w:t>
      </w:r>
      <w:bookmarkEnd w:id="0"/>
    </w:p>
    <w:p w14:paraId="2C914ABC" w14:textId="77777777" w:rsidR="00203F23" w:rsidRPr="00EE0340" w:rsidRDefault="00203F23" w:rsidP="00EE7517">
      <w:pPr>
        <w:spacing w:line="480" w:lineRule="auto"/>
        <w:jc w:val="both"/>
        <w:rPr>
          <w:rFonts w:eastAsia="Calibri" w:cstheme="minorHAnsi"/>
          <w:b/>
          <w:bCs/>
        </w:rPr>
      </w:pPr>
      <w:bookmarkStart w:id="1" w:name="_Hlk179477392"/>
      <w:bookmarkStart w:id="2" w:name="_Hlk205558792"/>
      <w:r w:rsidRPr="00EE0340">
        <w:rPr>
          <w:rFonts w:eastAsia="Calibri" w:cstheme="minorHAnsi"/>
          <w:b/>
          <w:bCs/>
        </w:rPr>
        <w:t xml:space="preserve">CD34+ HSPCs purification </w:t>
      </w:r>
    </w:p>
    <w:p w14:paraId="5CECC9F0" w14:textId="560414A2" w:rsidR="00203F23" w:rsidRPr="00EE0340" w:rsidRDefault="00203F23" w:rsidP="00EE7517">
      <w:pPr>
        <w:spacing w:line="480" w:lineRule="auto"/>
        <w:jc w:val="both"/>
        <w:rPr>
          <w:rFonts w:eastAsia="Calibri" w:cstheme="minorHAnsi"/>
        </w:rPr>
      </w:pPr>
      <w:r w:rsidRPr="00EE0340">
        <w:rPr>
          <w:rFonts w:eastAsia="Calibri" w:cstheme="minorHAnsi"/>
        </w:rPr>
        <w:t xml:space="preserve">Cord blood units and bone marrow samples were obtained according to procedures approved by the institutional review boards of the Sheba Medical Centre, Israel and Tel Aviv University. Informed consent was obtained from all subjects. </w:t>
      </w:r>
      <w:r w:rsidR="002C6EFF" w:rsidRPr="00EE0340">
        <w:rPr>
          <w:rFonts w:eastAsia="Calibri" w:cstheme="minorHAnsi"/>
        </w:rPr>
        <w:t>Two-six</w:t>
      </w:r>
      <w:r w:rsidRPr="00EE0340">
        <w:rPr>
          <w:rFonts w:eastAsia="Calibri" w:cstheme="minorHAnsi"/>
        </w:rPr>
        <w:t xml:space="preserve"> deidentified cord blood units were pooled, and mononuclear cells were isolated by density gradient centrifugation. CD34+ cells </w:t>
      </w:r>
      <w:r w:rsidR="002C6EFF" w:rsidRPr="00EE0340">
        <w:rPr>
          <w:rFonts w:eastAsia="Calibri" w:cstheme="minorHAnsi"/>
        </w:rPr>
        <w:t xml:space="preserve">from cord blood or from the bone marrow samples </w:t>
      </w:r>
      <w:r w:rsidRPr="00EE0340">
        <w:rPr>
          <w:rFonts w:eastAsia="Calibri" w:cstheme="minorHAnsi"/>
        </w:rPr>
        <w:t xml:space="preserve">were enriched by positive selection with MACS CD34+ ultra-pure kit (Miltenyi Biotech, Cat# 130-100-453) according to the manufacturer’s instructions. Purified cells were stored in liquid nitrogen and used at later time points. </w:t>
      </w:r>
    </w:p>
    <w:p w14:paraId="030BEC82" w14:textId="77777777" w:rsidR="00203F23" w:rsidRPr="00EE0340" w:rsidRDefault="00203F23" w:rsidP="0049254B">
      <w:pPr>
        <w:spacing w:line="480" w:lineRule="auto"/>
        <w:jc w:val="both"/>
        <w:rPr>
          <w:rFonts w:eastAsia="Calibri" w:cstheme="minorHAnsi"/>
          <w:b/>
          <w:bCs/>
        </w:rPr>
      </w:pPr>
      <w:r w:rsidRPr="00EE0340">
        <w:rPr>
          <w:rFonts w:eastAsia="Calibri" w:cstheme="minorHAnsi"/>
          <w:b/>
          <w:bCs/>
        </w:rPr>
        <w:t xml:space="preserve">CD34+ HSPCs culture </w:t>
      </w:r>
    </w:p>
    <w:p w14:paraId="7B7CF56A" w14:textId="4042A2C8" w:rsidR="00203F23" w:rsidRPr="00EE0340" w:rsidRDefault="00203F23" w:rsidP="0049254B">
      <w:pPr>
        <w:spacing w:line="480" w:lineRule="auto"/>
        <w:jc w:val="both"/>
        <w:rPr>
          <w:rFonts w:eastAsia="Calibri" w:cstheme="minorHAnsi"/>
        </w:rPr>
      </w:pPr>
      <w:r w:rsidRPr="00EE0340">
        <w:rPr>
          <w:rFonts w:eastAsia="Calibri" w:cstheme="minorHAnsi"/>
        </w:rPr>
        <w:t xml:space="preserve">Thawed CD34+ cells were cultured in StemSpan SFEM II serum-free medium (Stem cell technologies, Cat# 9655) supplemented with recombinant cytokines (Peprotech): SCF (25ng/ml), FLT3L (25ng/ml), TPO (25ng/ml). To elevate cAMP levels, CD34+ cells were treated with Forskolin (10μM, Alomone labs Cat# F-500) and IBMX (100μM, Sigma Aldrich). CD34+ cells were treated with following </w:t>
      </w:r>
      <w:r w:rsidR="002C6EFF" w:rsidRPr="00EE0340">
        <w:rPr>
          <w:rFonts w:eastAsia="Calibri" w:cstheme="minorHAnsi"/>
        </w:rPr>
        <w:t>agents</w:t>
      </w:r>
      <w:r w:rsidRPr="00EE0340">
        <w:rPr>
          <w:rFonts w:eastAsia="Calibri" w:cstheme="minorHAnsi"/>
        </w:rPr>
        <w:t>– Etoposide (1µM, Sigma Aldrich Cat# I5879), Rp-8-Br-cAMPs (100µM, BioLog Cat# B001-05), Carbenoxolone (100µM, Sigma Aldrich Cat# C4790), GAP27 (100µM, Med Chem Express Cat# HY-P0139), 16,16-dmPGE2 (10µM, Cayman Chemical Cat# 14750), AH6809 (10µM, Med Chem Express Cat# HY-10418), Palupiprant (1µM, Med Chem Express Cat# HY-103088).</w:t>
      </w:r>
    </w:p>
    <w:p w14:paraId="03DFDA93" w14:textId="77777777" w:rsidR="00203F23" w:rsidRPr="00EE0340" w:rsidRDefault="00203F23" w:rsidP="0049254B">
      <w:pPr>
        <w:spacing w:line="480" w:lineRule="auto"/>
        <w:jc w:val="both"/>
        <w:rPr>
          <w:rFonts w:eastAsia="Calibri" w:cstheme="minorHAnsi"/>
        </w:rPr>
      </w:pPr>
      <w:r w:rsidRPr="00EE0340">
        <w:rPr>
          <w:rFonts w:eastAsia="Calibri" w:cstheme="minorHAnsi"/>
          <w:b/>
          <w:bCs/>
        </w:rPr>
        <w:t xml:space="preserve">CD34+ HSPCs and stroma co-culture </w:t>
      </w:r>
    </w:p>
    <w:p w14:paraId="3DD0F592" w14:textId="645B527F" w:rsidR="00203F23" w:rsidRPr="00EE0340" w:rsidRDefault="00203F23" w:rsidP="0049254B">
      <w:pPr>
        <w:spacing w:line="480" w:lineRule="auto"/>
        <w:jc w:val="both"/>
        <w:rPr>
          <w:rFonts w:eastAsia="Calibri" w:cstheme="minorHAnsi"/>
        </w:rPr>
      </w:pPr>
      <w:r w:rsidRPr="00EE0340">
        <w:rPr>
          <w:rFonts w:eastAsia="Calibri" w:cstheme="minorHAnsi"/>
        </w:rPr>
        <w:t xml:space="preserve">OP9M2 murine stromal cells were cultured in MEM-Alpha medium (Gibco, Life Technologies Cat# 12571063), supplemented with FBS (20%, Biological Industries), Pen/Strep (1%), L-glutamine (1%). Omi-MS5 cells were generated by transducing MS5 cells with </w:t>
      </w:r>
      <w:proofErr w:type="spellStart"/>
      <w:r w:rsidRPr="00EE0340">
        <w:rPr>
          <w:rFonts w:eastAsia="Calibri" w:cstheme="minorHAnsi"/>
        </w:rPr>
        <w:t>pBabe</w:t>
      </w:r>
      <w:proofErr w:type="spellEnd"/>
      <w:r w:rsidRPr="00EE0340">
        <w:rPr>
          <w:rFonts w:eastAsia="Calibri" w:cstheme="minorHAnsi"/>
        </w:rPr>
        <w:t>(puro)-</w:t>
      </w:r>
      <w:r w:rsidRPr="00EE0340">
        <w:rPr>
          <w:rFonts w:eastAsia="Calibri" w:cstheme="minorHAnsi"/>
        </w:rPr>
        <w:lastRenderedPageBreak/>
        <w:t xml:space="preserve">Omi-mCherry plasmid (Addgene plasmid# 48685). MS5 and Omi-MS5 cells were cultured in MEM-Alpha medium (Gibco, Life Technologies), supplemented with FBS (10%, </w:t>
      </w:r>
      <w:r w:rsidR="0037525F" w:rsidRPr="00EE0340">
        <w:rPr>
          <w:rFonts w:eastAsia="Calibri" w:cstheme="minorHAnsi"/>
        </w:rPr>
        <w:t>GIBCO Cat# 04-007-1A</w:t>
      </w:r>
      <w:r w:rsidRPr="00EE0340">
        <w:rPr>
          <w:rFonts w:eastAsia="Calibri" w:cstheme="minorHAnsi"/>
        </w:rPr>
        <w:t>), Pen/Strep (1%)</w:t>
      </w:r>
      <w:r w:rsidR="0037525F" w:rsidRPr="00EE0340">
        <w:rPr>
          <w:rFonts w:eastAsia="Calibri" w:cstheme="minorHAnsi"/>
        </w:rPr>
        <w:t xml:space="preserve"> (</w:t>
      </w:r>
      <w:proofErr w:type="spellStart"/>
      <w:r w:rsidR="0037525F" w:rsidRPr="00EE0340">
        <w:rPr>
          <w:rFonts w:eastAsia="Calibri" w:cstheme="minorHAnsi"/>
        </w:rPr>
        <w:t>Diagvonum</w:t>
      </w:r>
      <w:proofErr w:type="spellEnd"/>
      <w:r w:rsidR="0037525F" w:rsidRPr="00EE0340">
        <w:rPr>
          <w:rFonts w:eastAsia="Calibri" w:cstheme="minorHAnsi"/>
        </w:rPr>
        <w:t xml:space="preserve"> Cat# D910)</w:t>
      </w:r>
      <w:r w:rsidRPr="00EE0340">
        <w:rPr>
          <w:rFonts w:eastAsia="Calibri" w:cstheme="minorHAnsi"/>
        </w:rPr>
        <w:t>, L-glutamine (1%)</w:t>
      </w:r>
      <w:r w:rsidR="0037525F" w:rsidRPr="00EE0340">
        <w:rPr>
          <w:rFonts w:eastAsia="Calibri" w:cstheme="minorHAnsi"/>
        </w:rPr>
        <w:t xml:space="preserve"> (GIBCO Cat# 289081)</w:t>
      </w:r>
      <w:r w:rsidRPr="00EE0340">
        <w:rPr>
          <w:rFonts w:eastAsia="Calibri" w:cstheme="minorHAnsi"/>
        </w:rPr>
        <w:t>.</w:t>
      </w:r>
    </w:p>
    <w:p w14:paraId="1469B669" w14:textId="6D353ACC" w:rsidR="00203F23" w:rsidRPr="00EE0340" w:rsidRDefault="002C6EFF" w:rsidP="00EE0340">
      <w:pPr>
        <w:spacing w:after="240" w:line="480" w:lineRule="auto"/>
        <w:jc w:val="both"/>
        <w:rPr>
          <w:rFonts w:cstheme="minorHAnsi"/>
        </w:rPr>
      </w:pPr>
      <w:r w:rsidRPr="00EE0340">
        <w:rPr>
          <w:rFonts w:cstheme="minorHAnsi"/>
        </w:rPr>
        <w:t>B</w:t>
      </w:r>
      <w:r w:rsidR="00203F23" w:rsidRPr="00EE0340">
        <w:rPr>
          <w:rFonts w:cstheme="minorHAnsi"/>
        </w:rPr>
        <w:t>one</w:t>
      </w:r>
      <w:r w:rsidRPr="00EE0340">
        <w:rPr>
          <w:rFonts w:cstheme="minorHAnsi"/>
        </w:rPr>
        <w:t xml:space="preserve"> </w:t>
      </w:r>
      <w:r w:rsidR="00203F23" w:rsidRPr="00EE0340">
        <w:rPr>
          <w:rFonts w:cstheme="minorHAnsi"/>
        </w:rPr>
        <w:t>marrow</w:t>
      </w:r>
      <w:r w:rsidRPr="00EE0340">
        <w:rPr>
          <w:rFonts w:cstheme="minorHAnsi"/>
        </w:rPr>
        <w:t xml:space="preserve"> </w:t>
      </w:r>
      <w:r w:rsidR="00203F23" w:rsidRPr="00EE0340">
        <w:rPr>
          <w:rFonts w:cstheme="minorHAnsi"/>
        </w:rPr>
        <w:t>derived MSCs were isolated from healthy donors undergoing hip</w:t>
      </w:r>
      <w:r w:rsidRPr="00EE0340">
        <w:rPr>
          <w:rFonts w:cstheme="minorHAnsi"/>
        </w:rPr>
        <w:t xml:space="preserve"> </w:t>
      </w:r>
      <w:r w:rsidR="00203F23" w:rsidRPr="00EE0340">
        <w:rPr>
          <w:rFonts w:cstheme="minorHAnsi"/>
        </w:rPr>
        <w:t>replacement surgery under Meir Medical Center Helsinki Committee approval and informed consent. MSCs were expanded in RPMI-1640 medium supplemented with 10 % FBS and standard antibiotics, and used between passages 3-5. MSCs were phenotypically validated as</w:t>
      </w:r>
      <w:r w:rsidR="00EE0340">
        <w:rPr>
          <w:rFonts w:cstheme="minorHAnsi"/>
        </w:rPr>
        <w:t xml:space="preserve"> </w:t>
      </w:r>
      <w:r w:rsidR="00203F23" w:rsidRPr="00EE0340">
        <w:rPr>
          <w:rFonts w:cstheme="minorHAnsi"/>
        </w:rPr>
        <w:t>CD271⁺CD34⁻CD45⁻/vimentin⁺/keratin⁻</w:t>
      </w:r>
      <w:r w:rsidR="006634FA" w:rsidRPr="00EE0340">
        <w:rPr>
          <w:rFonts w:cstheme="minorHAnsi"/>
        </w:rPr>
        <w:t xml:space="preserve"> as previously described</w:t>
      </w:r>
      <w:r w:rsidR="00203F23" w:rsidRPr="00EE0340">
        <w:rPr>
          <w:rFonts w:cstheme="minorHAnsi"/>
        </w:rPr>
        <w:t>.</w:t>
      </w:r>
    </w:p>
    <w:p w14:paraId="3687A1DA" w14:textId="5F5F3ACF" w:rsidR="00203F23" w:rsidRPr="00EE0340" w:rsidRDefault="00203F23" w:rsidP="0049254B">
      <w:pPr>
        <w:spacing w:line="480" w:lineRule="auto"/>
        <w:jc w:val="both"/>
        <w:rPr>
          <w:rFonts w:eastAsia="Calibri" w:cstheme="minorHAnsi"/>
        </w:rPr>
      </w:pPr>
      <w:r w:rsidRPr="00EE0340">
        <w:rPr>
          <w:rFonts w:eastAsia="Calibri" w:cstheme="minorHAnsi"/>
        </w:rPr>
        <w:t>For co-culture with CD34+ cells, 3*10</w:t>
      </w:r>
      <w:r w:rsidRPr="00EE0340">
        <w:rPr>
          <w:rFonts w:eastAsia="Calibri" w:cstheme="minorHAnsi"/>
          <w:vertAlign w:val="superscript"/>
        </w:rPr>
        <w:t>4</w:t>
      </w:r>
      <w:r w:rsidRPr="00EE0340">
        <w:rPr>
          <w:rFonts w:eastAsia="Calibri" w:cstheme="minorHAnsi"/>
        </w:rPr>
        <w:t xml:space="preserve"> OP9M2 cells or 5*10</w:t>
      </w:r>
      <w:r w:rsidRPr="00EE0340">
        <w:rPr>
          <w:rFonts w:eastAsia="Calibri" w:cstheme="minorHAnsi"/>
          <w:vertAlign w:val="superscript"/>
        </w:rPr>
        <w:t>4</w:t>
      </w:r>
      <w:r w:rsidRPr="00EE0340">
        <w:rPr>
          <w:rFonts w:eastAsia="Calibri" w:cstheme="minorHAnsi"/>
        </w:rPr>
        <w:t xml:space="preserve"> MS5 cells were plated in 24-well tissue culture treated plate (Greiner Bio-One</w:t>
      </w:r>
      <w:r w:rsidR="002C6EFF" w:rsidRPr="00EE0340">
        <w:rPr>
          <w:rFonts w:eastAsia="Calibri" w:cstheme="minorHAnsi"/>
        </w:rPr>
        <w:t xml:space="preserve"> Cat# </w:t>
      </w:r>
      <w:r w:rsidR="00DE1660" w:rsidRPr="00EE0340">
        <w:rPr>
          <w:rFonts w:eastAsia="Calibri" w:cstheme="minorHAnsi"/>
        </w:rPr>
        <w:t>662160</w:t>
      </w:r>
      <w:r w:rsidRPr="00EE0340">
        <w:rPr>
          <w:rFonts w:eastAsia="Calibri" w:cstheme="minorHAnsi"/>
        </w:rPr>
        <w:t xml:space="preserve">) and incubated in the stroma medium (see above) for 24 hours. Following the incubation, medium was aspirated, and CD34+ enriched cells were plated on MSCs in StemSpan SFEM II serum-free medium supplemented with cytokines. Cells were maintained in a humidified incubator at 37 °C and CO2 (5%). </w:t>
      </w:r>
    </w:p>
    <w:p w14:paraId="0C58FB85" w14:textId="77777777" w:rsidR="00203F23" w:rsidRPr="00EE0340" w:rsidRDefault="00203F23" w:rsidP="0049254B">
      <w:pPr>
        <w:spacing w:line="480" w:lineRule="auto"/>
        <w:jc w:val="both"/>
        <w:rPr>
          <w:rFonts w:cstheme="minorHAnsi"/>
          <w:b/>
          <w:bCs/>
        </w:rPr>
      </w:pPr>
      <w:r w:rsidRPr="00EE0340">
        <w:rPr>
          <w:rFonts w:cstheme="minorHAnsi"/>
          <w:b/>
          <w:bCs/>
        </w:rPr>
        <w:t xml:space="preserve">Annexin V apoptosis assay </w:t>
      </w:r>
    </w:p>
    <w:p w14:paraId="4CB5D031" w14:textId="77777777" w:rsidR="00203F23" w:rsidRPr="00EE0340" w:rsidRDefault="00203F23" w:rsidP="0049254B">
      <w:pPr>
        <w:spacing w:line="480" w:lineRule="auto"/>
        <w:jc w:val="both"/>
        <w:rPr>
          <w:rFonts w:cstheme="minorHAnsi"/>
        </w:rPr>
      </w:pPr>
      <w:r w:rsidRPr="00EE0340">
        <w:rPr>
          <w:rFonts w:cstheme="minorHAnsi"/>
        </w:rPr>
        <w:t>To induce apoptosis, CD34+ cells cultured in different conditions were irradiated at 3 Gy using a Biobeam gamma-irradiator (Gamma service) or alternatively allowed to cycle for 72 hours before irradiation. For treatment with Etoposide, CD34+ cells were cultured for 24 hours and then treated with Etoposide (1µM) for an additional 48 hours. CD34+ cells were then washed and incubated for 30 mins with antibodies for surface markers – CD45RA BV605 (1:200), CD38 PE/Cy7 (1:100), and CD34 PE (1:100). CD34+ cells were then washed and stained with Annexin V- AF488 (Invitrogen) and Sytox blue dead cell stain (Invitrogen). Cells were analysed with Cytoflex flow cytometer (Beckman Coulter).</w:t>
      </w:r>
      <w:bookmarkEnd w:id="1"/>
    </w:p>
    <w:p w14:paraId="7600CE73" w14:textId="77777777" w:rsidR="00203F23" w:rsidRPr="00EE0340" w:rsidRDefault="00203F23" w:rsidP="0049254B">
      <w:pPr>
        <w:spacing w:after="160" w:line="480" w:lineRule="auto"/>
        <w:jc w:val="both"/>
        <w:rPr>
          <w:rFonts w:eastAsia="Calibri" w:cstheme="minorHAnsi"/>
          <w:lang w:val="en-US" w:bidi="he-IL"/>
        </w:rPr>
      </w:pPr>
      <w:r w:rsidRPr="00EE0340">
        <w:rPr>
          <w:rFonts w:eastAsia="Calibri" w:cstheme="minorHAnsi"/>
          <w:b/>
          <w:bCs/>
          <w:lang w:val="en-US" w:bidi="he-IL"/>
        </w:rPr>
        <w:lastRenderedPageBreak/>
        <w:t xml:space="preserve">Intracellular flow cytometry </w:t>
      </w:r>
    </w:p>
    <w:p w14:paraId="17FD0C23" w14:textId="52E8A5F9" w:rsidR="00203F23" w:rsidRPr="00EE0340" w:rsidRDefault="00203F23" w:rsidP="0049254B">
      <w:pPr>
        <w:spacing w:after="160" w:line="480" w:lineRule="auto"/>
        <w:jc w:val="both"/>
        <w:rPr>
          <w:rFonts w:eastAsia="Calibri" w:cstheme="minorHAnsi"/>
          <w:lang w:val="en-US" w:bidi="he-IL"/>
        </w:rPr>
      </w:pPr>
      <w:r w:rsidRPr="00EE0340">
        <w:rPr>
          <w:rFonts w:eastAsia="Calibri" w:cstheme="minorHAnsi"/>
          <w:lang w:val="en-US" w:bidi="he-IL"/>
        </w:rPr>
        <w:t>CD34+ cells were cultured in different conditions as indicated and stained with antibodies for HSPC surface markers - CD45RA BV605, CD38 PE/Cy7 and CD34 PE. Zombie NIR dye (Biolegend) was used to label dead cells. Cells were then fixed with 1.6% Paraformaldehyde and permeabilized in 90% ethanol followed by labelling with AF488-conjugated intracellular antibodies for BCL-2</w:t>
      </w:r>
      <w:r w:rsidR="00DE1660" w:rsidRPr="00EE0340">
        <w:rPr>
          <w:rFonts w:eastAsia="Calibri" w:cstheme="minorHAnsi"/>
          <w:lang w:val="en-US" w:bidi="he-IL"/>
        </w:rPr>
        <w:t>,</w:t>
      </w:r>
      <w:r w:rsidRPr="00EE0340">
        <w:rPr>
          <w:rFonts w:eastAsia="Calibri" w:cstheme="minorHAnsi"/>
          <w:lang w:val="en-US" w:bidi="he-IL"/>
        </w:rPr>
        <w:t xml:space="preserve"> BCL-XL, MCL-1, P-CREB-Ser133 and Survivin. </w:t>
      </w:r>
    </w:p>
    <w:p w14:paraId="61C76604" w14:textId="77777777" w:rsidR="00203F23" w:rsidRPr="00EE0340" w:rsidRDefault="00203F23" w:rsidP="0049254B">
      <w:pPr>
        <w:spacing w:after="160" w:line="480" w:lineRule="auto"/>
        <w:jc w:val="both"/>
        <w:rPr>
          <w:rFonts w:eastAsia="Calibri" w:cstheme="minorHAnsi"/>
          <w:b/>
          <w:bCs/>
          <w:lang w:val="en-US" w:bidi="he-IL"/>
        </w:rPr>
      </w:pPr>
      <w:r w:rsidRPr="00EE0340">
        <w:rPr>
          <w:rFonts w:eastAsia="Calibri" w:cstheme="minorHAnsi"/>
          <w:b/>
          <w:bCs/>
          <w:lang w:val="en-US" w:bidi="he-IL"/>
        </w:rPr>
        <w:t>Mitochondrial mass &amp; Mitochondrial Membrane Potential analysis</w:t>
      </w:r>
    </w:p>
    <w:p w14:paraId="39A19659" w14:textId="4FEF848D" w:rsidR="00203F23" w:rsidRPr="00EE0340" w:rsidRDefault="00203F23" w:rsidP="0049254B">
      <w:pPr>
        <w:spacing w:after="160" w:line="480" w:lineRule="auto"/>
        <w:jc w:val="both"/>
        <w:rPr>
          <w:rFonts w:eastAsia="Calibri" w:cstheme="minorHAnsi"/>
          <w:b/>
          <w:bCs/>
          <w:lang w:val="en-US" w:bidi="he-IL"/>
        </w:rPr>
      </w:pPr>
      <w:r w:rsidRPr="00EE0340">
        <w:rPr>
          <w:rFonts w:eastAsia="Calibri" w:cstheme="minorHAnsi"/>
          <w:lang w:val="en-US" w:bidi="he-IL"/>
        </w:rPr>
        <w:t>CD34+ cells cultured in different conditions were treated with Verapamil (50</w:t>
      </w:r>
      <w:r w:rsidRPr="00EE0340">
        <w:rPr>
          <w:rFonts w:eastAsia="Calibri" w:cstheme="minorHAnsi"/>
          <w:lang w:val="en-US" w:bidi="he-IL"/>
        </w:rPr>
        <w:sym w:font="Symbol" w:char="F06D"/>
      </w:r>
      <w:r w:rsidRPr="00EE0340">
        <w:rPr>
          <w:rFonts w:eastAsia="Calibri" w:cstheme="minorHAnsi"/>
          <w:lang w:val="en-US" w:bidi="he-IL"/>
        </w:rPr>
        <w:t>M, Sigma</w:t>
      </w:r>
      <w:r w:rsidR="003C0F46" w:rsidRPr="00EE0340">
        <w:rPr>
          <w:rFonts w:eastAsia="Calibri" w:cstheme="minorHAnsi"/>
          <w:lang w:val="en-US" w:bidi="he-IL"/>
        </w:rPr>
        <w:t xml:space="preserve"> Cat</w:t>
      </w:r>
      <w:proofErr w:type="gramStart"/>
      <w:r w:rsidR="003C0F46" w:rsidRPr="00EE0340">
        <w:rPr>
          <w:rFonts w:eastAsia="Calibri" w:cstheme="minorHAnsi"/>
          <w:lang w:val="en-US" w:bidi="he-IL"/>
        </w:rPr>
        <w:t>#  V</w:t>
      </w:r>
      <w:proofErr w:type="gramEnd"/>
      <w:r w:rsidR="003C0F46" w:rsidRPr="00EE0340">
        <w:rPr>
          <w:rFonts w:eastAsia="Calibri" w:cstheme="minorHAnsi"/>
          <w:lang w:val="en-US" w:bidi="he-IL"/>
        </w:rPr>
        <w:t>4629</w:t>
      </w:r>
      <w:r w:rsidRPr="00EE0340">
        <w:rPr>
          <w:rFonts w:eastAsia="Calibri" w:cstheme="minorHAnsi"/>
          <w:lang w:val="en-US" w:bidi="he-IL"/>
        </w:rPr>
        <w:t xml:space="preserve">) for 30 mins. MitoTracker Green FM (400nM, Cell Signaling Technology) or TMRE (200nM, Abcam) were added for additional 30 mins. Cells were washed twice, stained with cell surface markers and analyzed by flow cytometry.  </w:t>
      </w:r>
    </w:p>
    <w:p w14:paraId="0711A795" w14:textId="77777777" w:rsidR="00203F23" w:rsidRPr="00EE0340" w:rsidRDefault="00203F23" w:rsidP="0049254B">
      <w:pPr>
        <w:spacing w:after="160" w:line="480" w:lineRule="auto"/>
        <w:jc w:val="both"/>
        <w:rPr>
          <w:rFonts w:eastAsia="Calibri" w:cstheme="minorHAnsi"/>
          <w:lang w:val="en-US" w:bidi="he-IL"/>
        </w:rPr>
      </w:pPr>
      <w:r w:rsidRPr="00EE0340">
        <w:rPr>
          <w:rFonts w:eastAsia="Calibri" w:cstheme="minorHAnsi"/>
          <w:b/>
          <w:bCs/>
          <w:lang w:val="en-US" w:bidi="he-IL"/>
        </w:rPr>
        <w:t xml:space="preserve">NOD/SCID repopulating cell assay </w:t>
      </w:r>
    </w:p>
    <w:p w14:paraId="26B9EA66" w14:textId="10F12D2C" w:rsidR="00550A61" w:rsidRPr="00EE0340" w:rsidRDefault="00550A61" w:rsidP="00550A61">
      <w:pPr>
        <w:spacing w:after="160" w:line="480" w:lineRule="auto"/>
        <w:jc w:val="both"/>
        <w:rPr>
          <w:rFonts w:eastAsia="Calibri" w:cstheme="minorHAnsi"/>
          <w:lang w:val="en-US" w:bidi="he-IL"/>
        </w:rPr>
      </w:pPr>
      <w:r w:rsidRPr="00EE0340">
        <w:rPr>
          <w:rFonts w:eastAsia="Calibri" w:cstheme="minorHAnsi"/>
          <w:lang w:val="en-US" w:bidi="he-IL"/>
        </w:rPr>
        <w:t xml:space="preserve">All animal experimental protocols were approved by the Institutional Animal Care and Use Committee of Tel-Aviv University, Israel (TAU-MD-IL-2307-152-5). </w:t>
      </w:r>
      <w:r w:rsidR="00467D6D" w:rsidRPr="00EE0340">
        <w:rPr>
          <w:rFonts w:eastAsia="Calibri" w:cstheme="minorHAnsi"/>
          <w:lang w:bidi="he-IL"/>
        </w:rPr>
        <w:t>Mice were housed within the Tel Aviv University Specific Pathogen Free (SPF) facility in individually ventilated cages with four to five animals of the same sex per cage. All mice were maintained on a regular diurnal lighting cycle (12:12 light: dark) with ad libitum access to food and water.</w:t>
      </w:r>
    </w:p>
    <w:p w14:paraId="4B56AB09" w14:textId="6C7209E8" w:rsidR="00203F23" w:rsidRPr="00EE0340" w:rsidRDefault="00550A61" w:rsidP="00550A61">
      <w:pPr>
        <w:spacing w:after="160" w:line="480" w:lineRule="auto"/>
        <w:jc w:val="both"/>
        <w:rPr>
          <w:rFonts w:eastAsia="Calibri" w:cstheme="minorHAnsi"/>
          <w:lang w:val="en-US" w:bidi="he-IL"/>
        </w:rPr>
      </w:pPr>
      <w:r w:rsidRPr="00EE0340">
        <w:rPr>
          <w:rFonts w:eastAsia="Calibri" w:cstheme="minorHAnsi"/>
          <w:lang w:val="en-US" w:bidi="he-IL"/>
        </w:rPr>
        <w:t xml:space="preserve">For primary transplantation, 100,000 human CD34+ cells (treated as indicated, irradiated at 3 Gy, and cultured for 24 h) were transplanted into female NSGW41 mice (8–12 weeks old). Mice were anesthetized with isoflurane (3% in 2.5% oxygen via a calibrated vaporizer), and a drop of ophthalmic lidocaine was applied to the eye immediately before injection. Cells were delivered intravenously into the retrobulbar plexus while animals remained under continuous </w:t>
      </w:r>
      <w:r w:rsidRPr="00EE0340">
        <w:rPr>
          <w:rFonts w:eastAsia="Calibri" w:cstheme="minorHAnsi"/>
          <w:lang w:val="en-US" w:bidi="he-IL"/>
        </w:rPr>
        <w:lastRenderedPageBreak/>
        <w:t>isoflurane anesthesia via a nose cone.</w:t>
      </w:r>
      <w:r w:rsidR="00467D6D" w:rsidRPr="00EE0340">
        <w:rPr>
          <w:rFonts w:ascii="Segoe UI" w:hAnsi="Segoe UI" w:cs="Segoe UI"/>
          <w:color w:val="222222"/>
          <w:sz w:val="27"/>
          <w:szCs w:val="27"/>
          <w:shd w:val="clear" w:color="auto" w:fill="FFFFFF"/>
        </w:rPr>
        <w:t xml:space="preserve"> </w:t>
      </w:r>
      <w:r w:rsidR="00467D6D" w:rsidRPr="00EE0340">
        <w:rPr>
          <w:rFonts w:eastAsia="Calibri" w:cstheme="minorHAnsi"/>
          <w:lang w:bidi="he-IL"/>
        </w:rPr>
        <w:t> To ensure humane endpoints, mice were monitored daily for health parameters according to the protocol approved by the Institutional Animal Care and Use Committee of Tel-Aviv University (TAU-MD-IL−2307−152–5). Changes in any of the following parameters were defined as a human endpoint: body weight loss of 20% or more between the measurements (monitored by laboratory balances), lethargy, ruffled fur, hind limb paralysis, hunched posture and labored breathing (all monitored by visual inspection). Upon meeting the humane endpoint criteria or twelve to fifteen weeks after the injection, mice were euthanized by CO2 inhalation using a fill rate of 50% of the chamber volume/minute. CO2 flow was maintained for at least 2 min after breathing stops to ensure death. Euthanasia was confirmed by the absence of breathing and reflexes. No secondary method of euthanasia was performed.</w:t>
      </w:r>
      <w:r w:rsidRPr="00EE0340">
        <w:rPr>
          <w:rFonts w:eastAsia="Calibri" w:cstheme="minorHAnsi"/>
          <w:lang w:val="en-US" w:bidi="he-IL"/>
        </w:rPr>
        <w:t xml:space="preserve"> </w:t>
      </w:r>
      <w:r w:rsidR="00203F23" w:rsidRPr="00EE0340">
        <w:rPr>
          <w:rFonts w:eastAsia="Calibri" w:cstheme="minorHAnsi"/>
          <w:lang w:val="en-US" w:bidi="he-IL"/>
        </w:rPr>
        <w:t>B</w:t>
      </w:r>
      <w:r w:rsidR="00467D6D" w:rsidRPr="00EE0340">
        <w:rPr>
          <w:rFonts w:eastAsia="Calibri" w:cstheme="minorHAnsi"/>
          <w:lang w:val="en-US" w:bidi="he-IL"/>
        </w:rPr>
        <w:t xml:space="preserve">one </w:t>
      </w:r>
      <w:r w:rsidR="00203F23" w:rsidRPr="00EE0340">
        <w:rPr>
          <w:rFonts w:eastAsia="Calibri" w:cstheme="minorHAnsi"/>
          <w:lang w:val="en-US" w:bidi="he-IL"/>
        </w:rPr>
        <w:t>M</w:t>
      </w:r>
      <w:r w:rsidR="00467D6D" w:rsidRPr="00EE0340">
        <w:rPr>
          <w:rFonts w:eastAsia="Calibri" w:cstheme="minorHAnsi"/>
          <w:lang w:val="en-US" w:bidi="he-IL"/>
        </w:rPr>
        <w:t>arrow</w:t>
      </w:r>
      <w:r w:rsidR="00CC3A32" w:rsidRPr="00EE0340">
        <w:rPr>
          <w:rFonts w:eastAsia="Calibri" w:cstheme="minorHAnsi"/>
          <w:lang w:val="en-US" w:bidi="he-IL"/>
        </w:rPr>
        <w:t>, Spleen</w:t>
      </w:r>
      <w:r w:rsidR="00467D6D" w:rsidRPr="00EE0340">
        <w:rPr>
          <w:rFonts w:eastAsia="Calibri" w:cstheme="minorHAnsi"/>
          <w:lang w:val="en-US" w:bidi="he-IL"/>
        </w:rPr>
        <w:t xml:space="preserve"> and Peripheral Blood</w:t>
      </w:r>
      <w:r w:rsidR="00203F23" w:rsidRPr="00EE0340">
        <w:rPr>
          <w:rFonts w:eastAsia="Calibri" w:cstheme="minorHAnsi"/>
          <w:lang w:val="en-US" w:bidi="he-IL"/>
        </w:rPr>
        <w:t xml:space="preserve"> engraftment was analyzed by flow cytometry using hCD45, hCD33</w:t>
      </w:r>
      <w:r w:rsidR="00CA597A" w:rsidRPr="00EE0340">
        <w:rPr>
          <w:rFonts w:eastAsia="Calibri" w:cstheme="minorHAnsi"/>
          <w:lang w:val="en-US" w:bidi="he-IL"/>
        </w:rPr>
        <w:t>,</w:t>
      </w:r>
      <w:r w:rsidR="00203F23" w:rsidRPr="00EE0340">
        <w:rPr>
          <w:rFonts w:eastAsia="Calibri" w:cstheme="minorHAnsi"/>
          <w:lang w:val="en-US" w:bidi="he-IL"/>
        </w:rPr>
        <w:t xml:space="preserve"> hCD19 and hCD3</w:t>
      </w:r>
      <w:r w:rsidR="00CA597A" w:rsidRPr="00EE0340">
        <w:rPr>
          <w:rFonts w:eastAsia="Calibri" w:cstheme="minorHAnsi"/>
          <w:lang w:val="en-US" w:bidi="he-IL"/>
        </w:rPr>
        <w:t xml:space="preserve"> </w:t>
      </w:r>
      <w:r w:rsidR="00203F23" w:rsidRPr="00EE0340">
        <w:rPr>
          <w:rFonts w:eastAsia="Calibri" w:cstheme="minorHAnsi"/>
          <w:lang w:val="en-US" w:bidi="he-IL"/>
        </w:rPr>
        <w:t xml:space="preserve">antibodies. </w:t>
      </w:r>
    </w:p>
    <w:p w14:paraId="56EC630B" w14:textId="68D8B1C2" w:rsidR="00203F23" w:rsidRPr="00EE0340" w:rsidRDefault="00203F23" w:rsidP="0049254B">
      <w:pPr>
        <w:spacing w:after="160" w:line="480" w:lineRule="auto"/>
        <w:jc w:val="both"/>
        <w:rPr>
          <w:rFonts w:eastAsia="Calibri" w:cstheme="minorHAnsi"/>
          <w:lang w:val="en-US" w:bidi="he-IL"/>
        </w:rPr>
      </w:pPr>
      <w:r w:rsidRPr="00EE0340">
        <w:rPr>
          <w:rFonts w:eastAsia="Calibri" w:cstheme="minorHAnsi"/>
          <w:lang w:val="en-US" w:bidi="he-IL"/>
        </w:rPr>
        <w:t xml:space="preserve">For secondary transplantation, </w:t>
      </w:r>
      <w:r w:rsidR="00CC3A32" w:rsidRPr="00EE0340">
        <w:rPr>
          <w:rFonts w:eastAsia="Calibri" w:cstheme="minorHAnsi"/>
          <w:lang w:val="en-US" w:bidi="he-IL"/>
        </w:rPr>
        <w:t>90% of</w:t>
      </w:r>
      <w:r w:rsidRPr="00EE0340">
        <w:rPr>
          <w:rFonts w:eastAsia="Calibri" w:cstheme="minorHAnsi"/>
          <w:lang w:val="en-US" w:bidi="he-IL"/>
        </w:rPr>
        <w:t xml:space="preserve"> whole bone marrow of primary mice</w:t>
      </w:r>
      <w:r w:rsidR="00BF4FBC" w:rsidRPr="00EE0340">
        <w:rPr>
          <w:rFonts w:eastAsia="Calibri" w:cstheme="minorHAnsi"/>
          <w:lang w:val="en-US" w:bidi="he-IL"/>
        </w:rPr>
        <w:t xml:space="preserve"> (&gt; 1% hCD45 chimerism)</w:t>
      </w:r>
      <w:r w:rsidRPr="00EE0340">
        <w:rPr>
          <w:rFonts w:eastAsia="Calibri" w:cstheme="minorHAnsi"/>
          <w:lang w:val="en-US" w:bidi="he-IL"/>
        </w:rPr>
        <w:t xml:space="preserve"> was reinjected into </w:t>
      </w:r>
      <w:r w:rsidR="00BF4FBC" w:rsidRPr="00EE0340">
        <w:rPr>
          <w:rFonts w:eastAsia="Calibri" w:cstheme="minorHAnsi"/>
          <w:lang w:val="en-US" w:bidi="he-IL"/>
        </w:rPr>
        <w:t xml:space="preserve">secondary </w:t>
      </w:r>
      <w:r w:rsidRPr="00EE0340">
        <w:rPr>
          <w:rFonts w:eastAsia="Calibri" w:cstheme="minorHAnsi"/>
          <w:lang w:val="en-US" w:bidi="he-IL"/>
        </w:rPr>
        <w:t>NSGW41 mice intravenously</w:t>
      </w:r>
      <w:r w:rsidR="00CA597A" w:rsidRPr="00EE0340">
        <w:rPr>
          <w:rFonts w:eastAsia="Calibri" w:cstheme="minorHAnsi"/>
          <w:lang w:val="en-US" w:bidi="he-IL"/>
        </w:rPr>
        <w:t xml:space="preserve"> into the retrobulbar plexus</w:t>
      </w:r>
      <w:r w:rsidRPr="00EE0340">
        <w:rPr>
          <w:rFonts w:eastAsia="Calibri" w:cstheme="minorHAnsi"/>
          <w:lang w:val="en-US" w:bidi="he-IL"/>
        </w:rPr>
        <w:t xml:space="preserve"> and the BM engraftment was analyzed by immunostaining and flow cytometry after additional 12 weeks.</w:t>
      </w:r>
    </w:p>
    <w:p w14:paraId="45A0709E" w14:textId="77777777" w:rsidR="00203F23" w:rsidRPr="00EE0340" w:rsidRDefault="00203F23" w:rsidP="006E0910">
      <w:pPr>
        <w:spacing w:after="160" w:line="480" w:lineRule="auto"/>
        <w:jc w:val="both"/>
        <w:rPr>
          <w:rFonts w:eastAsia="Calibri" w:cstheme="minorHAnsi"/>
          <w:lang w:bidi="he-IL"/>
        </w:rPr>
      </w:pPr>
      <w:r w:rsidRPr="00EE0340">
        <w:rPr>
          <w:rFonts w:eastAsia="Calibri" w:cstheme="minorHAnsi"/>
          <w:b/>
          <w:bCs/>
          <w:lang w:bidi="he-IL"/>
        </w:rPr>
        <w:t>In vivo protection assay in engrafted human hematopoietic cells</w:t>
      </w:r>
    </w:p>
    <w:p w14:paraId="2DAE56A2" w14:textId="30218F19" w:rsidR="00467D6D" w:rsidRPr="00EE0340" w:rsidRDefault="00203F23" w:rsidP="00467D6D">
      <w:pPr>
        <w:spacing w:after="160" w:line="480" w:lineRule="auto"/>
        <w:jc w:val="both"/>
        <w:rPr>
          <w:rFonts w:eastAsia="Calibri" w:cstheme="minorHAnsi"/>
          <w:lang w:bidi="he-IL"/>
        </w:rPr>
      </w:pPr>
      <w:r w:rsidRPr="00EE0340">
        <w:rPr>
          <w:rFonts w:eastAsia="Calibri" w:cstheme="minorHAnsi"/>
          <w:lang w:bidi="he-IL"/>
        </w:rPr>
        <w:t xml:space="preserve">NSG mice (8–12 weeks) were busulfan-conditioned (25 mg/kg, </w:t>
      </w:r>
      <w:proofErr w:type="spellStart"/>
      <w:r w:rsidRPr="00EE0340">
        <w:rPr>
          <w:rFonts w:eastAsia="Calibri" w:cstheme="minorHAnsi"/>
          <w:lang w:bidi="he-IL"/>
        </w:rPr>
        <w:t>i.p.</w:t>
      </w:r>
      <w:proofErr w:type="spellEnd"/>
      <w:r w:rsidRPr="00EE0340">
        <w:rPr>
          <w:rFonts w:eastAsia="Calibri" w:cstheme="minorHAnsi"/>
          <w:lang w:bidi="he-IL"/>
        </w:rPr>
        <w:t>) 24 h before retro-orbital transplantation of 50,000 human cord blood CD34+ cells. After 12 weeks, engrafted mice (based on peripheral blood human CD45</w:t>
      </w:r>
      <w:r w:rsidR="00467D6D" w:rsidRPr="00EE0340">
        <w:rPr>
          <w:rFonts w:eastAsia="Calibri" w:cstheme="minorHAnsi"/>
          <w:lang w:bidi="he-IL"/>
        </w:rPr>
        <w:t>+</w:t>
      </w:r>
      <w:r w:rsidRPr="00EE0340">
        <w:rPr>
          <w:rFonts w:eastAsia="Calibri" w:cstheme="minorHAnsi"/>
          <w:lang w:bidi="he-IL"/>
        </w:rPr>
        <w:t xml:space="preserve"> chimerism) were randomized into three groups: 1) DMSO vehicle, 2) DMSO + 3 Gy total body irradiation (TBI), or 3) Forskolin (10 mg/kg) + IBMX (2 mg/kg) </w:t>
      </w:r>
      <w:proofErr w:type="spellStart"/>
      <w:r w:rsidRPr="00EE0340">
        <w:rPr>
          <w:rFonts w:eastAsia="Calibri" w:cstheme="minorHAnsi"/>
          <w:lang w:bidi="he-IL"/>
        </w:rPr>
        <w:t>i.p.</w:t>
      </w:r>
      <w:proofErr w:type="spellEnd"/>
      <w:r w:rsidRPr="00EE0340">
        <w:rPr>
          <w:rFonts w:eastAsia="Calibri" w:cstheme="minorHAnsi"/>
          <w:lang w:bidi="he-IL"/>
        </w:rPr>
        <w:t xml:space="preserve"> 1 h before TBI. Bone marrow was collected 24 h later for flow cytometric analysis </w:t>
      </w:r>
      <w:r w:rsidRPr="00EE0340">
        <w:rPr>
          <w:rFonts w:eastAsia="Calibri" w:cstheme="minorHAnsi"/>
          <w:lang w:bidi="he-IL"/>
        </w:rPr>
        <w:lastRenderedPageBreak/>
        <w:t>of human CD45</w:t>
      </w:r>
      <w:r w:rsidR="00467D6D" w:rsidRPr="00EE0340">
        <w:rPr>
          <w:rFonts w:eastAsia="Calibri" w:cstheme="minorHAnsi"/>
          <w:lang w:bidi="he-IL"/>
        </w:rPr>
        <w:t>+</w:t>
      </w:r>
      <w:r w:rsidRPr="00EE0340">
        <w:rPr>
          <w:rFonts w:eastAsia="Calibri" w:cstheme="minorHAnsi"/>
          <w:lang w:bidi="he-IL"/>
        </w:rPr>
        <w:t xml:space="preserve"> chimerism and Annexin V/Sytox Blue staining to quantify apoptosis.</w:t>
      </w:r>
      <w:r w:rsidR="00467D6D" w:rsidRPr="00EE0340">
        <w:rPr>
          <w:rFonts w:eastAsia="Calibri" w:cstheme="minorHAnsi"/>
          <w:lang w:bidi="he-IL"/>
        </w:rPr>
        <w:t xml:space="preserve"> Bone marrow fluid was collected to quantify human IFNγ and TNFα levels by ELISA</w:t>
      </w:r>
      <w:r w:rsidR="003C0F46" w:rsidRPr="00EE0340">
        <w:rPr>
          <w:rFonts w:eastAsia="Calibri" w:cstheme="minorHAnsi"/>
          <w:lang w:val="en-US" w:bidi="he-IL"/>
        </w:rPr>
        <w:t>.</w:t>
      </w:r>
    </w:p>
    <w:p w14:paraId="143E45E4" w14:textId="474877D1" w:rsidR="00467D6D" w:rsidRPr="00EE0340" w:rsidRDefault="00467D6D" w:rsidP="00467D6D">
      <w:pPr>
        <w:spacing w:after="160" w:line="480" w:lineRule="auto"/>
        <w:jc w:val="both"/>
        <w:rPr>
          <w:rFonts w:eastAsia="Calibri" w:cstheme="minorHAnsi"/>
          <w:lang w:bidi="he-IL"/>
        </w:rPr>
      </w:pPr>
      <w:r w:rsidRPr="00EE0340">
        <w:rPr>
          <w:rFonts w:eastAsia="Calibri" w:cstheme="minorHAnsi"/>
          <w:lang w:bidi="he-IL"/>
        </w:rPr>
        <w:t>To evaluate long-term functional protection, ~90% of the total bone marrow from each primary mouse was transplanted into secondary NSG recipients, and human hematopoietic chimerism was analysed 12 weeks later.</w:t>
      </w:r>
    </w:p>
    <w:p w14:paraId="0F6383FA" w14:textId="77777777" w:rsidR="00203F23" w:rsidRPr="00EE0340" w:rsidRDefault="00203F23" w:rsidP="0049254B">
      <w:pPr>
        <w:spacing w:after="160" w:line="480" w:lineRule="auto"/>
        <w:jc w:val="both"/>
        <w:rPr>
          <w:rFonts w:eastAsia="Calibri" w:cstheme="minorHAnsi"/>
          <w:b/>
          <w:bCs/>
          <w:iCs/>
          <w:lang w:val="en-CA" w:bidi="he-IL"/>
        </w:rPr>
      </w:pPr>
      <w:bookmarkStart w:id="3" w:name="_Toc73359127"/>
      <w:r w:rsidRPr="00EE0340">
        <w:rPr>
          <w:rFonts w:eastAsia="Calibri" w:cstheme="minorHAnsi"/>
          <w:b/>
          <w:bCs/>
          <w:iCs/>
          <w:lang w:val="en-CA" w:bidi="he-IL"/>
        </w:rPr>
        <w:t xml:space="preserve">In Vitro Limiting dilution analysis </w:t>
      </w:r>
      <w:bookmarkEnd w:id="3"/>
    </w:p>
    <w:p w14:paraId="77CABCF2" w14:textId="44924337" w:rsidR="00203F23" w:rsidRPr="00EE0340" w:rsidRDefault="00203F23" w:rsidP="0049254B">
      <w:pPr>
        <w:spacing w:after="160" w:line="480" w:lineRule="auto"/>
        <w:jc w:val="both"/>
        <w:rPr>
          <w:rFonts w:eastAsia="Calibri" w:cstheme="minorHAnsi"/>
          <w:b/>
          <w:bCs/>
          <w:iCs/>
          <w:lang w:val="en-CA" w:bidi="he-IL"/>
        </w:rPr>
      </w:pPr>
      <w:r w:rsidRPr="00EE0340">
        <w:rPr>
          <w:rFonts w:eastAsia="Calibri" w:cstheme="minorHAnsi"/>
          <w:lang w:val="en-CA" w:bidi="he-IL"/>
        </w:rPr>
        <w:t>96 well plates (Greiner Bio-One) were covered with 0.1% gelatin solution (Biological Industries) for 20 minutes, and dried open in a sterile hood for 120 minutes. Then, coated wells were seeded with MS5 stromal cells (7000 cells/ well) in 100μl of H5100 medium (STEM CELL technologies) supplemented with 1μM hydrocortisone (Sigma) + 1% P/S. MS-5 cells were irradiated (20 Gy) after seeding into 96 well plates. Twenty-four hours later 10/50/500 non irradiated CD34</w:t>
      </w:r>
      <w:r w:rsidRPr="00EE0340">
        <w:rPr>
          <w:rFonts w:eastAsia="Calibri" w:cstheme="minorHAnsi"/>
          <w:vertAlign w:val="superscript"/>
          <w:lang w:val="en-CA" w:bidi="he-IL"/>
        </w:rPr>
        <w:t>+</w:t>
      </w:r>
      <w:r w:rsidRPr="00EE0340">
        <w:rPr>
          <w:rFonts w:eastAsia="Calibri" w:cstheme="minorHAnsi"/>
          <w:lang w:val="en-CA" w:bidi="he-IL"/>
        </w:rPr>
        <w:t xml:space="preserve"> cells or 1,500/7,500/15,000 irradiated (3Gy) CD34</w:t>
      </w:r>
      <w:r w:rsidRPr="00EE0340">
        <w:rPr>
          <w:rFonts w:eastAsia="Calibri" w:cstheme="minorHAnsi"/>
          <w:vertAlign w:val="superscript"/>
          <w:lang w:val="en-CA" w:bidi="he-IL"/>
        </w:rPr>
        <w:t>+</w:t>
      </w:r>
      <w:r w:rsidRPr="00EE0340">
        <w:rPr>
          <w:rFonts w:eastAsia="Calibri" w:cstheme="minorHAnsi"/>
          <w:lang w:val="en-CA" w:bidi="he-IL"/>
        </w:rPr>
        <w:t xml:space="preserve"> cells per well were plated in 100 μl MyeloCult H5100 medium (STEM CELL technologies). Once a week half medium replacement was done. After 5 weeks the H5100 medium was replaced with Methocult H4434 Classic methylcellulose medium (100µl/ well, STEM CELL technologies). Wells that contained at least one colony after 10-14 days were considered positive. </w:t>
      </w:r>
    </w:p>
    <w:p w14:paraId="37BF99C8" w14:textId="77777777" w:rsidR="00203F23" w:rsidRPr="00EE0340" w:rsidRDefault="00203F23" w:rsidP="0049254B">
      <w:pPr>
        <w:spacing w:after="160" w:line="480" w:lineRule="auto"/>
        <w:jc w:val="both"/>
        <w:rPr>
          <w:rFonts w:eastAsia="Calibri" w:cstheme="minorHAnsi"/>
          <w:lang w:val="en-US" w:bidi="he-IL"/>
        </w:rPr>
      </w:pPr>
      <w:r w:rsidRPr="00EE0340">
        <w:rPr>
          <w:rFonts w:eastAsia="Calibri" w:cstheme="minorHAnsi"/>
          <w:b/>
          <w:bCs/>
          <w:lang w:val="en-US" w:bidi="he-IL"/>
        </w:rPr>
        <w:t xml:space="preserve">RNA sequencing </w:t>
      </w:r>
    </w:p>
    <w:p w14:paraId="4C7B6FE3" w14:textId="1E8E0C7C" w:rsidR="00203F23" w:rsidRPr="00EE0340" w:rsidRDefault="00203F23" w:rsidP="0049254B">
      <w:pPr>
        <w:spacing w:after="160" w:line="480" w:lineRule="auto"/>
        <w:jc w:val="both"/>
        <w:rPr>
          <w:rFonts w:eastAsia="Calibri" w:cstheme="minorHAnsi"/>
          <w:lang w:val="en-US" w:bidi="he-IL"/>
        </w:rPr>
      </w:pPr>
      <w:r w:rsidRPr="00EE0340">
        <w:rPr>
          <w:rFonts w:eastAsia="Calibri" w:cstheme="minorHAnsi"/>
          <w:lang w:val="en-US" w:bidi="he-IL"/>
        </w:rPr>
        <w:t xml:space="preserve">CD34+ cells were cultured in </w:t>
      </w:r>
      <w:r w:rsidRPr="00EE0340">
        <w:rPr>
          <w:rFonts w:cstheme="minorHAnsi"/>
        </w:rPr>
        <w:t>SFT medium or on MSCs for 24 hours,</w:t>
      </w:r>
      <w:r w:rsidRPr="00EE0340">
        <w:rPr>
          <w:rFonts w:eastAsia="Calibri" w:cstheme="minorHAnsi"/>
          <w:lang w:val="en-US" w:bidi="he-IL"/>
        </w:rPr>
        <w:t xml:space="preserve"> were stained for HSPCs markers and sorted using BD FACS AriaIII cytometer. Total RNA was extracted using TRIZOL reagent (Invitrogen</w:t>
      </w:r>
      <w:r w:rsidR="0037525F" w:rsidRPr="00EE0340">
        <w:rPr>
          <w:rFonts w:eastAsia="Calibri" w:cstheme="minorHAnsi"/>
          <w:lang w:val="en-US" w:bidi="he-IL"/>
        </w:rPr>
        <w:t xml:space="preserve">, Cat# </w:t>
      </w:r>
      <w:r w:rsidR="0037525F" w:rsidRPr="00EE0340">
        <w:rPr>
          <w:rFonts w:eastAsia="Calibri" w:cstheme="minorHAnsi"/>
          <w:lang w:bidi="he-IL"/>
        </w:rPr>
        <w:t>15596018</w:t>
      </w:r>
      <w:r w:rsidRPr="00EE0340">
        <w:rPr>
          <w:rFonts w:eastAsia="Calibri" w:cstheme="minorHAnsi"/>
          <w:lang w:val="en-US" w:bidi="he-IL"/>
        </w:rPr>
        <w:t xml:space="preserve">) and quality tested using a 2100 Bioanalyzer (Agilent technologies). Sequencing Libraries were prepared using MARSeq. Single reads were </w:t>
      </w:r>
      <w:r w:rsidRPr="00EE0340">
        <w:rPr>
          <w:rFonts w:eastAsia="Calibri" w:cstheme="minorHAnsi"/>
          <w:lang w:val="en-US" w:bidi="he-IL"/>
        </w:rPr>
        <w:lastRenderedPageBreak/>
        <w:t xml:space="preserve">sequenced on 1 lane(s) of an Illumina NOvaSeq_sp. The output was ~15 million reads per sample. </w:t>
      </w:r>
    </w:p>
    <w:p w14:paraId="36803653" w14:textId="77777777" w:rsidR="00203F23" w:rsidRPr="00EE0340" w:rsidRDefault="00203F23" w:rsidP="0049254B">
      <w:pPr>
        <w:spacing w:after="160" w:line="480" w:lineRule="auto"/>
        <w:jc w:val="both"/>
        <w:rPr>
          <w:rFonts w:eastAsia="Calibri" w:cstheme="minorHAnsi"/>
          <w:lang w:val="en-US" w:bidi="he-IL"/>
        </w:rPr>
      </w:pPr>
      <w:r w:rsidRPr="00EE0340">
        <w:rPr>
          <w:rFonts w:eastAsia="Calibri" w:cstheme="minorHAnsi"/>
          <w:b/>
          <w:bCs/>
          <w:lang w:val="en-US" w:bidi="he-IL"/>
        </w:rPr>
        <w:t xml:space="preserve">Data analysis </w:t>
      </w:r>
    </w:p>
    <w:p w14:paraId="6FB0E657" w14:textId="638FB5E3" w:rsidR="00203F23" w:rsidRPr="00EE0340" w:rsidRDefault="00203F23" w:rsidP="0049254B">
      <w:pPr>
        <w:spacing w:after="160" w:line="480" w:lineRule="auto"/>
        <w:jc w:val="both"/>
        <w:rPr>
          <w:rFonts w:eastAsia="Calibri" w:cstheme="minorHAnsi"/>
          <w:lang w:val="en-US" w:bidi="he-IL"/>
        </w:rPr>
      </w:pPr>
      <w:r w:rsidRPr="00EE0340">
        <w:rPr>
          <w:rFonts w:eastAsia="Calibri" w:cstheme="minorHAnsi"/>
          <w:lang w:val="en-US" w:bidi="he-IL"/>
        </w:rPr>
        <w:t>Poly-A/T stretches and Illumina adapters were trimmed from the reads using cutadapt</w:t>
      </w:r>
      <w:sdt>
        <w:sdtPr>
          <w:rPr>
            <w:rFonts w:ascii="Calibri" w:eastAsia="Calibri" w:hAnsi="Calibri" w:cs="Calibri"/>
            <w:color w:val="000000"/>
            <w:vertAlign w:val="superscript"/>
            <w:lang w:val="en-US" w:bidi="he-IL"/>
          </w:rPr>
          <w:tag w:val="MENDELEY_CITATION_v3_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"/>
          <w:id w:val="1995988473"/>
          <w:placeholder>
            <w:docPart w:val="DefaultPlaceholder_-1854013440"/>
          </w:placeholder>
        </w:sdtPr>
        <w:sdtEndPr>
          <w:rPr>
            <w:rFonts w:eastAsiaTheme="minorHAnsi"/>
            <w:lang w:val="en-IN" w:bidi="ar-SA"/>
          </w:rPr>
        </w:sdtEndPr>
        <w:sdtContent>
          <w:r w:rsidR="00EE0340" w:rsidRPr="00EE0340">
            <w:rPr>
              <w:rFonts w:ascii="Calibri" w:hAnsi="Calibri" w:cs="Calibri"/>
              <w:color w:val="000000"/>
              <w:vertAlign w:val="superscript"/>
            </w:rPr>
            <w:t>1</w:t>
          </w:r>
        </w:sdtContent>
      </w:sdt>
      <w:r w:rsidRPr="00EE0340">
        <w:rPr>
          <w:rFonts w:eastAsia="Calibri" w:cstheme="minorHAnsi"/>
          <w:lang w:val="en-US" w:bidi="he-IL"/>
        </w:rPr>
        <w:t>; resulting reads shorter than 30bp were discarded. Reads were mapped to the H. sapiens reference genome GRCh38 using STAR</w:t>
      </w:r>
      <w:sdt>
        <w:sdtPr>
          <w:rPr>
            <w:rFonts w:ascii="Calibri" w:eastAsia="Calibri" w:hAnsi="Calibri" w:cs="Calibri"/>
            <w:color w:val="000000"/>
            <w:vertAlign w:val="superscript"/>
            <w:lang w:val="en-US" w:bidi="he-IL"/>
          </w:rPr>
          <w:tag w:val="MENDELEY_CITATION_v3_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"/>
          <w:id w:val="-409473201"/>
          <w:placeholder>
            <w:docPart w:val="DefaultPlaceholder_-1854013440"/>
          </w:placeholder>
        </w:sdtPr>
        <w:sdtEndPr>
          <w:rPr>
            <w:rFonts w:eastAsiaTheme="minorHAnsi"/>
            <w:lang w:val="en-IN" w:bidi="ar-SA"/>
          </w:rPr>
        </w:sdtEndPr>
        <w:sdtContent>
          <w:r w:rsidR="00EE0340" w:rsidRPr="00EE0340">
            <w:rPr>
              <w:rFonts w:ascii="Calibri" w:hAnsi="Calibri" w:cs="Calibri"/>
              <w:color w:val="000000"/>
              <w:vertAlign w:val="superscript"/>
            </w:rPr>
            <w:t>2</w:t>
          </w:r>
        </w:sdtContent>
      </w:sdt>
      <w:r w:rsidRPr="00EE0340">
        <w:rPr>
          <w:rFonts w:eastAsia="Calibri" w:cstheme="minorHAnsi"/>
          <w:lang w:val="en-US" w:bidi="he-IL"/>
        </w:rPr>
        <w:t xml:space="preserve">, supplied with gene annotations downloaded from Ensembl (and with EndToEnd option and outFilterMismatchNoverLmax was set to 0.04). Expression levels for each gene were quantified using </w:t>
      </w:r>
      <w:proofErr w:type="spellStart"/>
      <w:r w:rsidRPr="00EE0340">
        <w:rPr>
          <w:rFonts w:eastAsia="Calibri" w:cstheme="minorHAnsi"/>
          <w:lang w:val="en-US" w:bidi="he-IL"/>
        </w:rPr>
        <w:t>htseq</w:t>
      </w:r>
      <w:proofErr w:type="spellEnd"/>
      <w:r w:rsidRPr="00EE0340">
        <w:rPr>
          <w:rFonts w:eastAsia="Calibri" w:cstheme="minorHAnsi"/>
          <w:lang w:val="en-US" w:bidi="he-IL"/>
        </w:rPr>
        <w:t>-count</w:t>
      </w:r>
      <w:sdt>
        <w:sdtPr>
          <w:rPr>
            <w:rFonts w:ascii="Calibri" w:eastAsia="Calibri" w:hAnsi="Calibri" w:cs="Calibri"/>
            <w:color w:val="000000"/>
            <w:vertAlign w:val="superscript"/>
            <w:lang w:val="en-US" w:bidi="he-IL"/>
          </w:rPr>
          <w:tag w:val="MENDELEY_CITATION_v3_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"/>
          <w:id w:val="1536703840"/>
          <w:placeholder>
            <w:docPart w:val="DefaultPlaceholder_-1854013440"/>
          </w:placeholder>
        </w:sdtPr>
        <w:sdtEndPr>
          <w:rPr>
            <w:rFonts w:eastAsiaTheme="minorHAnsi"/>
            <w:lang w:val="en-IN" w:bidi="ar-SA"/>
          </w:rPr>
        </w:sdtEndPr>
        <w:sdtContent>
          <w:r w:rsidR="00EE0340" w:rsidRPr="00EE0340">
            <w:rPr>
              <w:rFonts w:ascii="Calibri" w:hAnsi="Calibri" w:cs="Calibri"/>
              <w:color w:val="000000"/>
              <w:vertAlign w:val="superscript"/>
            </w:rPr>
            <w:t>3</w:t>
          </w:r>
        </w:sdtContent>
      </w:sdt>
      <w:r w:rsidRPr="00EE0340">
        <w:rPr>
          <w:rFonts w:eastAsia="Calibri" w:cstheme="minorHAnsi"/>
          <w:lang w:val="en-US" w:bidi="he-IL"/>
        </w:rPr>
        <w:t>, using the gtf above. Differentially expressed genes were identified using DESeq2</w:t>
      </w:r>
      <w:sdt>
        <w:sdtPr>
          <w:rPr>
            <w:rFonts w:ascii="Calibri" w:eastAsia="Calibri" w:hAnsi="Calibri" w:cs="Calibri"/>
            <w:color w:val="000000"/>
            <w:vertAlign w:val="superscript"/>
            <w:lang w:val="en-US" w:bidi="he-IL"/>
          </w:rPr>
          <w:tag w:val="MENDELEY_CITATION_v3_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"/>
          <w:id w:val="-398053661"/>
          <w:placeholder>
            <w:docPart w:val="DefaultPlaceholder_-1854013440"/>
          </w:placeholder>
        </w:sdtPr>
        <w:sdtEndPr>
          <w:rPr>
            <w:rFonts w:eastAsiaTheme="minorHAnsi"/>
            <w:lang w:val="en-IN" w:bidi="ar-SA"/>
          </w:rPr>
        </w:sdtEndPr>
        <w:sdtContent>
          <w:r w:rsidR="00EE0340" w:rsidRPr="00EE0340">
            <w:rPr>
              <w:rFonts w:ascii="Calibri" w:hAnsi="Calibri" w:cs="Calibri"/>
              <w:color w:val="000000"/>
              <w:vertAlign w:val="superscript"/>
            </w:rPr>
            <w:t>4</w:t>
          </w:r>
        </w:sdtContent>
      </w:sdt>
      <w:r w:rsidRPr="00EE0340">
        <w:rPr>
          <w:rFonts w:eastAsia="Calibri" w:cstheme="minorHAnsi"/>
          <w:lang w:val="en-US" w:bidi="he-IL"/>
        </w:rPr>
        <w:t xml:space="preserve"> with the betaPrior, cooksCutoff and independent filtering parameters set to False. Raw P values were adjusted for multiple testing using the procedure of Benjamini and Hochberg. The Pipeline was run using snakemake workflow engine</w:t>
      </w:r>
      <w:sdt>
        <w:sdtPr>
          <w:rPr>
            <w:rFonts w:ascii="Calibri" w:eastAsia="Calibri" w:hAnsi="Calibri" w:cs="Calibri"/>
            <w:color w:val="000000"/>
            <w:vertAlign w:val="superscript"/>
            <w:lang w:val="en-US" w:bidi="he-IL"/>
          </w:rPr>
          <w:tag w:val="MENDELEY_CITATION_v3_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"/>
          <w:id w:val="-934207028"/>
          <w:placeholder>
            <w:docPart w:val="DefaultPlaceholder_-1854013440"/>
          </w:placeholder>
        </w:sdtPr>
        <w:sdtEndPr>
          <w:rPr>
            <w:rFonts w:eastAsiaTheme="minorHAnsi"/>
            <w:lang w:val="en-IN" w:bidi="ar-SA"/>
          </w:rPr>
        </w:sdtEndPr>
        <w:sdtContent>
          <w:r w:rsidR="00EE0340" w:rsidRPr="00EE0340">
            <w:rPr>
              <w:rFonts w:ascii="Calibri" w:hAnsi="Calibri" w:cs="Calibri"/>
              <w:color w:val="000000"/>
              <w:vertAlign w:val="superscript"/>
            </w:rPr>
            <w:t>5</w:t>
          </w:r>
        </w:sdtContent>
      </w:sdt>
      <w:r w:rsidRPr="00EE0340">
        <w:rPr>
          <w:rFonts w:eastAsia="Calibri" w:cstheme="minorHAnsi"/>
          <w:lang w:val="en-US" w:bidi="he-IL"/>
        </w:rPr>
        <w:t>.</w:t>
      </w:r>
    </w:p>
    <w:p w14:paraId="7BF7C42C" w14:textId="3E50CCFF" w:rsidR="00757063" w:rsidRPr="00EE0340" w:rsidRDefault="00757063" w:rsidP="0049254B">
      <w:pPr>
        <w:spacing w:after="160" w:line="480" w:lineRule="auto"/>
        <w:jc w:val="both"/>
        <w:rPr>
          <w:rFonts w:eastAsia="Calibri" w:cstheme="minorHAnsi"/>
          <w:lang w:val="en-US" w:bidi="he-IL"/>
        </w:rPr>
      </w:pPr>
      <w:r w:rsidRPr="00EE0340">
        <w:rPr>
          <w:rFonts w:eastAsia="Calibri" w:cstheme="minorHAnsi"/>
          <w:lang w:bidi="he-IL"/>
        </w:rPr>
        <w:t>Differentially expressed (DE) genes from each comparison were mapped to promoter regions (−400 to +100 bp relative to the annotated TSS, Ensembl GRCh38), yielding BED files used as input. Motif enrichment was performed with HOMER (findMotifsGenome.pl, hg38; -size given), using HOMER’s default length/GC-matched genomic background. Enrichment statistics and fold enrichments were reported from HOMER’s known transcription-factor motif library; where indicated, analyses were restricted to a focused ATF/CREB/AP-1 motif set supplied via -</w:t>
      </w:r>
      <w:proofErr w:type="spellStart"/>
      <w:r w:rsidRPr="00EE0340">
        <w:rPr>
          <w:rFonts w:eastAsia="Calibri" w:cstheme="minorHAnsi"/>
          <w:lang w:bidi="he-IL"/>
        </w:rPr>
        <w:t>mknown</w:t>
      </w:r>
      <w:proofErr w:type="spellEnd"/>
      <w:r w:rsidRPr="00EE0340">
        <w:rPr>
          <w:rFonts w:eastAsia="Calibri" w:cstheme="minorHAnsi"/>
          <w:lang w:bidi="he-IL"/>
        </w:rPr>
        <w:t>, and motif instances were enumerated with -find</w:t>
      </w:r>
      <w:sdt>
        <w:sdtPr>
          <w:rPr>
            <w:rFonts w:ascii="Calibri" w:eastAsia="Calibri" w:hAnsi="Calibri" w:cs="Calibri"/>
            <w:color w:val="000000"/>
            <w:vertAlign w:val="superscript"/>
            <w:lang w:bidi="he-IL"/>
          </w:rPr>
          <w:tag w:val="MENDELEY_CITATION_v3_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"/>
          <w:id w:val="-1480840284"/>
          <w:placeholder>
            <w:docPart w:val="DefaultPlaceholder_-1854013440"/>
          </w:placeholder>
        </w:sdtPr>
        <w:sdtContent>
          <w:r w:rsidR="00EE0340" w:rsidRPr="00EE0340">
            <w:rPr>
              <w:rFonts w:ascii="Calibri" w:eastAsia="Calibri" w:hAnsi="Calibri" w:cs="Calibri"/>
              <w:color w:val="000000"/>
              <w:vertAlign w:val="superscript"/>
              <w:lang w:bidi="he-IL"/>
            </w:rPr>
            <w:t>6</w:t>
          </w:r>
        </w:sdtContent>
      </w:sdt>
      <w:r w:rsidRPr="00EE0340">
        <w:rPr>
          <w:rFonts w:eastAsia="Calibri" w:cstheme="minorHAnsi"/>
          <w:lang w:bidi="he-IL"/>
        </w:rPr>
        <w:t>.</w:t>
      </w:r>
    </w:p>
    <w:p w14:paraId="70818FCA" w14:textId="77777777" w:rsidR="00203F23" w:rsidRPr="00EE0340" w:rsidRDefault="00203F23" w:rsidP="0049254B">
      <w:pPr>
        <w:spacing w:after="160" w:line="480" w:lineRule="auto"/>
        <w:jc w:val="both"/>
        <w:rPr>
          <w:rFonts w:eastAsia="Calibri" w:cstheme="minorHAnsi"/>
          <w:lang w:val="en-US" w:bidi="he-IL"/>
        </w:rPr>
      </w:pPr>
      <w:r w:rsidRPr="00EE0340">
        <w:rPr>
          <w:rFonts w:eastAsia="Calibri" w:cstheme="minorHAnsi"/>
          <w:b/>
          <w:bCs/>
          <w:lang w:val="en-US" w:bidi="he-IL"/>
        </w:rPr>
        <w:t xml:space="preserve">Gene Set Enrichment Analysis </w:t>
      </w:r>
    </w:p>
    <w:p w14:paraId="35761FB6" w14:textId="2F124FB4" w:rsidR="00203F23" w:rsidRPr="00EE0340" w:rsidRDefault="00203F23" w:rsidP="0049254B">
      <w:pPr>
        <w:spacing w:after="160" w:line="480" w:lineRule="auto"/>
        <w:jc w:val="both"/>
        <w:rPr>
          <w:rFonts w:eastAsia="Calibri" w:cstheme="minorHAnsi"/>
          <w:lang w:val="en-US" w:bidi="he-IL"/>
        </w:rPr>
      </w:pPr>
      <w:r w:rsidRPr="00EE0340">
        <w:rPr>
          <w:rFonts w:eastAsia="Calibri" w:cstheme="minorHAnsi"/>
          <w:lang w:val="en-US" w:bidi="he-IL"/>
        </w:rPr>
        <w:t>Gene Set Enrichment Analysis (GSEA)</w:t>
      </w:r>
      <w:sdt>
        <w:sdtPr>
          <w:rPr>
            <w:rFonts w:ascii="Calibri" w:eastAsia="Calibri" w:hAnsi="Calibri" w:cs="Calibri"/>
            <w:color w:val="000000"/>
            <w:vertAlign w:val="superscript"/>
            <w:lang w:val="en-US" w:bidi="he-IL"/>
          </w:rPr>
          <w:tag w:val="MENDELEY_CITATION_v3_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"/>
          <w:id w:val="911967122"/>
          <w:placeholder>
            <w:docPart w:val="DefaultPlaceholder_-1854013440"/>
          </w:placeholder>
        </w:sdtPr>
        <w:sdtEndPr>
          <w:rPr>
            <w:rFonts w:eastAsiaTheme="minorHAnsi"/>
            <w:lang w:val="en-IN" w:bidi="ar-SA"/>
          </w:rPr>
        </w:sdtEndPr>
        <w:sdtContent>
          <w:r w:rsidR="00EE0340" w:rsidRPr="00EE0340">
            <w:rPr>
              <w:rFonts w:ascii="Calibri" w:hAnsi="Calibri" w:cs="Calibri"/>
              <w:color w:val="000000"/>
              <w:vertAlign w:val="superscript"/>
            </w:rPr>
            <w:t>7</w:t>
          </w:r>
        </w:sdtContent>
      </w:sdt>
      <w:r w:rsidRPr="00EE0340">
        <w:rPr>
          <w:rFonts w:eastAsia="Calibri" w:cstheme="minorHAnsi"/>
          <w:lang w:val="en-US" w:bidi="he-IL"/>
        </w:rPr>
        <w:t xml:space="preserve"> was done using the GSEA desktop application (Broad Institute). Genes were ranked by the DESeq2 statistic and pre-ranked GSEA was run using the </w:t>
      </w:r>
      <w:r w:rsidRPr="00EE0340">
        <w:rPr>
          <w:rFonts w:eastAsia="Calibri" w:cstheme="minorHAnsi"/>
          <w:lang w:val="en-US" w:bidi="he-IL"/>
        </w:rPr>
        <w:lastRenderedPageBreak/>
        <w:t xml:space="preserve">GSEA hallmarks, Transcription Factor Targets (TFT) and other curated gene HSC gene sets from MSigDB database using standard settings. Heatmaps were created using Morpheus (Broad Institute). </w:t>
      </w:r>
    </w:p>
    <w:p w14:paraId="0FAB4F2E" w14:textId="77777777" w:rsidR="00203F23" w:rsidRPr="00EE0340" w:rsidRDefault="00203F23" w:rsidP="0049254B">
      <w:pPr>
        <w:spacing w:after="160" w:line="480" w:lineRule="auto"/>
        <w:jc w:val="both"/>
        <w:rPr>
          <w:rFonts w:eastAsia="Calibri" w:cstheme="minorHAnsi"/>
          <w:b/>
          <w:bCs/>
          <w:lang w:val="en-US" w:bidi="he-IL"/>
        </w:rPr>
      </w:pPr>
      <w:r w:rsidRPr="00EE0340">
        <w:rPr>
          <w:rFonts w:eastAsia="Calibri" w:cstheme="minorHAnsi"/>
          <w:b/>
          <w:bCs/>
          <w:lang w:val="en-US" w:bidi="he-IL"/>
        </w:rPr>
        <w:t>PGE2 detection by ELISA</w:t>
      </w:r>
    </w:p>
    <w:p w14:paraId="3A0944D2" w14:textId="77777777" w:rsidR="00203F23" w:rsidRPr="00EE0340" w:rsidRDefault="00203F23" w:rsidP="0049254B">
      <w:pPr>
        <w:spacing w:after="160" w:line="480" w:lineRule="auto"/>
        <w:jc w:val="both"/>
        <w:rPr>
          <w:rFonts w:eastAsia="Calibri" w:cstheme="minorHAnsi"/>
          <w:lang w:bidi="he-IL"/>
        </w:rPr>
      </w:pPr>
      <w:r w:rsidRPr="00EE0340">
        <w:rPr>
          <w:rFonts w:eastAsia="Calibri" w:cstheme="minorHAnsi"/>
          <w:lang w:val="en-US" w:bidi="he-IL"/>
        </w:rPr>
        <w:t xml:space="preserve">Conditioned medium from CD34+, OP9M2, MS5, hBM-MSCs or CD34+ - OP9M2 co-cultures were collected 24 hours after treatment. </w:t>
      </w:r>
      <w:r w:rsidRPr="00EE0340">
        <w:rPr>
          <w:rFonts w:eastAsia="Calibri" w:cstheme="minorHAnsi"/>
          <w:lang w:bidi="he-IL"/>
        </w:rPr>
        <w:t> PGE2 levels in the culture medium were determined by PGE2 Enzyme Immunoassay kit according to the manufacturer’s instructions (Cayman Chemicals, Cat# 514010-96). </w:t>
      </w:r>
    </w:p>
    <w:p w14:paraId="10A1ED1B" w14:textId="77777777" w:rsidR="00203F23" w:rsidRPr="00EE0340" w:rsidRDefault="00203F23" w:rsidP="0049254B">
      <w:pPr>
        <w:spacing w:after="160" w:line="480" w:lineRule="auto"/>
        <w:jc w:val="both"/>
        <w:rPr>
          <w:rFonts w:eastAsia="Calibri" w:cstheme="minorHAnsi"/>
          <w:b/>
          <w:bCs/>
          <w:lang w:bidi="he-IL"/>
        </w:rPr>
      </w:pPr>
      <w:r w:rsidRPr="00EE0340">
        <w:rPr>
          <w:rFonts w:eastAsia="Calibri" w:cstheme="minorHAnsi"/>
          <w:b/>
          <w:bCs/>
          <w:lang w:bidi="he-IL"/>
        </w:rPr>
        <w:t>qRT-PCR analysis</w:t>
      </w:r>
    </w:p>
    <w:p w14:paraId="2F11DCDB" w14:textId="02106A83" w:rsidR="00203F23" w:rsidRPr="00EE0340" w:rsidRDefault="00203F23" w:rsidP="0049254B">
      <w:pPr>
        <w:spacing w:after="160" w:line="480" w:lineRule="auto"/>
        <w:jc w:val="both"/>
        <w:rPr>
          <w:rFonts w:eastAsia="Calibri" w:cstheme="minorHAnsi"/>
          <w:lang w:bidi="he-IL"/>
        </w:rPr>
      </w:pPr>
      <w:r w:rsidRPr="00EE0340">
        <w:rPr>
          <w:rFonts w:eastAsia="Calibri" w:cstheme="minorHAnsi"/>
          <w:lang w:bidi="he-IL"/>
        </w:rPr>
        <w:t>Total RNA was extracted using the RNeasy Micro kit (Qiagen</w:t>
      </w:r>
      <w:r w:rsidR="0037525F" w:rsidRPr="00EE0340">
        <w:rPr>
          <w:rFonts w:eastAsia="Calibri" w:cstheme="minorHAnsi"/>
          <w:lang w:bidi="he-IL"/>
        </w:rPr>
        <w:t xml:space="preserve"> Cat# 74004</w:t>
      </w:r>
      <w:r w:rsidRPr="00EE0340">
        <w:rPr>
          <w:rFonts w:eastAsia="Calibri" w:cstheme="minorHAnsi"/>
          <w:lang w:bidi="he-IL"/>
        </w:rPr>
        <w:t>). cDNA synthesis was performed using the qScript cDNA Synthesis kit (Quanta Bio</w:t>
      </w:r>
      <w:r w:rsidR="0037525F" w:rsidRPr="00EE0340">
        <w:rPr>
          <w:rFonts w:eastAsia="Calibri" w:cstheme="minorHAnsi"/>
          <w:lang w:bidi="he-IL"/>
        </w:rPr>
        <w:t xml:space="preserve"> Cat# 95047-025</w:t>
      </w:r>
      <w:r w:rsidRPr="00EE0340">
        <w:rPr>
          <w:rFonts w:eastAsia="Calibri" w:cstheme="minorHAnsi"/>
          <w:lang w:bidi="he-IL"/>
        </w:rPr>
        <w:t>). Real-time quantitative PCR was performed using PerfeCTa SYBR green supermix reagent (Quanta Bio</w:t>
      </w:r>
      <w:r w:rsidR="0037525F" w:rsidRPr="00EE0340">
        <w:rPr>
          <w:rFonts w:eastAsia="Calibri" w:cstheme="minorHAnsi"/>
          <w:lang w:bidi="he-IL"/>
        </w:rPr>
        <w:t xml:space="preserve"> Cat# 95054-500</w:t>
      </w:r>
      <w:r w:rsidRPr="00EE0340">
        <w:rPr>
          <w:rFonts w:eastAsia="Calibri" w:cstheme="minorHAnsi"/>
          <w:lang w:bidi="he-IL"/>
        </w:rPr>
        <w:t xml:space="preserve">) and analysed by QuantStudio 5 Real-time PCR system (ThermoFisher). Relative expression was calculated for each gene using by 2^-ΔΔCT method. </w:t>
      </w:r>
      <w:r w:rsidRPr="00EE0340">
        <w:rPr>
          <w:rFonts w:eastAsia="Calibri" w:cstheme="minorHAnsi"/>
          <w:i/>
          <w:iCs/>
          <w:lang w:bidi="he-IL"/>
        </w:rPr>
        <w:t>GAPDH</w:t>
      </w:r>
      <w:r w:rsidRPr="00EE0340">
        <w:rPr>
          <w:rFonts w:eastAsia="Calibri" w:cstheme="minorHAnsi"/>
          <w:lang w:bidi="he-IL"/>
        </w:rPr>
        <w:t xml:space="preserve"> was used for normalization.</w:t>
      </w:r>
    </w:p>
    <w:p w14:paraId="5B52924D" w14:textId="77777777" w:rsidR="00203F23" w:rsidRPr="00EE0340" w:rsidRDefault="00203F23" w:rsidP="0049254B">
      <w:pPr>
        <w:spacing w:after="160" w:line="480" w:lineRule="auto"/>
        <w:jc w:val="both"/>
        <w:rPr>
          <w:rFonts w:eastAsia="Calibri" w:cstheme="minorHAnsi"/>
          <w:b/>
          <w:bCs/>
          <w:lang w:bidi="he-IL"/>
        </w:rPr>
      </w:pPr>
      <w:r w:rsidRPr="00EE0340">
        <w:rPr>
          <w:rFonts w:eastAsia="Calibri" w:cstheme="minorHAnsi"/>
          <w:b/>
          <w:bCs/>
          <w:lang w:bidi="he-IL"/>
        </w:rPr>
        <w:t>siRNA Nucleofection</w:t>
      </w:r>
    </w:p>
    <w:p w14:paraId="09C37E86" w14:textId="77777777" w:rsidR="00203F23" w:rsidRPr="00EE0340" w:rsidRDefault="00203F23" w:rsidP="0049254B">
      <w:pPr>
        <w:spacing w:after="160" w:line="480" w:lineRule="auto"/>
        <w:jc w:val="both"/>
        <w:rPr>
          <w:rFonts w:cstheme="minorHAnsi"/>
          <w:color w:val="222222"/>
          <w:shd w:val="clear" w:color="auto" w:fill="FFFFFF"/>
        </w:rPr>
      </w:pPr>
      <w:r w:rsidRPr="00EE0340">
        <w:rPr>
          <w:rFonts w:cstheme="minorHAnsi"/>
          <w:color w:val="222222"/>
          <w:shd w:val="clear" w:color="auto" w:fill="FFFFFF"/>
        </w:rPr>
        <w:t>Dharmacon ON-TARGETplus siRNA pool oligos for non-targeting control, BCL2, BCL-XL and MCL1 were ordered. For electroporation, human 2.5 × 10</w:t>
      </w:r>
      <w:r w:rsidRPr="00EE0340">
        <w:rPr>
          <w:rFonts w:cstheme="minorHAnsi"/>
          <w:color w:val="222222"/>
          <w:shd w:val="clear" w:color="auto" w:fill="FFFFFF"/>
          <w:vertAlign w:val="superscript"/>
        </w:rPr>
        <w:t>5</w:t>
      </w:r>
      <w:r w:rsidRPr="00EE0340">
        <w:rPr>
          <w:rFonts w:cstheme="minorHAnsi"/>
          <w:color w:val="222222"/>
          <w:shd w:val="clear" w:color="auto" w:fill="FFFFFF"/>
        </w:rPr>
        <w:t> CD34</w:t>
      </w:r>
      <w:r w:rsidRPr="00EE0340">
        <w:rPr>
          <w:rFonts w:cstheme="minorHAnsi"/>
          <w:color w:val="222222"/>
          <w:shd w:val="clear" w:color="auto" w:fill="FFFFFF"/>
          <w:vertAlign w:val="superscript"/>
        </w:rPr>
        <w:t>+</w:t>
      </w:r>
      <w:r w:rsidRPr="00EE0340">
        <w:rPr>
          <w:rFonts w:cstheme="minorHAnsi"/>
          <w:color w:val="222222"/>
          <w:shd w:val="clear" w:color="auto" w:fill="FFFFFF"/>
        </w:rPr>
        <w:t> cells/100 µl were resuspended in nucleofection buffer (P3 primary cell kit, Lonza) and were nucleofected with CD34</w:t>
      </w:r>
      <w:r w:rsidRPr="00EE0340">
        <w:rPr>
          <w:rFonts w:cstheme="minorHAnsi"/>
          <w:color w:val="222222"/>
          <w:shd w:val="clear" w:color="auto" w:fill="FFFFFF"/>
          <w:vertAlign w:val="superscript"/>
        </w:rPr>
        <w:t>+</w:t>
      </w:r>
      <w:r w:rsidRPr="00EE0340">
        <w:rPr>
          <w:rFonts w:cstheme="minorHAnsi"/>
          <w:color w:val="222222"/>
          <w:shd w:val="clear" w:color="auto" w:fill="FFFFFF"/>
        </w:rPr>
        <w:t xml:space="preserve"> program using Amaxa 4D nucleofector system (Lonza). Control, si-BCL2, si-BCL-XL, si-MCL1 were used at a final concentration of 2 μM. </w:t>
      </w:r>
    </w:p>
    <w:p w14:paraId="2BD99965" w14:textId="77777777" w:rsidR="00203F23" w:rsidRPr="00EE0340" w:rsidRDefault="00203F23" w:rsidP="00EE7517">
      <w:pPr>
        <w:spacing w:line="480" w:lineRule="auto"/>
        <w:jc w:val="both"/>
        <w:rPr>
          <w:rFonts w:eastAsia="Calibri" w:cstheme="minorHAnsi"/>
        </w:rPr>
      </w:pPr>
      <w:r w:rsidRPr="00EE0340">
        <w:rPr>
          <w:rFonts w:eastAsia="Calibri" w:cstheme="minorHAnsi"/>
          <w:b/>
          <w:bCs/>
        </w:rPr>
        <w:t xml:space="preserve">Statistical analysis </w:t>
      </w:r>
    </w:p>
    <w:p w14:paraId="55DE92CE" w14:textId="77777777" w:rsidR="00203F23" w:rsidRPr="00EE0340" w:rsidRDefault="00203F23" w:rsidP="00EE7517">
      <w:pPr>
        <w:spacing w:line="480" w:lineRule="auto"/>
        <w:jc w:val="both"/>
        <w:rPr>
          <w:rFonts w:eastAsia="Calibri" w:cstheme="minorHAnsi"/>
        </w:rPr>
      </w:pPr>
      <w:r w:rsidRPr="00EE0340">
        <w:rPr>
          <w:rFonts w:eastAsia="Calibri" w:cstheme="minorHAnsi"/>
        </w:rPr>
        <w:lastRenderedPageBreak/>
        <w:t>Statistical analysis was performed with GraphPad Prism 9, using student’s t-test. Statistical significance is defined as p&lt;0.05. Bars represent Mean ± Standard error of mean (SEM) of independent experiments. *P≤0.05, **P≤0.01, ***P≤0.001, ****P≤0.0001.</w:t>
      </w:r>
    </w:p>
    <w:bookmarkEnd w:id="2"/>
    <w:p w14:paraId="1C287121" w14:textId="77777777" w:rsidR="00203F23" w:rsidRPr="00EE0340" w:rsidRDefault="00203F23" w:rsidP="0049254B">
      <w:pPr>
        <w:spacing w:after="160" w:line="480" w:lineRule="auto"/>
        <w:jc w:val="both"/>
        <w:rPr>
          <w:rFonts w:eastAsia="Calibri" w:cstheme="minorHAnsi"/>
          <w:b/>
          <w:bCs/>
          <w:sz w:val="28"/>
          <w:szCs w:val="28"/>
          <w:lang w:val="en-US" w:bidi="he-IL"/>
        </w:rPr>
      </w:pPr>
    </w:p>
    <w:p w14:paraId="5688B769" w14:textId="77777777" w:rsidR="00203F23" w:rsidRPr="00EE0340" w:rsidRDefault="00203F23" w:rsidP="0049254B">
      <w:pPr>
        <w:spacing w:after="160" w:line="480" w:lineRule="auto"/>
        <w:jc w:val="both"/>
        <w:rPr>
          <w:rFonts w:eastAsia="Calibri" w:cstheme="minorHAnsi"/>
          <w:b/>
          <w:bCs/>
          <w:sz w:val="28"/>
          <w:szCs w:val="28"/>
          <w:lang w:val="en-US" w:bidi="he-IL"/>
        </w:rPr>
      </w:pPr>
      <w:r w:rsidRPr="00EE0340">
        <w:rPr>
          <w:rFonts w:eastAsia="Calibri" w:cstheme="minorHAnsi"/>
          <w:b/>
          <w:bCs/>
          <w:sz w:val="28"/>
          <w:szCs w:val="28"/>
          <w:lang w:val="en-US" w:bidi="he-IL"/>
        </w:rPr>
        <w:t>Supplementary figure legends</w:t>
      </w:r>
    </w:p>
    <w:p w14:paraId="5A660FB5"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Supplemental Figure 1. Characterization of MSCs and initial HSPC apoptotic responses.</w:t>
      </w:r>
    </w:p>
    <w:p w14:paraId="18757403" w14:textId="25F04603"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(A)</w:t>
      </w:r>
      <w:r w:rsidRPr="00EE0340">
        <w:rPr>
          <w:rFonts w:eastAsia="Times New Roman" w:cstheme="minorHAnsi"/>
          <w:kern w:val="0"/>
          <w14:ligatures w14:val="none"/>
        </w:rPr>
        <w:t xml:space="preserve"> Representative histograms illustrating the </w:t>
      </w:r>
      <w:r w:rsidR="000B7646" w:rsidRPr="00EE0340">
        <w:rPr>
          <w:rFonts w:eastAsia="Times New Roman" w:cstheme="minorHAnsi"/>
          <w:kern w:val="0"/>
          <w14:ligatures w14:val="none"/>
        </w:rPr>
        <w:t xml:space="preserve">MSC </w:t>
      </w:r>
      <w:r w:rsidRPr="00EE0340">
        <w:rPr>
          <w:rFonts w:eastAsia="Times New Roman" w:cstheme="minorHAnsi"/>
          <w:kern w:val="0"/>
          <w14:ligatures w14:val="none"/>
        </w:rPr>
        <w:t>marker expression</w:t>
      </w:r>
      <w:r w:rsidR="000B7646" w:rsidRPr="00EE0340">
        <w:rPr>
          <w:rFonts w:eastAsia="Times New Roman" w:cstheme="minorHAnsi"/>
          <w:kern w:val="0"/>
          <w14:ligatures w14:val="none"/>
        </w:rPr>
        <w:t xml:space="preserve"> pattern</w:t>
      </w:r>
      <w:r w:rsidRPr="00EE0340">
        <w:rPr>
          <w:rFonts w:eastAsia="Times New Roman" w:cstheme="minorHAnsi"/>
          <w:kern w:val="0"/>
          <w14:ligatures w14:val="none"/>
        </w:rPr>
        <w:t xml:space="preserve"> of OP9M2</w:t>
      </w:r>
      <w:r w:rsidR="000B7646" w:rsidRPr="00EE0340">
        <w:rPr>
          <w:rFonts w:eastAsia="Times New Roman" w:cstheme="minorHAnsi"/>
          <w:kern w:val="0"/>
          <w14:ligatures w14:val="none"/>
        </w:rPr>
        <w:t>cells</w:t>
      </w:r>
      <w:r w:rsidRPr="00EE0340">
        <w:rPr>
          <w:rFonts w:eastAsia="Times New Roman" w:cstheme="minorHAnsi"/>
          <w:kern w:val="0"/>
          <w14:ligatures w14:val="none"/>
        </w:rPr>
        <w:t xml:space="preserve">. Unstained (isotype control) cells are shown in grey, whereas antibody-stained cells are depicted in red. </w:t>
      </w:r>
      <w:r w:rsidRPr="00EE0340">
        <w:rPr>
          <w:rFonts w:eastAsia="Times New Roman" w:cstheme="minorHAnsi"/>
          <w:b/>
          <w:bCs/>
          <w:kern w:val="0"/>
          <w14:ligatures w14:val="none"/>
        </w:rPr>
        <w:t>(B)</w:t>
      </w:r>
      <w:r w:rsidRPr="00EE0340">
        <w:rPr>
          <w:rFonts w:eastAsia="Times New Roman" w:cstheme="minorHAnsi"/>
          <w:kern w:val="0"/>
          <w14:ligatures w14:val="none"/>
        </w:rPr>
        <w:t xml:space="preserve"> Flow cytometric analysis of apoptosis in cord blood (CB) CD34+CD38-CD45RA- cells (HSPCs) cultured for 24h—either in cytokine-supplemented medium alone or on human BM-derived MSCs or murine OP9M2 cells—following 3 Gy irradiation, as assessed by Annexin V staining (n = 3). </w:t>
      </w:r>
      <w:r w:rsidRPr="00EE0340">
        <w:rPr>
          <w:rFonts w:eastAsia="Times New Roman" w:cstheme="minorHAnsi"/>
          <w:b/>
          <w:bCs/>
          <w:kern w:val="0"/>
          <w14:ligatures w14:val="none"/>
        </w:rPr>
        <w:t>(C)</w:t>
      </w:r>
      <w:r w:rsidRPr="00EE0340">
        <w:rPr>
          <w:rFonts w:eastAsia="Times New Roman" w:cstheme="minorHAnsi"/>
          <w:kern w:val="0"/>
          <w14:ligatures w14:val="none"/>
        </w:rPr>
        <w:t xml:space="preserve"> Human BM-derived CD34+ cells were cultured under the indicated conditions for 24 hours and flow cytometric analysis of apoptosis in CD34+CD38-CD45RA- HSPCs using Annexin V staining (n = 3). </w:t>
      </w:r>
      <w:r w:rsidRPr="00EE0340">
        <w:rPr>
          <w:rFonts w:eastAsia="Times New Roman" w:cstheme="minorHAnsi"/>
          <w:b/>
          <w:bCs/>
          <w:kern w:val="0"/>
          <w14:ligatures w14:val="none"/>
        </w:rPr>
        <w:t>(D)</w:t>
      </w:r>
      <w:r w:rsidRPr="00EE0340">
        <w:rPr>
          <w:rFonts w:eastAsia="Times New Roman" w:cstheme="minorHAnsi"/>
          <w:kern w:val="0"/>
          <w14:ligatures w14:val="none"/>
        </w:rPr>
        <w:t xml:space="preserve"> CB CD34⁺ cells were cultured for 24 hours in serum-free medium supplemented with SFT cytokines, then treated with 1 µM Etoposide for 48 hours. Apoptosis was assessed by Annexin V staining in CD34+CD38-CD45RA- HSPCs (n = 3). </w:t>
      </w:r>
      <w:r w:rsidRPr="00EE0340">
        <w:rPr>
          <w:rFonts w:eastAsia="Times New Roman" w:cstheme="minorHAnsi"/>
          <w:b/>
          <w:bCs/>
          <w:kern w:val="0"/>
          <w14:ligatures w14:val="none"/>
        </w:rPr>
        <w:t>(E)</w:t>
      </w:r>
      <w:r w:rsidRPr="00EE0340">
        <w:rPr>
          <w:rFonts w:eastAsia="Times New Roman" w:cstheme="minorHAnsi"/>
          <w:kern w:val="0"/>
          <w14:ligatures w14:val="none"/>
        </w:rPr>
        <w:t xml:space="preserve"> Quantification of mitochondrial membrane potential in CD34+CD38-CD45RA- HSPCs, as measured by TMRE staining 24 hours after IR and co-culture with OP9M2 MSCs (MFI values). </w:t>
      </w:r>
      <w:r w:rsidRPr="00EE0340">
        <w:rPr>
          <w:rFonts w:eastAsia="Times New Roman" w:cstheme="minorHAnsi"/>
          <w:b/>
          <w:bCs/>
          <w:kern w:val="0"/>
          <w14:ligatures w14:val="none"/>
        </w:rPr>
        <w:t>(</w:t>
      </w:r>
      <w:r w:rsidRPr="00EE0340">
        <w:rPr>
          <w:rFonts w:eastAsia="Times New Roman" w:cstheme="minorHAnsi"/>
          <w:b/>
          <w:bCs/>
          <w:kern w:val="0"/>
          <w:lang w:val="en-US"/>
          <w14:ligatures w14:val="none"/>
        </w:rPr>
        <w:t>F</w:t>
      </w:r>
      <w:r w:rsidRPr="00EE0340">
        <w:rPr>
          <w:rFonts w:eastAsia="Times New Roman" w:cstheme="minorHAnsi"/>
          <w:b/>
          <w:bCs/>
          <w:kern w:val="0"/>
          <w14:ligatures w14:val="none"/>
        </w:rPr>
        <w:t>)</w:t>
      </w:r>
      <w:r w:rsidRPr="00EE0340">
        <w:rPr>
          <w:rFonts w:eastAsia="Times New Roman" w:cstheme="minorHAnsi"/>
          <w:kern w:val="0"/>
          <w14:ligatures w14:val="none"/>
        </w:rPr>
        <w:t xml:space="preserve"> CB CD34⁺ cells were cultured under the indicated conditions for up to 24 hours and stained with MitoTracker Green FM to assess mitochondrial mass (n=3). Data are mean ± SEM. Statistical significance was assessed by unpaired two-tailed Student’s </w:t>
      </w:r>
      <w:r w:rsidRPr="00EE0340">
        <w:rPr>
          <w:rFonts w:eastAsia="Times New Roman" w:cstheme="minorHAnsi"/>
          <w:i/>
          <w:iCs/>
          <w:kern w:val="0"/>
          <w14:ligatures w14:val="none"/>
        </w:rPr>
        <w:t>t</w:t>
      </w:r>
      <w:r w:rsidRPr="00EE0340">
        <w:rPr>
          <w:rFonts w:eastAsia="Times New Roman" w:cstheme="minorHAnsi"/>
          <w:kern w:val="0"/>
          <w14:ligatures w14:val="none"/>
        </w:rPr>
        <w:t>-test.</w:t>
      </w:r>
    </w:p>
    <w:p w14:paraId="6CF06816"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 xml:space="preserve">Supplemental Figure </w:t>
      </w:r>
      <w:r w:rsidRPr="00EE0340">
        <w:rPr>
          <w:rFonts w:eastAsia="Times New Roman" w:cstheme="minorHAnsi"/>
          <w:b/>
          <w:bCs/>
          <w:kern w:val="0"/>
          <w:lang w:val="en-US"/>
          <w14:ligatures w14:val="none"/>
        </w:rPr>
        <w:t>2</w:t>
      </w:r>
      <w:r w:rsidRPr="00EE0340">
        <w:rPr>
          <w:rFonts w:eastAsia="Times New Roman" w:cstheme="minorHAnsi"/>
          <w:b/>
          <w:bCs/>
          <w:kern w:val="0"/>
          <w14:ligatures w14:val="none"/>
        </w:rPr>
        <w:t>. Analysis of mitochondrial transfer and apoptosis in HSPCs.</w:t>
      </w:r>
    </w:p>
    <w:p w14:paraId="5DD5FB64"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lastRenderedPageBreak/>
        <w:t>(A)</w:t>
      </w:r>
      <w:r w:rsidRPr="00EE0340">
        <w:rPr>
          <w:rFonts w:eastAsia="Times New Roman" w:cstheme="minorHAnsi"/>
          <w:kern w:val="0"/>
          <w14:ligatures w14:val="none"/>
        </w:rPr>
        <w:t xml:space="preserve"> CB CD34⁺ cells were cultured under the indicated conditions for up to 24 hours and flow cytometric analysis of apoptosis in CD34+CD38-CD45RA- HSPCs by Annexin V staining (n = 3). </w:t>
      </w:r>
      <w:r w:rsidRPr="00EE0340">
        <w:rPr>
          <w:rFonts w:eastAsia="Times New Roman" w:cstheme="minorHAnsi"/>
          <w:b/>
          <w:bCs/>
          <w:kern w:val="0"/>
          <w14:ligatures w14:val="none"/>
        </w:rPr>
        <w:t>(B)</w:t>
      </w:r>
      <w:r w:rsidRPr="00EE0340">
        <w:rPr>
          <w:rFonts w:eastAsia="Times New Roman" w:cstheme="minorHAnsi"/>
          <w:kern w:val="0"/>
          <w14:ligatures w14:val="none"/>
        </w:rPr>
        <w:t xml:space="preserve"> mCherry fluorescence confirming the genetic labelling of MS5 cell mitochondria. </w:t>
      </w:r>
      <w:r w:rsidRPr="00EE0340">
        <w:rPr>
          <w:rFonts w:eastAsia="Times New Roman" w:cstheme="minorHAnsi"/>
          <w:b/>
          <w:bCs/>
          <w:kern w:val="0"/>
          <w14:ligatures w14:val="none"/>
        </w:rPr>
        <w:t>(C)</w:t>
      </w:r>
      <w:r w:rsidRPr="00EE0340">
        <w:rPr>
          <w:rFonts w:eastAsia="Times New Roman" w:cstheme="minorHAnsi"/>
          <w:kern w:val="0"/>
          <w14:ligatures w14:val="none"/>
        </w:rPr>
        <w:t xml:space="preserve"> Representative FACS plots showing mCherry fluorescence in HSPCs cultured alone or in co-culture with mCherry-labelled MS5 cells.</w:t>
      </w:r>
    </w:p>
    <w:p w14:paraId="751A1EA4" w14:textId="77777777" w:rsidR="00E13A44" w:rsidRPr="00EE0340" w:rsidRDefault="00E13A44" w:rsidP="00E13A44">
      <w:pPr>
        <w:spacing w:before="100" w:beforeAutospacing="1" w:after="100" w:afterAutospacing="1" w:line="480" w:lineRule="auto"/>
        <w:jc w:val="both"/>
        <w:rPr>
          <w:rFonts w:eastAsia="Times New Roman" w:cstheme="minorHAnsi"/>
          <w:b/>
          <w:bCs/>
          <w:kern w:val="0"/>
          <w14:ligatures w14:val="none"/>
        </w:rPr>
      </w:pPr>
      <w:r w:rsidRPr="00EE0340">
        <w:rPr>
          <w:rFonts w:eastAsia="Times New Roman" w:cstheme="minorHAnsi"/>
          <w:b/>
          <w:bCs/>
          <w:kern w:val="0"/>
          <w14:ligatures w14:val="none"/>
        </w:rPr>
        <w:t xml:space="preserve">Supplemental Figure </w:t>
      </w:r>
      <w:r w:rsidRPr="00EE0340">
        <w:rPr>
          <w:rFonts w:eastAsia="Times New Roman" w:cstheme="minorHAnsi"/>
          <w:b/>
          <w:bCs/>
          <w:kern w:val="0"/>
          <w:lang w:val="en-US"/>
          <w14:ligatures w14:val="none"/>
        </w:rPr>
        <w:t>3</w:t>
      </w:r>
      <w:r w:rsidRPr="00EE0340">
        <w:rPr>
          <w:rFonts w:eastAsia="Times New Roman" w:cstheme="minorHAnsi"/>
          <w:b/>
          <w:bCs/>
          <w:kern w:val="0"/>
          <w14:ligatures w14:val="none"/>
        </w:rPr>
        <w:t>. LTC-IC assay and in vivo hematopoietic reconstitution.</w:t>
      </w:r>
    </w:p>
    <w:p w14:paraId="06166853"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(A</w:t>
      </w:r>
      <w:r w:rsidRPr="00EE0340">
        <w:rPr>
          <w:rFonts w:eastAsia="Times New Roman" w:cstheme="minorHAnsi"/>
          <w:kern w:val="0"/>
          <w14:ligatures w14:val="none"/>
        </w:rPr>
        <w:t xml:space="preserve">) CB-derived CD34⁺ cells were exposed to 3 Gy IR before being cultured for 24 hours in either cytokine-only or MSC co-culture conditions. Cells were then plated for a limiting dilution LTC-IC assay. After five weeks, the medium was replaced with methylcellulose, and wells were scored for colony formation 10–14 days later. The table summarizes LTC-IC frequencies as calculated by L-CALC software. </w:t>
      </w:r>
      <w:r w:rsidRPr="00EE0340">
        <w:rPr>
          <w:rFonts w:eastAsia="Times New Roman" w:cstheme="minorHAnsi"/>
          <w:b/>
          <w:bCs/>
          <w:kern w:val="0"/>
          <w14:ligatures w14:val="none"/>
        </w:rPr>
        <w:t>(B)</w:t>
      </w:r>
      <w:r w:rsidRPr="00EE0340">
        <w:rPr>
          <w:rFonts w:eastAsia="Times New Roman" w:cstheme="minorHAnsi"/>
          <w:kern w:val="0"/>
          <w14:ligatures w14:val="none"/>
        </w:rPr>
        <w:t xml:space="preserve"> Lineage distribution of human cells in the bone marrow of recipient mice. </w:t>
      </w:r>
      <w:r w:rsidRPr="00EE0340">
        <w:rPr>
          <w:rFonts w:eastAsia="Times New Roman" w:cstheme="minorHAnsi"/>
          <w:b/>
          <w:bCs/>
          <w:kern w:val="0"/>
          <w14:ligatures w14:val="none"/>
        </w:rPr>
        <w:t>(C)</w:t>
      </w:r>
      <w:r w:rsidRPr="00EE0340">
        <w:rPr>
          <w:rFonts w:eastAsia="Times New Roman" w:cstheme="minorHAnsi"/>
          <w:kern w:val="0"/>
          <w14:ligatures w14:val="none"/>
        </w:rPr>
        <w:t xml:space="preserve"> Human CD45⁺ chimerism in the peripheral blood of NSGW41 mice 15 weeks post-transplant. </w:t>
      </w:r>
      <w:r w:rsidRPr="00EE0340">
        <w:rPr>
          <w:rFonts w:eastAsia="Times New Roman" w:cstheme="minorHAnsi"/>
          <w:b/>
          <w:bCs/>
          <w:kern w:val="0"/>
          <w14:ligatures w14:val="none"/>
        </w:rPr>
        <w:t>(D)</w:t>
      </w:r>
      <w:r w:rsidRPr="00EE0340">
        <w:rPr>
          <w:rFonts w:eastAsia="Times New Roman" w:cstheme="minorHAnsi"/>
          <w:kern w:val="0"/>
          <w14:ligatures w14:val="none"/>
        </w:rPr>
        <w:t xml:space="preserve"> Human CD45⁺ chimerism in the spleen of NSGW41 mice 15 weeks post-transplant.</w:t>
      </w:r>
    </w:p>
    <w:p w14:paraId="24ACFD9D" w14:textId="77777777" w:rsidR="00E13A44" w:rsidRPr="00EE0340" w:rsidRDefault="00E13A44" w:rsidP="00E13A44">
      <w:pPr>
        <w:spacing w:before="100" w:beforeAutospacing="1" w:after="100" w:afterAutospacing="1" w:line="480" w:lineRule="auto"/>
        <w:jc w:val="both"/>
        <w:rPr>
          <w:rFonts w:eastAsia="Times New Roman" w:cstheme="minorHAnsi"/>
          <w:b/>
          <w:bCs/>
          <w:kern w:val="0"/>
          <w14:ligatures w14:val="none"/>
        </w:rPr>
      </w:pPr>
      <w:r w:rsidRPr="00EE0340">
        <w:rPr>
          <w:rFonts w:eastAsia="Times New Roman" w:cstheme="minorHAnsi"/>
          <w:b/>
          <w:bCs/>
          <w:kern w:val="0"/>
          <w14:ligatures w14:val="none"/>
        </w:rPr>
        <w:t>Supplemental Figure 4. MSC exposure triggers CREB-dependent gene expression changes and enrichment of stemness-associated transcriptional programs in human HSPCs</w:t>
      </w:r>
    </w:p>
    <w:p w14:paraId="1B8A3220"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(A</w:t>
      </w:r>
      <w:r w:rsidRPr="00EE0340">
        <w:rPr>
          <w:rFonts w:eastAsia="Times New Roman" w:cstheme="minorHAnsi"/>
          <w:kern w:val="0"/>
          <w14:ligatures w14:val="none"/>
        </w:rPr>
        <w:t xml:space="preserve">) Heatmap showing differentially expressed genes in human CD34⁺CD38⁻CD45RA⁻ HSPCs after 24 h co-culture with OP9M2 MSCs compared to cytokine-only controls. Each group represents the average gene-expression profile of four independent biological and technical replicates. </w:t>
      </w:r>
      <w:r w:rsidRPr="00EE0340">
        <w:rPr>
          <w:rFonts w:eastAsia="Times New Roman" w:cstheme="minorHAnsi"/>
          <w:b/>
          <w:bCs/>
          <w:kern w:val="0"/>
          <w14:ligatures w14:val="none"/>
        </w:rPr>
        <w:t>(B)</w:t>
      </w:r>
      <w:r w:rsidRPr="00EE0340">
        <w:rPr>
          <w:rFonts w:eastAsia="Times New Roman" w:cstheme="minorHAnsi"/>
          <w:kern w:val="0"/>
          <w14:ligatures w14:val="none"/>
        </w:rPr>
        <w:t xml:space="preserve"> GSEA enrichment plot for TAX-CREB target genes in HSPCs co-cultured with OP9M2 MSCs versus cytokine-only culture. </w:t>
      </w:r>
      <w:r w:rsidRPr="00EE0340">
        <w:rPr>
          <w:rFonts w:eastAsia="Times New Roman" w:cstheme="minorHAnsi"/>
          <w:b/>
          <w:bCs/>
          <w:kern w:val="0"/>
          <w14:ligatures w14:val="none"/>
        </w:rPr>
        <w:t>(C)</w:t>
      </w:r>
      <w:r w:rsidRPr="00EE0340">
        <w:rPr>
          <w:rFonts w:eastAsia="Times New Roman" w:cstheme="minorHAnsi"/>
          <w:kern w:val="0"/>
          <w14:ligatures w14:val="none"/>
        </w:rPr>
        <w:t xml:space="preserve"> Enrichment plots for published HSC stemness-associated gene sets, along with a heatmap of genes downregulated upon MSC co-culture. </w:t>
      </w:r>
      <w:r w:rsidRPr="00EE0340">
        <w:rPr>
          <w:rFonts w:eastAsia="Times New Roman" w:cstheme="minorHAnsi"/>
          <w:b/>
          <w:bCs/>
          <w:kern w:val="0"/>
          <w14:ligatures w14:val="none"/>
        </w:rPr>
        <w:lastRenderedPageBreak/>
        <w:t>(D)</w:t>
      </w:r>
      <w:r w:rsidRPr="00EE0340">
        <w:rPr>
          <w:rFonts w:eastAsia="Times New Roman" w:cstheme="minorHAnsi"/>
          <w:kern w:val="0"/>
          <w14:ligatures w14:val="none"/>
        </w:rPr>
        <w:t xml:space="preserve"> Heatmap displaying the expression of leading-edge CREB1 target genes. </w:t>
      </w:r>
      <w:r w:rsidRPr="00EE0340">
        <w:rPr>
          <w:rFonts w:eastAsia="Times New Roman" w:cstheme="minorHAnsi"/>
          <w:b/>
          <w:bCs/>
          <w:kern w:val="0"/>
          <w14:ligatures w14:val="none"/>
        </w:rPr>
        <w:t>(E)</w:t>
      </w:r>
      <w:r w:rsidRPr="00EE0340">
        <w:rPr>
          <w:rFonts w:eastAsia="Times New Roman" w:cstheme="minorHAnsi"/>
          <w:kern w:val="0"/>
          <w14:ligatures w14:val="none"/>
        </w:rPr>
        <w:t xml:space="preserve"> qRT-PCR analysis validating upregulation of CREB target genes in HSPCs co-cultured with hBM-MSCs compared to controls (n = 5).</w:t>
      </w:r>
      <w:r w:rsidRPr="00EE0340">
        <w:t xml:space="preserve"> </w:t>
      </w:r>
      <w:r w:rsidRPr="00EE0340">
        <w:rPr>
          <w:rFonts w:eastAsia="Times New Roman" w:cstheme="minorHAnsi"/>
          <w:kern w:val="0"/>
          <w14:ligatures w14:val="none"/>
        </w:rPr>
        <w:t xml:space="preserve"> Data are mean ± SEM. Statistical significance was assessed by unpaired two-tailed Student’s </w:t>
      </w:r>
      <w:r w:rsidRPr="00EE0340">
        <w:rPr>
          <w:rFonts w:eastAsia="Times New Roman" w:cstheme="minorHAnsi"/>
          <w:i/>
          <w:iCs/>
          <w:kern w:val="0"/>
          <w14:ligatures w14:val="none"/>
        </w:rPr>
        <w:t>t</w:t>
      </w:r>
      <w:r w:rsidRPr="00EE0340">
        <w:rPr>
          <w:rFonts w:eastAsia="Times New Roman" w:cstheme="minorHAnsi"/>
          <w:kern w:val="0"/>
          <w14:ligatures w14:val="none"/>
        </w:rPr>
        <w:t>-test.</w:t>
      </w:r>
    </w:p>
    <w:p w14:paraId="1FB1B10C" w14:textId="77777777" w:rsidR="00E13A44" w:rsidRPr="00EE0340" w:rsidRDefault="00E13A44" w:rsidP="00E13A44">
      <w:pPr>
        <w:spacing w:before="100" w:beforeAutospacing="1" w:after="100" w:afterAutospacing="1" w:line="480" w:lineRule="auto"/>
        <w:jc w:val="both"/>
        <w:rPr>
          <w:rFonts w:eastAsia="Times New Roman" w:cstheme="minorHAnsi"/>
          <w:b/>
          <w:bCs/>
          <w:kern w:val="0"/>
          <w14:ligatures w14:val="none"/>
        </w:rPr>
      </w:pPr>
      <w:r w:rsidRPr="00EE0340">
        <w:rPr>
          <w:rFonts w:eastAsia="Times New Roman" w:cstheme="minorHAnsi"/>
          <w:b/>
          <w:bCs/>
          <w:kern w:val="0"/>
          <w14:ligatures w14:val="none"/>
        </w:rPr>
        <w:t>Supplemental Figure 5. Gating strategy and Annexin V–based quantification of apoptotic HSPCs following irradiation and cAMP antagonist treatment.</w:t>
      </w:r>
    </w:p>
    <w:p w14:paraId="7EE1CE68" w14:textId="5588C73D"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 xml:space="preserve">(A) </w:t>
      </w:r>
      <w:r w:rsidRPr="00EE0340">
        <w:rPr>
          <w:rFonts w:eastAsia="Times New Roman" w:cstheme="minorHAnsi"/>
          <w:kern w:val="0"/>
          <w14:ligatures w14:val="none"/>
        </w:rPr>
        <w:t xml:space="preserve">Gating scheme for apoptosis analysis in human CD34+CD38-CD45RA- HSPCs </w:t>
      </w:r>
      <w:r w:rsidRPr="00EE0340">
        <w:rPr>
          <w:rFonts w:eastAsia="Times New Roman" w:cstheme="minorHAnsi"/>
          <w:b/>
          <w:bCs/>
          <w:kern w:val="0"/>
          <w14:ligatures w14:val="none"/>
        </w:rPr>
        <w:t xml:space="preserve">(B) </w:t>
      </w:r>
      <w:r w:rsidRPr="00EE0340">
        <w:rPr>
          <w:rFonts w:eastAsia="Times New Roman" w:cstheme="minorHAnsi"/>
          <w:kern w:val="0"/>
          <w14:ligatures w14:val="none"/>
        </w:rPr>
        <w:t xml:space="preserve">FACS plots showing Annexin V+ apoptotic HSPCs percentage in HSPCs after cAMP antagonist treatment 24 hrs after irradiation. </w:t>
      </w:r>
      <w:r w:rsidR="0041485B" w:rsidRPr="00EE0340">
        <w:rPr>
          <w:rFonts w:eastAsia="Times New Roman" w:cstheme="minorHAnsi"/>
          <w:b/>
          <w:bCs/>
          <w:kern w:val="0"/>
          <w14:ligatures w14:val="none"/>
        </w:rPr>
        <w:t>(C)</w:t>
      </w:r>
      <w:r w:rsidR="0041485B" w:rsidRPr="00EE0340">
        <w:rPr>
          <w:rFonts w:eastAsia="Times New Roman" w:cstheme="minorHAnsi"/>
          <w:kern w:val="0"/>
          <w14:ligatures w14:val="none"/>
        </w:rPr>
        <w:t xml:space="preserve"> CB CD34+ cells were cultured under the indicated conditions for up to 24 hours and analysed for intracellular phospho-CREB (Ser133) levels. Bar graphs represent the MFI values of P-CREB in HSPCs at 24 hours.</w:t>
      </w:r>
    </w:p>
    <w:p w14:paraId="37B85CB3" w14:textId="77777777" w:rsidR="00E13A44" w:rsidRPr="00EE0340" w:rsidRDefault="00E13A44" w:rsidP="00E13A44">
      <w:pPr>
        <w:spacing w:before="100" w:beforeAutospacing="1" w:after="100" w:afterAutospacing="1" w:line="480" w:lineRule="auto"/>
        <w:jc w:val="both"/>
        <w:rPr>
          <w:rFonts w:eastAsia="Times New Roman" w:cstheme="minorHAnsi"/>
          <w:b/>
          <w:bCs/>
          <w:kern w:val="0"/>
          <w14:ligatures w14:val="none"/>
        </w:rPr>
      </w:pPr>
      <w:r w:rsidRPr="00EE0340">
        <w:rPr>
          <w:rFonts w:eastAsia="Times New Roman" w:cstheme="minorHAnsi"/>
          <w:b/>
          <w:bCs/>
          <w:kern w:val="0"/>
          <w14:ligatures w14:val="none"/>
        </w:rPr>
        <w:t>Supplemental Figure 6. Gating strategy and Annexin V–based quantification of apoptotic HSPCs following irradiation and gap junction inhibitors treatment.</w:t>
      </w:r>
    </w:p>
    <w:p w14:paraId="36C90EAD"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 xml:space="preserve">(A) </w:t>
      </w:r>
      <w:r w:rsidRPr="00EE0340">
        <w:rPr>
          <w:rFonts w:eastAsia="Times New Roman" w:cstheme="minorHAnsi"/>
          <w:kern w:val="0"/>
          <w14:ligatures w14:val="none"/>
        </w:rPr>
        <w:t xml:space="preserve">FACS plots showing Annexin V+ apoptotic HSPCs percentage in HSPCs after Connexin 43 mimetic peptide treatment 24 hrs after irradiation. </w:t>
      </w:r>
      <w:r w:rsidRPr="00EE0340">
        <w:rPr>
          <w:rFonts w:eastAsia="Times New Roman" w:cstheme="minorHAnsi"/>
          <w:b/>
          <w:bCs/>
          <w:kern w:val="0"/>
          <w14:ligatures w14:val="none"/>
        </w:rPr>
        <w:t xml:space="preserve">(B) </w:t>
      </w:r>
      <w:r w:rsidRPr="00EE0340">
        <w:rPr>
          <w:rFonts w:eastAsia="Times New Roman" w:cstheme="minorHAnsi"/>
          <w:kern w:val="0"/>
          <w14:ligatures w14:val="none"/>
        </w:rPr>
        <w:t>FACS plots showing Annexin V+ apoptotic HSPCs percentage in HSPCs after gap junction inhibitor treatment 24 hrs after irradiation.</w:t>
      </w:r>
    </w:p>
    <w:p w14:paraId="5A44DFE8" w14:textId="6FD187AC" w:rsidR="00E13A44" w:rsidRPr="00EE0340" w:rsidRDefault="00E13A44" w:rsidP="00E13A44">
      <w:pPr>
        <w:spacing w:before="100" w:beforeAutospacing="1" w:after="100" w:afterAutospacing="1" w:line="480" w:lineRule="auto"/>
        <w:jc w:val="both"/>
        <w:rPr>
          <w:rFonts w:eastAsia="Times New Roman" w:cstheme="minorHAnsi"/>
          <w:b/>
          <w:bCs/>
          <w:kern w:val="0"/>
          <w14:ligatures w14:val="none"/>
        </w:rPr>
      </w:pPr>
      <w:r w:rsidRPr="00EE0340">
        <w:rPr>
          <w:rFonts w:eastAsia="Times New Roman" w:cstheme="minorHAnsi"/>
          <w:b/>
          <w:bCs/>
          <w:kern w:val="0"/>
          <w14:ligatures w14:val="none"/>
        </w:rPr>
        <w:t xml:space="preserve">Supplemental Figure 7. Gating strategy and Annexin V–based quantification of apoptotic HSPCs following irradiation and </w:t>
      </w:r>
      <w:r w:rsidR="00512935" w:rsidRPr="00EE0340">
        <w:rPr>
          <w:rFonts w:eastAsia="Times New Roman" w:cstheme="minorHAnsi"/>
          <w:b/>
          <w:bCs/>
          <w:kern w:val="0"/>
          <w14:ligatures w14:val="none"/>
        </w:rPr>
        <w:t>EP2 and EP</w:t>
      </w:r>
      <w:proofErr w:type="gramStart"/>
      <w:r w:rsidR="00512935" w:rsidRPr="00EE0340">
        <w:rPr>
          <w:rFonts w:eastAsia="Times New Roman" w:cstheme="minorHAnsi"/>
          <w:b/>
          <w:bCs/>
          <w:kern w:val="0"/>
          <w14:ligatures w14:val="none"/>
        </w:rPr>
        <w:t xml:space="preserve">4 </w:t>
      </w:r>
      <w:r w:rsidRPr="00EE0340">
        <w:rPr>
          <w:rFonts w:eastAsia="Times New Roman" w:cstheme="minorHAnsi"/>
          <w:b/>
          <w:bCs/>
          <w:kern w:val="0"/>
          <w14:ligatures w14:val="none"/>
        </w:rPr>
        <w:t xml:space="preserve"> </w:t>
      </w:r>
      <w:r w:rsidR="00512935" w:rsidRPr="00EE0340">
        <w:rPr>
          <w:rFonts w:eastAsia="Times New Roman" w:cstheme="minorHAnsi"/>
          <w:b/>
          <w:bCs/>
          <w:kern w:val="0"/>
          <w14:ligatures w14:val="none"/>
        </w:rPr>
        <w:t>antagonists</w:t>
      </w:r>
      <w:proofErr w:type="gramEnd"/>
      <w:r w:rsidRPr="00EE0340">
        <w:rPr>
          <w:rFonts w:eastAsia="Times New Roman" w:cstheme="minorHAnsi"/>
          <w:b/>
          <w:bCs/>
          <w:kern w:val="0"/>
          <w14:ligatures w14:val="none"/>
        </w:rPr>
        <w:t xml:space="preserve"> treatment.</w:t>
      </w:r>
    </w:p>
    <w:p w14:paraId="1F4EB80D" w14:textId="77777777" w:rsidR="00E13A44" w:rsidRPr="00EE0340" w:rsidRDefault="00E13A44" w:rsidP="00E13A44">
      <w:pPr>
        <w:spacing w:before="100" w:beforeAutospacing="1" w:after="100" w:afterAutospacing="1" w:line="480" w:lineRule="auto"/>
        <w:jc w:val="both"/>
      </w:pPr>
      <w:r w:rsidRPr="00EE0340">
        <w:rPr>
          <w:rFonts w:eastAsia="Times New Roman" w:cstheme="minorHAnsi"/>
          <w:b/>
          <w:bCs/>
          <w:kern w:val="0"/>
          <w14:ligatures w14:val="none"/>
        </w:rPr>
        <w:t xml:space="preserve">(A) </w:t>
      </w:r>
      <w:r w:rsidRPr="00EE0340">
        <w:rPr>
          <w:rFonts w:eastAsia="Times New Roman" w:cstheme="minorHAnsi"/>
          <w:kern w:val="0"/>
          <w14:ligatures w14:val="none"/>
        </w:rPr>
        <w:t xml:space="preserve">FACS plots showing Annexin V+ apoptotic HSPCs percentage in HSPCs after prostaglandin receptor antagonist treatment 24 hrs after irradiation. </w:t>
      </w:r>
    </w:p>
    <w:p w14:paraId="29F78C5D"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lastRenderedPageBreak/>
        <w:t>Supplemental Figure 8. Dual EP2/EP4 inhibition abolishes MSC-mediated protection of irradiated human HSPCs</w:t>
      </w:r>
    </w:p>
    <w:p w14:paraId="18D083C2" w14:textId="79B5226E"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kern w:val="0"/>
          <w14:ligatures w14:val="none"/>
        </w:rPr>
        <w:t xml:space="preserve"> </w:t>
      </w:r>
      <w:r w:rsidRPr="00EE0340">
        <w:rPr>
          <w:rFonts w:eastAsia="Times New Roman" w:cstheme="minorHAnsi"/>
          <w:b/>
          <w:bCs/>
          <w:kern w:val="0"/>
          <w14:ligatures w14:val="none"/>
        </w:rPr>
        <w:t>(</w:t>
      </w:r>
      <w:r w:rsidR="0041485B" w:rsidRPr="00EE0340">
        <w:rPr>
          <w:rFonts w:eastAsia="Times New Roman" w:cstheme="minorHAnsi"/>
          <w:b/>
          <w:bCs/>
          <w:kern w:val="0"/>
          <w14:ligatures w14:val="none"/>
        </w:rPr>
        <w:t>A</w:t>
      </w:r>
      <w:r w:rsidRPr="00EE0340">
        <w:rPr>
          <w:rFonts w:eastAsia="Times New Roman" w:cstheme="minorHAnsi"/>
          <w:b/>
          <w:bCs/>
          <w:kern w:val="0"/>
          <w14:ligatures w14:val="none"/>
        </w:rPr>
        <w:t>–</w:t>
      </w:r>
      <w:r w:rsidR="0041485B" w:rsidRPr="00EE0340">
        <w:rPr>
          <w:rFonts w:eastAsia="Times New Roman" w:cstheme="minorHAnsi"/>
          <w:b/>
          <w:bCs/>
          <w:kern w:val="0"/>
          <w14:ligatures w14:val="none"/>
        </w:rPr>
        <w:t>C</w:t>
      </w:r>
      <w:r w:rsidRPr="00EE0340">
        <w:rPr>
          <w:rFonts w:eastAsia="Times New Roman" w:cstheme="minorHAnsi"/>
          <w:b/>
          <w:bCs/>
          <w:kern w:val="0"/>
          <w14:ligatures w14:val="none"/>
        </w:rPr>
        <w:t>)</w:t>
      </w:r>
      <w:r w:rsidRPr="00EE0340">
        <w:rPr>
          <w:rFonts w:eastAsia="Times New Roman" w:cstheme="minorHAnsi"/>
          <w:kern w:val="0"/>
          <w14:ligatures w14:val="none"/>
        </w:rPr>
        <w:t xml:space="preserve"> CB CD34+ cells cultured in the presence of individual or combination of prostaglandin receptor antagonists for up to 24 hours and analysed for apoptosis in HSPCs using Annexin V staining (n = 3).</w:t>
      </w:r>
      <w:r w:rsidRPr="00EE0340">
        <w:rPr>
          <w:rFonts w:eastAsia="Times New Roman" w:cstheme="minorHAnsi"/>
          <w:kern w:val="0"/>
          <w:lang w:val="en-US"/>
          <w14:ligatures w14:val="none"/>
        </w:rPr>
        <w:t xml:space="preserve"> </w:t>
      </w:r>
      <w:r w:rsidRPr="00EE0340">
        <w:rPr>
          <w:rFonts w:eastAsia="Times New Roman" w:cstheme="minorHAnsi"/>
          <w:b/>
          <w:bCs/>
          <w:kern w:val="0"/>
          <w14:ligatures w14:val="none"/>
        </w:rPr>
        <w:t>(</w:t>
      </w:r>
      <w:r w:rsidR="0041485B" w:rsidRPr="00EE0340">
        <w:rPr>
          <w:rFonts w:eastAsia="Times New Roman" w:cstheme="minorHAnsi"/>
          <w:b/>
          <w:bCs/>
          <w:kern w:val="0"/>
          <w:lang w:val="en-US"/>
          <w14:ligatures w14:val="none"/>
        </w:rPr>
        <w:t>D</w:t>
      </w:r>
      <w:r w:rsidRPr="00EE0340">
        <w:rPr>
          <w:rFonts w:eastAsia="Times New Roman" w:cstheme="minorHAnsi"/>
          <w:b/>
          <w:bCs/>
          <w:kern w:val="0"/>
          <w14:ligatures w14:val="none"/>
        </w:rPr>
        <w:t>)</w:t>
      </w:r>
      <w:r w:rsidRPr="00EE0340">
        <w:rPr>
          <w:rFonts w:eastAsia="Times New Roman" w:cstheme="minorHAnsi"/>
          <w:kern w:val="0"/>
          <w14:ligatures w14:val="none"/>
        </w:rPr>
        <w:t xml:space="preserve"> OP9M2 MSCs were cultured under the indicated conditions for 24 hours, and PGE2 concentrations in the supernatants were measured by ELISA (n = 3).</w:t>
      </w:r>
    </w:p>
    <w:p w14:paraId="125B7741" w14:textId="77777777" w:rsidR="00E13A44" w:rsidRPr="00EE0340" w:rsidRDefault="00E13A44" w:rsidP="00E13A44">
      <w:pPr>
        <w:spacing w:before="100" w:beforeAutospacing="1" w:after="100" w:afterAutospacing="1" w:line="480" w:lineRule="auto"/>
        <w:jc w:val="both"/>
        <w:rPr>
          <w:rFonts w:eastAsia="Times New Roman" w:cstheme="minorHAnsi"/>
          <w:b/>
          <w:bCs/>
          <w:kern w:val="0"/>
          <w14:ligatures w14:val="none"/>
        </w:rPr>
      </w:pPr>
      <w:r w:rsidRPr="00EE0340">
        <w:rPr>
          <w:rFonts w:eastAsia="Times New Roman" w:cstheme="minorHAnsi"/>
          <w:b/>
          <w:bCs/>
          <w:kern w:val="0"/>
          <w14:ligatures w14:val="none"/>
        </w:rPr>
        <w:t>Supplemental Figure 9. Gating strategy and Annexin V–based quantification of apoptotic HSPCs following irradiation and Forskolin/ IBMX treatment.</w:t>
      </w:r>
    </w:p>
    <w:p w14:paraId="59FAC0EB" w14:textId="77777777" w:rsidR="00E13A44" w:rsidRPr="00EE0340" w:rsidRDefault="00E13A44" w:rsidP="00E13A44">
      <w:pPr>
        <w:spacing w:before="100" w:beforeAutospacing="1" w:after="100" w:afterAutospacing="1" w:line="480" w:lineRule="auto"/>
        <w:jc w:val="both"/>
      </w:pPr>
      <w:r w:rsidRPr="00EE0340">
        <w:rPr>
          <w:rFonts w:eastAsia="Times New Roman" w:cstheme="minorHAnsi"/>
          <w:b/>
          <w:bCs/>
          <w:kern w:val="0"/>
          <w14:ligatures w14:val="none"/>
        </w:rPr>
        <w:t xml:space="preserve">(A) </w:t>
      </w:r>
      <w:r w:rsidRPr="00EE0340">
        <w:rPr>
          <w:rFonts w:eastAsia="Times New Roman" w:cstheme="minorHAnsi"/>
          <w:kern w:val="0"/>
          <w14:ligatures w14:val="none"/>
        </w:rPr>
        <w:t xml:space="preserve">FACS plots showing Annexin V+ apoptotic HSPCs percentage in HSPCs after Forskolin/ IBMX treatment 24 hrs after irradiation. </w:t>
      </w:r>
    </w:p>
    <w:p w14:paraId="03C7DC14"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 xml:space="preserve">Supplemental Figure </w:t>
      </w:r>
      <w:r w:rsidRPr="00EE0340">
        <w:rPr>
          <w:rFonts w:eastAsia="Times New Roman" w:cstheme="minorHAnsi"/>
          <w:b/>
          <w:bCs/>
          <w:kern w:val="0"/>
          <w:lang w:val="en-US"/>
          <w14:ligatures w14:val="none"/>
        </w:rPr>
        <w:t>10</w:t>
      </w:r>
      <w:r w:rsidRPr="00EE0340">
        <w:rPr>
          <w:rFonts w:eastAsia="Times New Roman" w:cstheme="minorHAnsi"/>
          <w:b/>
          <w:bCs/>
          <w:kern w:val="0"/>
          <w14:ligatures w14:val="none"/>
        </w:rPr>
        <w:t>. Effects of Forskolin/IBMX on cAMP/CREB activation and apoptosis.</w:t>
      </w:r>
    </w:p>
    <w:p w14:paraId="2552A38A" w14:textId="236D4C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(A)</w:t>
      </w:r>
      <w:r w:rsidRPr="00EE0340">
        <w:rPr>
          <w:rFonts w:eastAsia="Times New Roman" w:cstheme="minorHAnsi"/>
          <w:kern w:val="0"/>
          <w14:ligatures w14:val="none"/>
        </w:rPr>
        <w:t xml:space="preserve"> CB CD34+ cells were cultured under the indicated conditions for up to 24 hours and analysed for intracellular phospho-CREB (Ser133) levels in HSPCs (n = 3–4). </w:t>
      </w:r>
      <w:r w:rsidRPr="00EE0340">
        <w:rPr>
          <w:rFonts w:eastAsia="Times New Roman" w:cstheme="minorHAnsi"/>
          <w:b/>
          <w:bCs/>
          <w:kern w:val="0"/>
          <w14:ligatures w14:val="none"/>
        </w:rPr>
        <w:t>(B)</w:t>
      </w:r>
      <w:r w:rsidRPr="00EE0340">
        <w:rPr>
          <w:rFonts w:eastAsia="Times New Roman" w:cstheme="minorHAnsi"/>
          <w:kern w:val="0"/>
          <w14:ligatures w14:val="none"/>
        </w:rPr>
        <w:t xml:space="preserve"> CB CD34+ cells were cultured for 24 hours under the indicated conditions and apoptosis was quantified in HSPCs by Annexin V staining (n = 4). </w:t>
      </w:r>
      <w:r w:rsidRPr="00EE0340">
        <w:rPr>
          <w:rFonts w:eastAsia="Times New Roman" w:cstheme="minorHAnsi"/>
          <w:b/>
          <w:bCs/>
          <w:kern w:val="0"/>
          <w14:ligatures w14:val="none"/>
        </w:rPr>
        <w:t>(C)</w:t>
      </w:r>
      <w:r w:rsidRPr="00EE0340">
        <w:rPr>
          <w:rFonts w:eastAsia="Times New Roman" w:cstheme="minorHAnsi"/>
          <w:kern w:val="0"/>
          <w14:ligatures w14:val="none"/>
        </w:rPr>
        <w:t xml:space="preserve"> CB CD34+ cells were cultured for 24 hours in serum-free medium with SFT cytokines, then treated with 1 µM Etoposide plus 10 µM Forskolin/100 µM IBMX for 48 hours. Apoptosis was assessed in HSPCs by Annexin V staining (n = 3). </w:t>
      </w:r>
      <w:r w:rsidRPr="00EE0340">
        <w:rPr>
          <w:rFonts w:eastAsia="Times New Roman" w:cstheme="minorHAnsi"/>
          <w:b/>
          <w:bCs/>
          <w:kern w:val="0"/>
          <w14:ligatures w14:val="none"/>
        </w:rPr>
        <w:t>(D)</w:t>
      </w:r>
      <w:r w:rsidRPr="00EE0340">
        <w:rPr>
          <w:rFonts w:eastAsia="Times New Roman" w:cstheme="minorHAnsi"/>
          <w:kern w:val="0"/>
          <w14:ligatures w14:val="none"/>
        </w:rPr>
        <w:t xml:space="preserve"> Quantitative analysis (MFI values) of TMRE staining in HSPCs 24 hours after IR and Forskolin/IBMX treatment. </w:t>
      </w:r>
      <w:r w:rsidR="0041485B" w:rsidRPr="00EE0340">
        <w:rPr>
          <w:rFonts w:eastAsia="Times New Roman" w:cstheme="minorHAnsi"/>
          <w:b/>
          <w:bCs/>
          <w:kern w:val="0"/>
          <w14:ligatures w14:val="none"/>
        </w:rPr>
        <w:t>(E)</w:t>
      </w:r>
      <w:r w:rsidR="0041485B" w:rsidRPr="00EE0340">
        <w:rPr>
          <w:rFonts w:eastAsia="Times New Roman" w:cstheme="minorHAnsi"/>
          <w:kern w:val="0"/>
          <w14:ligatures w14:val="none"/>
        </w:rPr>
        <w:t xml:space="preserve"> Annexin V staining of apoptosis in cycling CB HSPCs (induced by 72h culture) following 24h exposure to the indicated conditions (n = 3). Data are mean ± SEM. Statistical significance was assessed by unpaired two-tailed Student’s </w:t>
      </w:r>
      <w:r w:rsidR="0041485B" w:rsidRPr="00EE0340">
        <w:rPr>
          <w:rFonts w:eastAsia="Times New Roman" w:cstheme="minorHAnsi"/>
          <w:i/>
          <w:iCs/>
          <w:kern w:val="0"/>
          <w14:ligatures w14:val="none"/>
        </w:rPr>
        <w:t>t</w:t>
      </w:r>
      <w:r w:rsidR="0041485B" w:rsidRPr="00EE0340">
        <w:rPr>
          <w:rFonts w:eastAsia="Times New Roman" w:cstheme="minorHAnsi"/>
          <w:kern w:val="0"/>
          <w14:ligatures w14:val="none"/>
        </w:rPr>
        <w:t>-test.</w:t>
      </w:r>
      <w:r w:rsidR="0041485B" w:rsidRPr="00EE0340">
        <w:rPr>
          <w:rFonts w:eastAsia="Times New Roman" w:cstheme="minorHAnsi"/>
          <w:b/>
          <w:bCs/>
          <w:kern w:val="0"/>
          <w14:ligatures w14:val="none"/>
        </w:rPr>
        <w:t xml:space="preserve"> </w:t>
      </w:r>
      <w:r w:rsidRPr="00EE0340">
        <w:rPr>
          <w:rFonts w:eastAsia="Times New Roman" w:cstheme="minorHAnsi"/>
          <w:b/>
          <w:bCs/>
          <w:kern w:val="0"/>
          <w14:ligatures w14:val="none"/>
        </w:rPr>
        <w:t>(</w:t>
      </w:r>
      <w:r w:rsidR="0041485B" w:rsidRPr="00EE0340">
        <w:rPr>
          <w:rFonts w:eastAsia="Times New Roman" w:cstheme="minorHAnsi"/>
          <w:b/>
          <w:bCs/>
          <w:kern w:val="0"/>
          <w14:ligatures w14:val="none"/>
        </w:rPr>
        <w:t>F</w:t>
      </w:r>
      <w:r w:rsidRPr="00EE0340">
        <w:rPr>
          <w:rFonts w:eastAsia="Times New Roman" w:cstheme="minorHAnsi"/>
          <w:b/>
          <w:bCs/>
          <w:kern w:val="0"/>
          <w14:ligatures w14:val="none"/>
        </w:rPr>
        <w:t>)</w:t>
      </w:r>
      <w:r w:rsidRPr="00EE0340">
        <w:rPr>
          <w:rFonts w:eastAsia="Times New Roman" w:cstheme="minorHAnsi"/>
          <w:kern w:val="0"/>
          <w14:ligatures w14:val="none"/>
        </w:rPr>
        <w:t xml:space="preserve"> qRT-PCR </w:t>
      </w:r>
      <w:r w:rsidRPr="00EE0340">
        <w:rPr>
          <w:rFonts w:eastAsia="Times New Roman" w:cstheme="minorHAnsi"/>
          <w:kern w:val="0"/>
          <w14:ligatures w14:val="none"/>
        </w:rPr>
        <w:lastRenderedPageBreak/>
        <w:t>analysis of CREB target genes in CD34+ cells treated with dmPGE2 or Forskolin/IBMX for 3 hours (n = 4).</w:t>
      </w:r>
    </w:p>
    <w:p w14:paraId="6E58A86A" w14:textId="77777777" w:rsidR="00E13A44" w:rsidRPr="00EE0340" w:rsidRDefault="00E13A44" w:rsidP="00E13A44">
      <w:pPr>
        <w:spacing w:before="100" w:beforeAutospacing="1" w:after="100" w:afterAutospacing="1" w:line="480" w:lineRule="auto"/>
        <w:jc w:val="both"/>
        <w:rPr>
          <w:rFonts w:eastAsia="Times New Roman" w:cstheme="minorHAnsi"/>
          <w:b/>
          <w:bCs/>
          <w:kern w:val="0"/>
          <w14:ligatures w14:val="none"/>
        </w:rPr>
      </w:pPr>
      <w:r w:rsidRPr="00EE0340">
        <w:rPr>
          <w:rFonts w:eastAsia="Times New Roman" w:cstheme="minorHAnsi"/>
          <w:b/>
          <w:bCs/>
          <w:kern w:val="0"/>
          <w14:ligatures w14:val="none"/>
        </w:rPr>
        <w:t xml:space="preserve">Supplemental Figure </w:t>
      </w:r>
      <w:r w:rsidRPr="00EE0340">
        <w:rPr>
          <w:rFonts w:eastAsia="Times New Roman" w:cstheme="minorHAnsi"/>
          <w:b/>
          <w:bCs/>
          <w:kern w:val="0"/>
          <w:lang w:val="en-US"/>
          <w14:ligatures w14:val="none"/>
        </w:rPr>
        <w:t>11</w:t>
      </w:r>
      <w:r w:rsidRPr="00EE0340">
        <w:rPr>
          <w:rFonts w:eastAsia="Times New Roman" w:cstheme="minorHAnsi"/>
          <w:b/>
          <w:bCs/>
          <w:kern w:val="0"/>
          <w14:ligatures w14:val="none"/>
        </w:rPr>
        <w:t>. In vivo hematopoietic reconstitution analysis.</w:t>
      </w:r>
    </w:p>
    <w:p w14:paraId="5A41EF0E"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w:t>
      </w:r>
      <w:r w:rsidRPr="00EE0340">
        <w:rPr>
          <w:rFonts w:eastAsia="Times New Roman" w:cstheme="minorHAnsi"/>
          <w:b/>
          <w:bCs/>
          <w:kern w:val="0"/>
          <w:lang w:val="en-US"/>
          <w14:ligatures w14:val="none"/>
        </w:rPr>
        <w:t>A</w:t>
      </w:r>
      <w:r w:rsidRPr="00EE0340">
        <w:rPr>
          <w:rFonts w:eastAsia="Times New Roman" w:cstheme="minorHAnsi"/>
          <w:b/>
          <w:bCs/>
          <w:kern w:val="0"/>
          <w14:ligatures w14:val="none"/>
        </w:rPr>
        <w:t>)</w:t>
      </w:r>
      <w:r w:rsidRPr="00EE0340">
        <w:rPr>
          <w:rFonts w:eastAsia="Times New Roman" w:cstheme="minorHAnsi"/>
          <w:kern w:val="0"/>
          <w14:ligatures w14:val="none"/>
        </w:rPr>
        <w:t xml:space="preserve"> Human chimerism in the </w:t>
      </w:r>
      <w:r w:rsidRPr="00EE0340">
        <w:rPr>
          <w:rFonts w:eastAsia="Times New Roman" w:cstheme="minorHAnsi"/>
          <w:kern w:val="0"/>
          <w:lang w:val="en-US"/>
          <w14:ligatures w14:val="none"/>
        </w:rPr>
        <w:t xml:space="preserve">BM </w:t>
      </w:r>
      <w:r w:rsidRPr="00EE0340">
        <w:rPr>
          <w:rFonts w:eastAsia="Times New Roman" w:cstheme="minorHAnsi"/>
          <w:kern w:val="0"/>
          <w14:ligatures w14:val="none"/>
        </w:rPr>
        <w:t>of mice transplanted with control or</w:t>
      </w:r>
      <w:r w:rsidRPr="00EE0340">
        <w:rPr>
          <w:rFonts w:eastAsia="Times New Roman" w:cstheme="minorHAnsi"/>
          <w:kern w:val="0"/>
          <w:lang w:val="en-US"/>
          <w14:ligatures w14:val="none"/>
        </w:rPr>
        <w:t xml:space="preserve"> dmPGE2 treated CD34+ HSPCs</w:t>
      </w:r>
      <w:r w:rsidRPr="00EE0340">
        <w:rPr>
          <w:rFonts w:eastAsia="Times New Roman" w:cstheme="minorHAnsi"/>
          <w:kern w:val="0"/>
          <w14:ligatures w14:val="none"/>
        </w:rPr>
        <w:t xml:space="preserve"> </w:t>
      </w:r>
      <w:r w:rsidRPr="00EE0340">
        <w:rPr>
          <w:rFonts w:eastAsia="Times New Roman" w:cstheme="minorHAnsi"/>
          <w:b/>
          <w:bCs/>
          <w:kern w:val="0"/>
          <w14:ligatures w14:val="none"/>
        </w:rPr>
        <w:t xml:space="preserve">(B) </w:t>
      </w:r>
      <w:r w:rsidRPr="00EE0340">
        <w:rPr>
          <w:rFonts w:eastAsia="Times New Roman" w:cstheme="minorHAnsi"/>
          <w:kern w:val="0"/>
          <w14:ligatures w14:val="none"/>
        </w:rPr>
        <w:t xml:space="preserve">Lineage distribution in the bone marrow of transplanted recipient mice. </w:t>
      </w:r>
      <w:r w:rsidRPr="00EE0340">
        <w:rPr>
          <w:rFonts w:eastAsia="Times New Roman" w:cstheme="minorHAnsi"/>
          <w:b/>
          <w:bCs/>
          <w:kern w:val="0"/>
          <w14:ligatures w14:val="none"/>
        </w:rPr>
        <w:t>(C)</w:t>
      </w:r>
      <w:r w:rsidRPr="00EE0340">
        <w:rPr>
          <w:rFonts w:eastAsia="Times New Roman" w:cstheme="minorHAnsi"/>
          <w:kern w:val="0"/>
          <w14:ligatures w14:val="none"/>
        </w:rPr>
        <w:t xml:space="preserve"> Human chimerism in the spleens of mice transplanted with control or Forskolin/IBMX-treated hCD34⁺ cells (expressed as % hCD45⁺ cells). </w:t>
      </w:r>
      <w:r w:rsidRPr="00EE0340">
        <w:rPr>
          <w:rFonts w:eastAsia="Times New Roman" w:cstheme="minorHAnsi"/>
          <w:b/>
          <w:bCs/>
          <w:kern w:val="0"/>
          <w14:ligatures w14:val="none"/>
        </w:rPr>
        <w:t>(</w:t>
      </w:r>
      <w:r w:rsidRPr="00EE0340">
        <w:rPr>
          <w:rFonts w:eastAsia="Times New Roman" w:cstheme="minorHAnsi"/>
          <w:b/>
          <w:bCs/>
          <w:kern w:val="0"/>
          <w:lang w:val="en-US"/>
          <w14:ligatures w14:val="none"/>
        </w:rPr>
        <w:t>D)</w:t>
      </w:r>
      <w:r w:rsidRPr="00EE0340">
        <w:rPr>
          <w:rFonts w:eastAsia="Times New Roman" w:cstheme="minorHAnsi"/>
          <w:kern w:val="0"/>
          <w14:ligatures w14:val="none"/>
        </w:rPr>
        <w:t xml:space="preserve"> Human chimerism in the spleens of secondary recipient mice following transplantation of bone marrow from primary recipients treated with control or Forskolin/IBMX-treated hCD34⁺ cells. </w:t>
      </w:r>
    </w:p>
    <w:p w14:paraId="2E7CD25D" w14:textId="25E8CBEE" w:rsidR="00E13A44" w:rsidRPr="00EE0340" w:rsidRDefault="00E13A44" w:rsidP="00512935">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 xml:space="preserve">Supplemental Figure </w:t>
      </w:r>
      <w:r w:rsidRPr="00EE0340">
        <w:rPr>
          <w:rFonts w:eastAsia="Times New Roman" w:cstheme="minorHAnsi"/>
          <w:b/>
          <w:bCs/>
          <w:kern w:val="0"/>
          <w:lang w:val="en-US"/>
          <w14:ligatures w14:val="none"/>
        </w:rPr>
        <w:t>12</w:t>
      </w:r>
      <w:r w:rsidRPr="00EE0340">
        <w:rPr>
          <w:rFonts w:eastAsia="Times New Roman" w:cstheme="minorHAnsi"/>
          <w:b/>
          <w:bCs/>
          <w:kern w:val="0"/>
          <w14:ligatures w14:val="none"/>
        </w:rPr>
        <w:t xml:space="preserve">. </w:t>
      </w:r>
      <w:r w:rsidR="003C0F46" w:rsidRPr="00EE0340">
        <w:rPr>
          <w:rFonts w:eastAsia="Times New Roman" w:cstheme="minorHAnsi"/>
          <w:b/>
          <w:bCs/>
          <w:kern w:val="0"/>
          <w14:ligatures w14:val="none"/>
        </w:rPr>
        <w:t>I</w:t>
      </w:r>
      <w:r w:rsidRPr="00EE0340">
        <w:rPr>
          <w:rFonts w:eastAsia="Times New Roman" w:cstheme="minorHAnsi"/>
          <w:b/>
          <w:bCs/>
          <w:kern w:val="0"/>
          <w14:ligatures w14:val="none"/>
        </w:rPr>
        <w:t>n vivo activation of cAMP signaling reduces irradiation-induced apoptosis in human hematopoietic cells</w:t>
      </w:r>
      <w:r w:rsidR="00512935" w:rsidRPr="00EE0340">
        <w:rPr>
          <w:rFonts w:eastAsia="Times New Roman" w:cstheme="minorHAnsi"/>
          <w:b/>
          <w:bCs/>
          <w:kern w:val="0"/>
          <w14:ligatures w14:val="none"/>
        </w:rPr>
        <w:t>.</w:t>
      </w:r>
    </w:p>
    <w:p w14:paraId="059F114E" w14:textId="5748EBC3"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(A)</w:t>
      </w:r>
      <w:r w:rsidRPr="00EE0340">
        <w:rPr>
          <w:rFonts w:eastAsia="Times New Roman" w:cstheme="minorHAnsi"/>
          <w:kern w:val="0"/>
          <w14:ligatures w14:val="none"/>
        </w:rPr>
        <w:t xml:space="preserve"> Schematic </w:t>
      </w:r>
      <w:r w:rsidR="005C0442" w:rsidRPr="00EE0340">
        <w:rPr>
          <w:rFonts w:eastAsia="Times New Roman" w:cstheme="minorHAnsi"/>
          <w:kern w:val="0"/>
          <w14:ligatures w14:val="none"/>
        </w:rPr>
        <w:t>of in</w:t>
      </w:r>
      <w:r w:rsidRPr="00EE0340">
        <w:rPr>
          <w:rFonts w:eastAsia="Times New Roman" w:cstheme="minorHAnsi"/>
          <w:kern w:val="0"/>
          <w14:ligatures w14:val="none"/>
        </w:rPr>
        <w:t xml:space="preserve"> vivo protection experiment. NSG mice were busulfan-conditioned and transplanted with 5 × 10⁴ human CB CD34+ cells. Twelve weeks later, mice were randomized to receive vehicle (DMSO), vehicle + 3 Gy TBI, or Forskolin (10 mg/kg) + IBMX (2 mg/kg) 1 h before 3 Gy TBI. </w:t>
      </w:r>
      <w:r w:rsidRPr="00EE0340">
        <w:rPr>
          <w:rFonts w:eastAsia="Times New Roman" w:cstheme="minorHAnsi"/>
          <w:b/>
          <w:bCs/>
          <w:kern w:val="0"/>
          <w14:ligatures w14:val="none"/>
        </w:rPr>
        <w:t>(B)</w:t>
      </w:r>
      <w:r w:rsidRPr="00EE0340">
        <w:rPr>
          <w:rFonts w:eastAsia="Times New Roman" w:cstheme="minorHAnsi"/>
          <w:kern w:val="0"/>
          <w14:ligatures w14:val="none"/>
        </w:rPr>
        <w:t xml:space="preserve"> Percentage of human CD45⁺ cells in bone marrow 24h after irradiation. </w:t>
      </w:r>
      <w:r w:rsidRPr="00EE0340">
        <w:rPr>
          <w:rFonts w:eastAsia="Times New Roman" w:cstheme="minorHAnsi"/>
          <w:b/>
          <w:bCs/>
          <w:kern w:val="0"/>
          <w14:ligatures w14:val="none"/>
        </w:rPr>
        <w:t>(C)</w:t>
      </w:r>
      <w:r w:rsidRPr="00EE0340">
        <w:rPr>
          <w:rFonts w:eastAsia="Times New Roman" w:cstheme="minorHAnsi"/>
          <w:kern w:val="0"/>
          <w14:ligatures w14:val="none"/>
        </w:rPr>
        <w:t xml:space="preserve"> Percentage of apoptotic (Annexin V+) human CD45+ cells in bone marrow. </w:t>
      </w:r>
      <w:r w:rsidRPr="00EE0340">
        <w:rPr>
          <w:rFonts w:eastAsia="Times New Roman" w:cstheme="minorHAnsi"/>
          <w:b/>
          <w:bCs/>
          <w:kern w:val="0"/>
          <w14:ligatures w14:val="none"/>
        </w:rPr>
        <w:t xml:space="preserve">(D-E) </w:t>
      </w:r>
      <w:r w:rsidRPr="00EE0340">
        <w:rPr>
          <w:rFonts w:eastAsia="Times New Roman" w:cstheme="minorHAnsi"/>
          <w:kern w:val="0"/>
          <w14:ligatures w14:val="none"/>
        </w:rPr>
        <w:t>Human</w:t>
      </w:r>
      <w:r w:rsidRPr="00EE0340">
        <w:rPr>
          <w:rFonts w:eastAsia="Times New Roman" w:cstheme="minorHAnsi"/>
          <w:b/>
          <w:bCs/>
          <w:kern w:val="0"/>
          <w14:ligatures w14:val="none"/>
        </w:rPr>
        <w:t xml:space="preserve"> </w:t>
      </w:r>
      <w:r w:rsidRPr="00EE0340">
        <w:rPr>
          <w:rFonts w:eastAsia="Times New Roman" w:cstheme="minorHAnsi"/>
          <w:kern w:val="0"/>
          <w14:ligatures w14:val="none"/>
        </w:rPr>
        <w:t xml:space="preserve">IFNγ and TNFα levels in the mouse BM </w:t>
      </w:r>
      <w:r w:rsidR="00512935" w:rsidRPr="00EE0340">
        <w:rPr>
          <w:rFonts w:eastAsia="Times New Roman" w:cstheme="minorHAnsi"/>
          <w:kern w:val="0"/>
          <w14:ligatures w14:val="none"/>
        </w:rPr>
        <w:t xml:space="preserve">fluid </w:t>
      </w:r>
      <w:r w:rsidRPr="00EE0340">
        <w:rPr>
          <w:rFonts w:eastAsia="Times New Roman" w:cstheme="minorHAnsi"/>
          <w:kern w:val="0"/>
          <w14:ligatures w14:val="none"/>
        </w:rPr>
        <w:t xml:space="preserve">was quantified 24 hours after Total Body Irradiation. </w:t>
      </w:r>
      <w:r w:rsidRPr="00EE0340">
        <w:rPr>
          <w:rFonts w:eastAsia="Times New Roman" w:cstheme="minorHAnsi"/>
          <w:b/>
          <w:bCs/>
          <w:kern w:val="0"/>
          <w14:ligatures w14:val="none"/>
        </w:rPr>
        <w:t>(F-G)</w:t>
      </w:r>
      <w:r w:rsidRPr="00EE0340">
        <w:rPr>
          <w:rFonts w:eastAsia="Times New Roman" w:cstheme="minorHAnsi"/>
          <w:kern w:val="0"/>
          <w14:ligatures w14:val="none"/>
        </w:rPr>
        <w:t xml:space="preserve"> Human chimerism in the BM and spleens of secondary recipient mice following transplantation of bone marrow from primary recipients. </w:t>
      </w:r>
    </w:p>
    <w:p w14:paraId="426796CE"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 xml:space="preserve">Supplemental Figure </w:t>
      </w:r>
      <w:r w:rsidRPr="00EE0340">
        <w:rPr>
          <w:rFonts w:eastAsia="Times New Roman" w:cstheme="minorHAnsi"/>
          <w:b/>
          <w:bCs/>
          <w:kern w:val="0"/>
          <w:lang w:val="en-US"/>
          <w14:ligatures w14:val="none"/>
        </w:rPr>
        <w:t>13</w:t>
      </w:r>
      <w:r w:rsidRPr="00EE0340">
        <w:rPr>
          <w:rFonts w:eastAsia="Times New Roman" w:cstheme="minorHAnsi"/>
          <w:b/>
          <w:bCs/>
          <w:kern w:val="0"/>
          <w14:ligatures w14:val="none"/>
        </w:rPr>
        <w:t>. qRT-PCR analysis of pro-survival BCL-2 family gene expression.</w:t>
      </w:r>
    </w:p>
    <w:p w14:paraId="1B1142E4"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kern w:val="0"/>
          <w14:ligatures w14:val="none"/>
        </w:rPr>
        <w:lastRenderedPageBreak/>
        <w:t xml:space="preserve">CB CD34⁺ cells were treated with dmPGE2 or Forskolin/IBMX, and gene expression was quantified by qRT-PCR at different time points: </w:t>
      </w:r>
      <w:r w:rsidRPr="00EE0340">
        <w:rPr>
          <w:rFonts w:eastAsia="Times New Roman" w:cstheme="minorHAnsi"/>
          <w:b/>
          <w:bCs/>
          <w:kern w:val="0"/>
          <w14:ligatures w14:val="none"/>
        </w:rPr>
        <w:t>(A)</w:t>
      </w:r>
      <w:r w:rsidRPr="00EE0340">
        <w:rPr>
          <w:rFonts w:eastAsia="Times New Roman" w:cstheme="minorHAnsi"/>
          <w:kern w:val="0"/>
          <w14:ligatures w14:val="none"/>
        </w:rPr>
        <w:t xml:space="preserve"> BCL2 at 3 hours; </w:t>
      </w:r>
      <w:r w:rsidRPr="00EE0340">
        <w:rPr>
          <w:rFonts w:eastAsia="Times New Roman" w:cstheme="minorHAnsi"/>
          <w:b/>
          <w:bCs/>
          <w:kern w:val="0"/>
          <w14:ligatures w14:val="none"/>
        </w:rPr>
        <w:t>(B)</w:t>
      </w:r>
      <w:r w:rsidRPr="00EE0340">
        <w:rPr>
          <w:rFonts w:eastAsia="Times New Roman" w:cstheme="minorHAnsi"/>
          <w:kern w:val="0"/>
          <w14:ligatures w14:val="none"/>
        </w:rPr>
        <w:t xml:space="preserve"> BCL-XL at 3 hours; </w:t>
      </w:r>
      <w:r w:rsidRPr="00EE0340">
        <w:rPr>
          <w:rFonts w:eastAsia="Times New Roman" w:cstheme="minorHAnsi"/>
          <w:b/>
          <w:bCs/>
          <w:kern w:val="0"/>
          <w14:ligatures w14:val="none"/>
        </w:rPr>
        <w:t>(C)</w:t>
      </w:r>
      <w:r w:rsidRPr="00EE0340">
        <w:rPr>
          <w:rFonts w:eastAsia="Times New Roman" w:cstheme="minorHAnsi"/>
          <w:kern w:val="0"/>
          <w14:ligatures w14:val="none"/>
        </w:rPr>
        <w:t xml:space="preserve"> MCL1 at 3 hours; </w:t>
      </w:r>
      <w:r w:rsidRPr="00EE0340">
        <w:rPr>
          <w:rFonts w:eastAsia="Times New Roman" w:cstheme="minorHAnsi"/>
          <w:b/>
          <w:bCs/>
          <w:kern w:val="0"/>
          <w14:ligatures w14:val="none"/>
        </w:rPr>
        <w:t>(D)</w:t>
      </w:r>
      <w:r w:rsidRPr="00EE0340">
        <w:rPr>
          <w:rFonts w:eastAsia="Times New Roman" w:cstheme="minorHAnsi"/>
          <w:kern w:val="0"/>
          <w14:ligatures w14:val="none"/>
        </w:rPr>
        <w:t xml:space="preserve"> BCL2 at 20 hours; </w:t>
      </w:r>
      <w:r w:rsidRPr="00EE0340">
        <w:rPr>
          <w:rFonts w:eastAsia="Times New Roman" w:cstheme="minorHAnsi"/>
          <w:b/>
          <w:bCs/>
          <w:kern w:val="0"/>
          <w14:ligatures w14:val="none"/>
        </w:rPr>
        <w:t>(E)</w:t>
      </w:r>
      <w:r w:rsidRPr="00EE0340">
        <w:rPr>
          <w:rFonts w:eastAsia="Times New Roman" w:cstheme="minorHAnsi"/>
          <w:kern w:val="0"/>
          <w14:ligatures w14:val="none"/>
        </w:rPr>
        <w:t xml:space="preserve"> BCL-XL at 20 hours; </w:t>
      </w:r>
      <w:r w:rsidRPr="00EE0340">
        <w:rPr>
          <w:rFonts w:eastAsia="Times New Roman" w:cstheme="minorHAnsi"/>
          <w:b/>
          <w:bCs/>
          <w:kern w:val="0"/>
          <w14:ligatures w14:val="none"/>
        </w:rPr>
        <w:t>(F)</w:t>
      </w:r>
      <w:r w:rsidRPr="00EE0340">
        <w:rPr>
          <w:rFonts w:eastAsia="Times New Roman" w:cstheme="minorHAnsi"/>
          <w:kern w:val="0"/>
          <w14:ligatures w14:val="none"/>
        </w:rPr>
        <w:t xml:space="preserve"> MCL1 at 20 hours. CB CD34+ cells were nucleofected with siRNAs against </w:t>
      </w:r>
      <w:r w:rsidRPr="00EE0340">
        <w:rPr>
          <w:rFonts w:eastAsia="Times New Roman" w:cstheme="minorHAnsi"/>
          <w:b/>
          <w:bCs/>
          <w:kern w:val="0"/>
          <w14:ligatures w14:val="none"/>
        </w:rPr>
        <w:t>(G)</w:t>
      </w:r>
      <w:r w:rsidRPr="00EE0340">
        <w:rPr>
          <w:rFonts w:eastAsia="Times New Roman" w:cstheme="minorHAnsi"/>
          <w:kern w:val="0"/>
          <w14:ligatures w14:val="none"/>
        </w:rPr>
        <w:t xml:space="preserve"> BCL2 </w:t>
      </w:r>
      <w:r w:rsidRPr="00EE0340">
        <w:rPr>
          <w:rFonts w:eastAsia="Times New Roman" w:cstheme="minorHAnsi"/>
          <w:b/>
          <w:bCs/>
          <w:kern w:val="0"/>
          <w14:ligatures w14:val="none"/>
        </w:rPr>
        <w:t>(H)</w:t>
      </w:r>
      <w:r w:rsidRPr="00EE0340">
        <w:rPr>
          <w:rFonts w:eastAsia="Times New Roman" w:cstheme="minorHAnsi"/>
          <w:kern w:val="0"/>
          <w14:ligatures w14:val="none"/>
        </w:rPr>
        <w:t xml:space="preserve"> BCL-XL </w:t>
      </w:r>
      <w:r w:rsidRPr="00EE0340">
        <w:rPr>
          <w:rFonts w:eastAsia="Times New Roman" w:cstheme="minorHAnsi"/>
          <w:b/>
          <w:bCs/>
          <w:kern w:val="0"/>
          <w14:ligatures w14:val="none"/>
        </w:rPr>
        <w:t>(I)</w:t>
      </w:r>
      <w:r w:rsidRPr="00EE0340">
        <w:rPr>
          <w:rFonts w:eastAsia="Times New Roman" w:cstheme="minorHAnsi"/>
          <w:kern w:val="0"/>
          <w14:ligatures w14:val="none"/>
        </w:rPr>
        <w:t xml:space="preserve"> MCL1 and culture for 24 hrs. Gene knockdown efficiency was quantified by qRT-PCR. </w:t>
      </w:r>
    </w:p>
    <w:p w14:paraId="003FE772"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 xml:space="preserve">Supplemental Figure </w:t>
      </w:r>
      <w:r w:rsidRPr="00EE0340">
        <w:rPr>
          <w:rFonts w:eastAsia="Times New Roman" w:cstheme="minorHAnsi"/>
          <w:b/>
          <w:bCs/>
          <w:kern w:val="0"/>
          <w:lang w:val="en-US"/>
          <w14:ligatures w14:val="none"/>
        </w:rPr>
        <w:t>14</w:t>
      </w:r>
      <w:r w:rsidRPr="00EE0340">
        <w:rPr>
          <w:rFonts w:eastAsia="Times New Roman" w:cstheme="minorHAnsi"/>
          <w:b/>
          <w:bCs/>
          <w:kern w:val="0"/>
          <w14:ligatures w14:val="none"/>
        </w:rPr>
        <w:t>. Flow cytometric quantification of anti-apoptotic proteins post-irradiation.</w:t>
      </w:r>
    </w:p>
    <w:p w14:paraId="2E9E9FE3"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kern w:val="0"/>
          <w14:ligatures w14:val="none"/>
        </w:rPr>
        <w:t xml:space="preserve">CB-derived CD34⁺ cells were cultured for 24 hours after irradiation in SFEM medium with cytokines or in co-culture with OP9M2 MSCs. Intracellular protein levels in HSPCs were measured by flow cytometry: </w:t>
      </w:r>
      <w:r w:rsidRPr="00EE0340">
        <w:rPr>
          <w:rFonts w:eastAsia="Times New Roman" w:cstheme="minorHAnsi"/>
          <w:b/>
          <w:bCs/>
          <w:kern w:val="0"/>
          <w14:ligatures w14:val="none"/>
        </w:rPr>
        <w:t>(A)</w:t>
      </w:r>
      <w:r w:rsidRPr="00EE0340">
        <w:rPr>
          <w:rFonts w:eastAsia="Times New Roman" w:cstheme="minorHAnsi"/>
          <w:kern w:val="0"/>
          <w14:ligatures w14:val="none"/>
        </w:rPr>
        <w:t xml:space="preserve"> BCL2; </w:t>
      </w:r>
      <w:r w:rsidRPr="00EE0340">
        <w:rPr>
          <w:rFonts w:eastAsia="Times New Roman" w:cstheme="minorHAnsi"/>
          <w:b/>
          <w:bCs/>
          <w:kern w:val="0"/>
          <w14:ligatures w14:val="none"/>
        </w:rPr>
        <w:t>(B)</w:t>
      </w:r>
      <w:r w:rsidRPr="00EE0340">
        <w:rPr>
          <w:rFonts w:eastAsia="Times New Roman" w:cstheme="minorHAnsi"/>
          <w:kern w:val="0"/>
          <w14:ligatures w14:val="none"/>
        </w:rPr>
        <w:t xml:space="preserve"> BCL-XL; </w:t>
      </w:r>
      <w:r w:rsidRPr="00EE0340">
        <w:rPr>
          <w:rFonts w:eastAsia="Times New Roman" w:cstheme="minorHAnsi"/>
          <w:b/>
          <w:bCs/>
          <w:kern w:val="0"/>
          <w14:ligatures w14:val="none"/>
        </w:rPr>
        <w:t>(C)</w:t>
      </w:r>
      <w:r w:rsidRPr="00EE0340">
        <w:rPr>
          <w:rFonts w:eastAsia="Times New Roman" w:cstheme="minorHAnsi"/>
          <w:kern w:val="0"/>
          <w14:ligatures w14:val="none"/>
        </w:rPr>
        <w:t xml:space="preserve"> MCL1. Left panels show representative histograms; right panels depict relative expression changes, expressed as the ratio of MFI between IR and non-IR conditions (n = 4 for BCL2 and BCL-XL; n = 6 for MCL1).</w:t>
      </w:r>
    </w:p>
    <w:p w14:paraId="16688609"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 xml:space="preserve">Supplemental Figure </w:t>
      </w:r>
      <w:r w:rsidRPr="00EE0340">
        <w:rPr>
          <w:rFonts w:eastAsia="Times New Roman" w:cstheme="minorHAnsi"/>
          <w:b/>
          <w:bCs/>
          <w:kern w:val="0"/>
          <w:lang w:val="en-US"/>
          <w14:ligatures w14:val="none"/>
        </w:rPr>
        <w:t>15</w:t>
      </w:r>
      <w:r w:rsidRPr="00EE0340">
        <w:rPr>
          <w:rFonts w:eastAsia="Times New Roman" w:cstheme="minorHAnsi"/>
          <w:b/>
          <w:bCs/>
          <w:kern w:val="0"/>
          <w14:ligatures w14:val="none"/>
        </w:rPr>
        <w:t>. Analysis of intracellular anti-apoptotic protein levels following Forskolin/IBMX treatment.</w:t>
      </w:r>
      <w:r w:rsidRPr="00EE0340">
        <w:rPr>
          <w:rFonts w:eastAsia="Times New Roman" w:cstheme="minorHAnsi"/>
          <w:kern w:val="0"/>
          <w14:ligatures w14:val="none"/>
        </w:rPr>
        <w:t xml:space="preserve"> </w:t>
      </w:r>
    </w:p>
    <w:p w14:paraId="42EABC78"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kern w:val="0"/>
          <w14:ligatures w14:val="none"/>
        </w:rPr>
        <w:t xml:space="preserve">CB-derived CD34⁺ cells were cultured for 24 hours after irradiation in SFEM medium with cytokines, with or without Forskolin/IBMX treatment. Intracellular levels of the following proteins were assessed by flow cytometry in HSPCs: </w:t>
      </w:r>
      <w:r w:rsidRPr="00EE0340">
        <w:rPr>
          <w:rFonts w:eastAsia="Times New Roman" w:cstheme="minorHAnsi"/>
          <w:b/>
          <w:bCs/>
          <w:kern w:val="0"/>
          <w14:ligatures w14:val="none"/>
        </w:rPr>
        <w:t>(A)</w:t>
      </w:r>
      <w:r w:rsidRPr="00EE0340">
        <w:rPr>
          <w:rFonts w:eastAsia="Times New Roman" w:cstheme="minorHAnsi"/>
          <w:kern w:val="0"/>
          <w14:ligatures w14:val="none"/>
        </w:rPr>
        <w:t xml:space="preserve"> MCL1; </w:t>
      </w:r>
      <w:r w:rsidRPr="00EE0340">
        <w:rPr>
          <w:rFonts w:eastAsia="Times New Roman" w:cstheme="minorHAnsi"/>
          <w:b/>
          <w:bCs/>
          <w:kern w:val="0"/>
          <w14:ligatures w14:val="none"/>
        </w:rPr>
        <w:t>(B)</w:t>
      </w:r>
      <w:r w:rsidRPr="00EE0340">
        <w:rPr>
          <w:rFonts w:eastAsia="Times New Roman" w:cstheme="minorHAnsi"/>
          <w:kern w:val="0"/>
          <w14:ligatures w14:val="none"/>
        </w:rPr>
        <w:t xml:space="preserve"> BCL2; </w:t>
      </w:r>
      <w:r w:rsidRPr="00EE0340">
        <w:rPr>
          <w:rFonts w:eastAsia="Times New Roman" w:cstheme="minorHAnsi"/>
          <w:b/>
          <w:bCs/>
          <w:kern w:val="0"/>
          <w14:ligatures w14:val="none"/>
        </w:rPr>
        <w:t>(C)</w:t>
      </w:r>
      <w:r w:rsidRPr="00EE0340">
        <w:rPr>
          <w:rFonts w:eastAsia="Times New Roman" w:cstheme="minorHAnsi"/>
          <w:kern w:val="0"/>
          <w14:ligatures w14:val="none"/>
        </w:rPr>
        <w:t xml:space="preserve"> BCL-XL.</w:t>
      </w:r>
      <w:r w:rsidRPr="00EE0340">
        <w:rPr>
          <w:rFonts w:eastAsia="Times New Roman" w:cstheme="minorHAnsi"/>
          <w:kern w:val="0"/>
          <w14:ligatures w14:val="none"/>
        </w:rPr>
        <w:br/>
        <w:t>Representative histograms are shown on the left, and relative expression changes (ratio of MFI between IR and non-IR conditions) are shown on the right.</w:t>
      </w:r>
    </w:p>
    <w:p w14:paraId="424D2016" w14:textId="77777777"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b/>
          <w:bCs/>
          <w:kern w:val="0"/>
          <w14:ligatures w14:val="none"/>
        </w:rPr>
        <w:t xml:space="preserve">Supplemental Figure </w:t>
      </w:r>
      <w:r w:rsidRPr="00EE0340">
        <w:rPr>
          <w:rFonts w:eastAsia="Times New Roman" w:cstheme="minorHAnsi"/>
          <w:b/>
          <w:bCs/>
          <w:kern w:val="0"/>
          <w:lang w:val="en-US"/>
          <w14:ligatures w14:val="none"/>
        </w:rPr>
        <w:t>16</w:t>
      </w:r>
      <w:r w:rsidRPr="00EE0340">
        <w:rPr>
          <w:rFonts w:eastAsia="Times New Roman" w:cstheme="minorHAnsi"/>
          <w:b/>
          <w:bCs/>
          <w:kern w:val="0"/>
          <w14:ligatures w14:val="none"/>
        </w:rPr>
        <w:t>. Survivin expression in HSPCs.</w:t>
      </w:r>
      <w:r w:rsidRPr="00EE0340">
        <w:rPr>
          <w:rFonts w:eastAsia="Times New Roman" w:cstheme="minorHAnsi"/>
          <w:kern w:val="0"/>
          <w14:ligatures w14:val="none"/>
        </w:rPr>
        <w:t xml:space="preserve"> </w:t>
      </w:r>
    </w:p>
    <w:p w14:paraId="23D4B353" w14:textId="7CE2264D" w:rsidR="00E13A44" w:rsidRPr="00EE0340" w:rsidRDefault="00E13A44" w:rsidP="00E13A44">
      <w:pPr>
        <w:spacing w:before="100" w:beforeAutospacing="1" w:after="100" w:afterAutospacing="1" w:line="480" w:lineRule="auto"/>
        <w:jc w:val="both"/>
        <w:rPr>
          <w:rFonts w:eastAsia="Times New Roman" w:cstheme="minorHAnsi"/>
          <w:kern w:val="0"/>
          <w14:ligatures w14:val="none"/>
        </w:rPr>
      </w:pPr>
      <w:r w:rsidRPr="00EE0340">
        <w:rPr>
          <w:rFonts w:eastAsia="Times New Roman" w:cstheme="minorHAnsi"/>
          <w:kern w:val="0"/>
          <w14:ligatures w14:val="none"/>
        </w:rPr>
        <w:lastRenderedPageBreak/>
        <w:t xml:space="preserve"> </w:t>
      </w:r>
      <w:r w:rsidRPr="00EE0340">
        <w:rPr>
          <w:rFonts w:eastAsia="Times New Roman" w:cstheme="minorHAnsi"/>
          <w:b/>
          <w:bCs/>
          <w:kern w:val="0"/>
          <w:lang w:val="en-US"/>
          <w14:ligatures w14:val="none"/>
        </w:rPr>
        <w:t>(A</w:t>
      </w:r>
      <w:r w:rsidRPr="00EE0340">
        <w:rPr>
          <w:rFonts w:eastAsia="Times New Roman" w:cstheme="minorHAnsi"/>
          <w:b/>
          <w:bCs/>
          <w:kern w:val="0"/>
          <w14:ligatures w14:val="none"/>
        </w:rPr>
        <w:t>–</w:t>
      </w:r>
      <w:r w:rsidRPr="00EE0340">
        <w:rPr>
          <w:rFonts w:eastAsia="Times New Roman" w:cstheme="minorHAnsi"/>
          <w:b/>
          <w:bCs/>
          <w:kern w:val="0"/>
          <w:lang w:val="en-US"/>
          <w14:ligatures w14:val="none"/>
        </w:rPr>
        <w:t>B</w:t>
      </w:r>
      <w:r w:rsidRPr="00EE0340">
        <w:rPr>
          <w:rFonts w:eastAsia="Times New Roman" w:cstheme="minorHAnsi"/>
          <w:b/>
          <w:bCs/>
          <w:kern w:val="0"/>
          <w14:ligatures w14:val="none"/>
        </w:rPr>
        <w:t>)</w:t>
      </w:r>
      <w:r w:rsidRPr="00EE0340">
        <w:rPr>
          <w:rFonts w:eastAsia="Times New Roman" w:cstheme="minorHAnsi"/>
          <w:kern w:val="0"/>
          <w14:ligatures w14:val="none"/>
        </w:rPr>
        <w:t xml:space="preserve"> CB CD34⁺ cells were cultured under the indicated conditions for up to 24 hours and subsequently </w:t>
      </w:r>
      <w:r w:rsidR="00D3601B" w:rsidRPr="00EE0340">
        <w:rPr>
          <w:rFonts w:eastAsia="Times New Roman" w:cstheme="minorHAnsi"/>
          <w:kern w:val="0"/>
          <w14:ligatures w14:val="none"/>
        </w:rPr>
        <w:t>analysed</w:t>
      </w:r>
      <w:r w:rsidRPr="00EE0340">
        <w:rPr>
          <w:rFonts w:eastAsia="Times New Roman" w:cstheme="minorHAnsi"/>
          <w:kern w:val="0"/>
          <w14:ligatures w14:val="none"/>
        </w:rPr>
        <w:t xml:space="preserve"> for intracellular Survivin expression in HSPCs.</w:t>
      </w:r>
      <w:r w:rsidRPr="00EE0340">
        <w:rPr>
          <w:rFonts w:eastAsia="Times New Roman" w:cstheme="minorHAnsi"/>
          <w:kern w:val="0"/>
          <w:lang w:val="en-US"/>
          <w14:ligatures w14:val="none"/>
        </w:rPr>
        <w:t xml:space="preserve"> </w:t>
      </w:r>
      <w:r w:rsidRPr="00EE0340">
        <w:rPr>
          <w:rFonts w:eastAsia="Times New Roman" w:cstheme="minorHAnsi"/>
          <w:b/>
          <w:bCs/>
          <w:kern w:val="0"/>
          <w:lang w:val="en-US"/>
          <w14:ligatures w14:val="none"/>
        </w:rPr>
        <w:t>(C</w:t>
      </w:r>
      <w:r w:rsidRPr="00EE0340">
        <w:rPr>
          <w:rFonts w:eastAsia="Times New Roman" w:cstheme="minorHAnsi"/>
          <w:b/>
          <w:bCs/>
          <w:kern w:val="0"/>
          <w14:ligatures w14:val="none"/>
        </w:rPr>
        <w:t>–</w:t>
      </w:r>
      <w:r w:rsidRPr="00EE0340">
        <w:rPr>
          <w:rFonts w:eastAsia="Times New Roman" w:cstheme="minorHAnsi"/>
          <w:b/>
          <w:bCs/>
          <w:kern w:val="0"/>
          <w:lang w:val="en-US"/>
          <w14:ligatures w14:val="none"/>
        </w:rPr>
        <w:t>D</w:t>
      </w:r>
      <w:r w:rsidRPr="00EE0340">
        <w:rPr>
          <w:rFonts w:eastAsia="Times New Roman" w:cstheme="minorHAnsi"/>
          <w:b/>
          <w:bCs/>
          <w:kern w:val="0"/>
          <w14:ligatures w14:val="none"/>
        </w:rPr>
        <w:t>)</w:t>
      </w:r>
      <w:r w:rsidRPr="00EE0340">
        <w:rPr>
          <w:rFonts w:eastAsia="Times New Roman" w:cstheme="minorHAnsi"/>
          <w:kern w:val="0"/>
          <w14:ligatures w14:val="none"/>
        </w:rPr>
        <w:t xml:space="preserve"> CB CD34⁺ cells were cultured under the indicated conditions for up to 24 hours and subsequently </w:t>
      </w:r>
      <w:r w:rsidR="00D3601B" w:rsidRPr="00EE0340">
        <w:rPr>
          <w:rFonts w:eastAsia="Times New Roman" w:cstheme="minorHAnsi"/>
          <w:kern w:val="0"/>
          <w14:ligatures w14:val="none"/>
        </w:rPr>
        <w:t>analysed</w:t>
      </w:r>
      <w:r w:rsidRPr="00EE0340">
        <w:rPr>
          <w:rFonts w:eastAsia="Times New Roman" w:cstheme="minorHAnsi"/>
          <w:kern w:val="0"/>
          <w14:ligatures w14:val="none"/>
        </w:rPr>
        <w:t xml:space="preserve"> for intracellular Survivin expression in HSPCs.</w:t>
      </w:r>
    </w:p>
    <w:p w14:paraId="31F04DFF" w14:textId="77777777" w:rsidR="00E13A44" w:rsidRPr="00EE0340" w:rsidRDefault="00E13A44" w:rsidP="00E13A44"/>
    <w:p w14:paraId="5135E5B1" w14:textId="77777777" w:rsidR="00203F23" w:rsidRPr="00EE0340" w:rsidRDefault="00203F23" w:rsidP="0049254B">
      <w:pPr>
        <w:spacing w:after="160" w:line="480" w:lineRule="auto"/>
        <w:jc w:val="both"/>
        <w:rPr>
          <w:rFonts w:eastAsia="Calibri" w:cstheme="minorHAnsi"/>
          <w:lang w:val="en-US" w:bidi="he-IL"/>
        </w:rPr>
      </w:pPr>
    </w:p>
    <w:tbl>
      <w:tblPr>
        <w:tblStyle w:val="TableGrid"/>
        <w:tblW w:w="9016" w:type="dxa"/>
        <w:tblLook w:val="04A0" w:firstRow="1" w:lastRow="0" w:firstColumn="1" w:lastColumn="0" w:noHBand="0" w:noVBand="1"/>
      </w:tblPr>
      <w:tblGrid>
        <w:gridCol w:w="2252"/>
        <w:gridCol w:w="1439"/>
        <w:gridCol w:w="1342"/>
        <w:gridCol w:w="1213"/>
        <w:gridCol w:w="1601"/>
        <w:gridCol w:w="1169"/>
      </w:tblGrid>
      <w:tr w:rsidR="00203F23" w:rsidRPr="00EE0340" w14:paraId="0F1B7537" w14:textId="77777777" w:rsidTr="00E42B3A">
        <w:trPr>
          <w:trHeight w:val="315"/>
        </w:trPr>
        <w:tc>
          <w:tcPr>
            <w:tcW w:w="2252" w:type="dxa"/>
            <w:noWrap/>
            <w:hideMark/>
          </w:tcPr>
          <w:p w14:paraId="64702C45" w14:textId="77777777" w:rsidR="00203F23" w:rsidRPr="00EE0340" w:rsidRDefault="00203F23" w:rsidP="0049254B">
            <w:pPr>
              <w:spacing w:line="480" w:lineRule="auto"/>
              <w:jc w:val="both"/>
              <w:rPr>
                <w:rFonts w:eastAsia="Calibri" w:cstheme="minorHAnsi"/>
                <w:b/>
                <w:bCs/>
              </w:rPr>
            </w:pPr>
            <w:r w:rsidRPr="00EE0340">
              <w:rPr>
                <w:rFonts w:eastAsia="Calibri" w:cstheme="minorHAnsi"/>
                <w:b/>
                <w:bCs/>
              </w:rPr>
              <w:t xml:space="preserve">Antigen </w:t>
            </w:r>
          </w:p>
        </w:tc>
        <w:tc>
          <w:tcPr>
            <w:tcW w:w="1439" w:type="dxa"/>
            <w:noWrap/>
            <w:hideMark/>
          </w:tcPr>
          <w:p w14:paraId="3E5F4C9A" w14:textId="77777777" w:rsidR="00203F23" w:rsidRPr="00EE0340" w:rsidRDefault="00203F23" w:rsidP="0049254B">
            <w:pPr>
              <w:spacing w:line="480" w:lineRule="auto"/>
              <w:jc w:val="both"/>
              <w:rPr>
                <w:rFonts w:eastAsia="Calibri" w:cstheme="minorHAnsi"/>
                <w:b/>
                <w:bCs/>
              </w:rPr>
            </w:pPr>
            <w:r w:rsidRPr="00EE0340">
              <w:rPr>
                <w:rFonts w:eastAsia="Calibri" w:cstheme="minorHAnsi"/>
                <w:b/>
                <w:bCs/>
              </w:rPr>
              <w:t>Clone</w:t>
            </w:r>
          </w:p>
        </w:tc>
        <w:tc>
          <w:tcPr>
            <w:tcW w:w="1342" w:type="dxa"/>
            <w:noWrap/>
            <w:hideMark/>
          </w:tcPr>
          <w:p w14:paraId="690A7B3F" w14:textId="77777777" w:rsidR="00203F23" w:rsidRPr="00EE0340" w:rsidRDefault="00203F23" w:rsidP="0049254B">
            <w:pPr>
              <w:spacing w:line="480" w:lineRule="auto"/>
              <w:jc w:val="both"/>
              <w:rPr>
                <w:rFonts w:eastAsia="Calibri" w:cstheme="minorHAnsi"/>
                <w:b/>
                <w:bCs/>
              </w:rPr>
            </w:pPr>
            <w:r w:rsidRPr="00EE0340">
              <w:rPr>
                <w:rFonts w:eastAsia="Calibri" w:cstheme="minorHAnsi"/>
                <w:b/>
                <w:bCs/>
              </w:rPr>
              <w:t>Fluorophore</w:t>
            </w:r>
          </w:p>
        </w:tc>
        <w:tc>
          <w:tcPr>
            <w:tcW w:w="1213" w:type="dxa"/>
            <w:noWrap/>
            <w:hideMark/>
          </w:tcPr>
          <w:p w14:paraId="52270EC8" w14:textId="77777777" w:rsidR="00203F23" w:rsidRPr="00EE0340" w:rsidRDefault="00203F23" w:rsidP="0049254B">
            <w:pPr>
              <w:spacing w:line="480" w:lineRule="auto"/>
              <w:jc w:val="both"/>
              <w:rPr>
                <w:rFonts w:eastAsia="Calibri" w:cstheme="minorHAnsi"/>
                <w:b/>
                <w:bCs/>
              </w:rPr>
            </w:pPr>
            <w:r w:rsidRPr="00EE0340">
              <w:rPr>
                <w:rFonts w:eastAsia="Calibri" w:cstheme="minorHAnsi"/>
                <w:b/>
                <w:bCs/>
              </w:rPr>
              <w:t>Dilution</w:t>
            </w:r>
          </w:p>
        </w:tc>
        <w:tc>
          <w:tcPr>
            <w:tcW w:w="1601" w:type="dxa"/>
            <w:noWrap/>
            <w:hideMark/>
          </w:tcPr>
          <w:p w14:paraId="3F6EE1E7" w14:textId="77777777" w:rsidR="00203F23" w:rsidRPr="00EE0340" w:rsidRDefault="00203F23" w:rsidP="0049254B">
            <w:pPr>
              <w:spacing w:line="480" w:lineRule="auto"/>
              <w:jc w:val="both"/>
              <w:rPr>
                <w:rFonts w:eastAsia="Calibri" w:cstheme="minorHAnsi"/>
                <w:b/>
                <w:bCs/>
              </w:rPr>
            </w:pPr>
            <w:r w:rsidRPr="00EE0340">
              <w:rPr>
                <w:rFonts w:eastAsia="Calibri" w:cstheme="minorHAnsi"/>
                <w:b/>
                <w:bCs/>
              </w:rPr>
              <w:t>Manufacturer</w:t>
            </w:r>
          </w:p>
        </w:tc>
        <w:tc>
          <w:tcPr>
            <w:tcW w:w="1169" w:type="dxa"/>
            <w:noWrap/>
            <w:hideMark/>
          </w:tcPr>
          <w:p w14:paraId="1BDD2D31" w14:textId="77777777" w:rsidR="00203F23" w:rsidRPr="00EE0340" w:rsidRDefault="00203F23" w:rsidP="0049254B">
            <w:pPr>
              <w:spacing w:line="480" w:lineRule="auto"/>
              <w:jc w:val="both"/>
              <w:rPr>
                <w:rFonts w:eastAsia="Calibri" w:cstheme="minorHAnsi"/>
                <w:b/>
                <w:bCs/>
              </w:rPr>
            </w:pPr>
            <w:r w:rsidRPr="00EE0340">
              <w:rPr>
                <w:rFonts w:eastAsia="Calibri" w:cstheme="minorHAnsi"/>
                <w:b/>
                <w:bCs/>
              </w:rPr>
              <w:t>Catalog number</w:t>
            </w:r>
          </w:p>
        </w:tc>
      </w:tr>
      <w:tr w:rsidR="00203F23" w:rsidRPr="00EE0340" w14:paraId="46570326" w14:textId="77777777" w:rsidTr="00E42B3A">
        <w:trPr>
          <w:trHeight w:val="300"/>
        </w:trPr>
        <w:tc>
          <w:tcPr>
            <w:tcW w:w="2252" w:type="dxa"/>
            <w:noWrap/>
            <w:hideMark/>
          </w:tcPr>
          <w:p w14:paraId="2B6C6C3D" w14:textId="77777777" w:rsidR="00203F23" w:rsidRPr="00EE0340" w:rsidRDefault="00203F23" w:rsidP="0049254B">
            <w:pPr>
              <w:spacing w:line="480" w:lineRule="auto"/>
              <w:jc w:val="both"/>
              <w:rPr>
                <w:rFonts w:eastAsia="Calibri" w:cstheme="minorHAnsi"/>
              </w:rPr>
            </w:pPr>
            <w:r w:rsidRPr="00EE0340">
              <w:rPr>
                <w:rFonts w:eastAsia="Calibri" w:cstheme="minorHAnsi"/>
              </w:rPr>
              <w:t>CD34</w:t>
            </w:r>
          </w:p>
        </w:tc>
        <w:tc>
          <w:tcPr>
            <w:tcW w:w="1439" w:type="dxa"/>
            <w:noWrap/>
            <w:hideMark/>
          </w:tcPr>
          <w:p w14:paraId="79812EE8" w14:textId="77777777" w:rsidR="00203F23" w:rsidRPr="00EE0340" w:rsidRDefault="00203F23" w:rsidP="0049254B">
            <w:pPr>
              <w:spacing w:line="480" w:lineRule="auto"/>
              <w:jc w:val="both"/>
              <w:rPr>
                <w:rFonts w:eastAsia="Calibri" w:cstheme="minorHAnsi"/>
              </w:rPr>
            </w:pPr>
            <w:r w:rsidRPr="00EE0340">
              <w:rPr>
                <w:rFonts w:eastAsia="Calibri" w:cstheme="minorHAnsi"/>
              </w:rPr>
              <w:t>581</w:t>
            </w:r>
          </w:p>
        </w:tc>
        <w:tc>
          <w:tcPr>
            <w:tcW w:w="1342" w:type="dxa"/>
            <w:noWrap/>
            <w:hideMark/>
          </w:tcPr>
          <w:p w14:paraId="6BF176CF" w14:textId="77777777" w:rsidR="00203F23" w:rsidRPr="00EE0340" w:rsidRDefault="00203F23" w:rsidP="0049254B">
            <w:pPr>
              <w:spacing w:line="480" w:lineRule="auto"/>
              <w:jc w:val="both"/>
              <w:rPr>
                <w:rFonts w:eastAsia="Calibri" w:cstheme="minorHAnsi"/>
              </w:rPr>
            </w:pPr>
            <w:r w:rsidRPr="00EE0340">
              <w:rPr>
                <w:rFonts w:eastAsia="Calibri" w:cstheme="minorHAnsi"/>
              </w:rPr>
              <w:t>FITC</w:t>
            </w:r>
          </w:p>
        </w:tc>
        <w:tc>
          <w:tcPr>
            <w:tcW w:w="1213" w:type="dxa"/>
            <w:noWrap/>
            <w:hideMark/>
          </w:tcPr>
          <w:p w14:paraId="2967DF35"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hideMark/>
          </w:tcPr>
          <w:p w14:paraId="10EABF69" w14:textId="77777777" w:rsidR="00203F23" w:rsidRPr="00EE0340" w:rsidRDefault="00203F23" w:rsidP="0049254B">
            <w:pPr>
              <w:spacing w:line="480" w:lineRule="auto"/>
              <w:jc w:val="both"/>
              <w:rPr>
                <w:rFonts w:eastAsia="Calibri" w:cstheme="minorHAnsi"/>
              </w:rPr>
            </w:pPr>
            <w:r w:rsidRPr="00EE0340">
              <w:rPr>
                <w:rFonts w:eastAsia="Calibri" w:cstheme="minorHAnsi"/>
              </w:rPr>
              <w:t xml:space="preserve">Biolegend </w:t>
            </w:r>
          </w:p>
        </w:tc>
        <w:tc>
          <w:tcPr>
            <w:tcW w:w="1169" w:type="dxa"/>
            <w:noWrap/>
            <w:hideMark/>
          </w:tcPr>
          <w:p w14:paraId="18BDD9BE" w14:textId="77777777" w:rsidR="00203F23" w:rsidRPr="00EE0340" w:rsidRDefault="00203F23" w:rsidP="0049254B">
            <w:pPr>
              <w:spacing w:line="480" w:lineRule="auto"/>
              <w:jc w:val="both"/>
              <w:rPr>
                <w:rFonts w:eastAsia="Calibri" w:cstheme="minorHAnsi"/>
              </w:rPr>
            </w:pPr>
            <w:r w:rsidRPr="00EE0340">
              <w:rPr>
                <w:rFonts w:eastAsia="Calibri" w:cstheme="minorHAnsi"/>
              </w:rPr>
              <w:t>343504</w:t>
            </w:r>
          </w:p>
        </w:tc>
      </w:tr>
      <w:tr w:rsidR="00203F23" w:rsidRPr="00EE0340" w14:paraId="2BE2A937" w14:textId="77777777" w:rsidTr="00E42B3A">
        <w:trPr>
          <w:trHeight w:val="300"/>
        </w:trPr>
        <w:tc>
          <w:tcPr>
            <w:tcW w:w="2252" w:type="dxa"/>
            <w:noWrap/>
            <w:hideMark/>
          </w:tcPr>
          <w:p w14:paraId="13209A54" w14:textId="77777777" w:rsidR="00203F23" w:rsidRPr="00EE0340" w:rsidRDefault="00203F23" w:rsidP="0049254B">
            <w:pPr>
              <w:spacing w:line="480" w:lineRule="auto"/>
              <w:jc w:val="both"/>
              <w:rPr>
                <w:rFonts w:eastAsia="Calibri" w:cstheme="minorHAnsi"/>
              </w:rPr>
            </w:pPr>
            <w:r w:rsidRPr="00EE0340">
              <w:rPr>
                <w:rFonts w:eastAsia="Calibri" w:cstheme="minorHAnsi"/>
              </w:rPr>
              <w:t> </w:t>
            </w:r>
          </w:p>
        </w:tc>
        <w:tc>
          <w:tcPr>
            <w:tcW w:w="1439" w:type="dxa"/>
            <w:noWrap/>
            <w:hideMark/>
          </w:tcPr>
          <w:p w14:paraId="64CD53F7" w14:textId="77777777" w:rsidR="00203F23" w:rsidRPr="00EE0340" w:rsidRDefault="00203F23" w:rsidP="0049254B">
            <w:pPr>
              <w:spacing w:line="480" w:lineRule="auto"/>
              <w:jc w:val="both"/>
              <w:rPr>
                <w:rFonts w:eastAsia="Calibri" w:cstheme="minorHAnsi"/>
              </w:rPr>
            </w:pPr>
            <w:r w:rsidRPr="00EE0340">
              <w:rPr>
                <w:rFonts w:eastAsia="Calibri" w:cstheme="minorHAnsi"/>
              </w:rPr>
              <w:t>581</w:t>
            </w:r>
          </w:p>
        </w:tc>
        <w:tc>
          <w:tcPr>
            <w:tcW w:w="1342" w:type="dxa"/>
            <w:noWrap/>
            <w:hideMark/>
          </w:tcPr>
          <w:p w14:paraId="341B2790" w14:textId="77777777" w:rsidR="00203F23" w:rsidRPr="00EE0340" w:rsidRDefault="00203F23" w:rsidP="0049254B">
            <w:pPr>
              <w:spacing w:line="480" w:lineRule="auto"/>
              <w:jc w:val="both"/>
              <w:rPr>
                <w:rFonts w:eastAsia="Calibri" w:cstheme="minorHAnsi"/>
              </w:rPr>
            </w:pPr>
            <w:r w:rsidRPr="00EE0340">
              <w:rPr>
                <w:rFonts w:eastAsia="Calibri" w:cstheme="minorHAnsi"/>
              </w:rPr>
              <w:t>PE</w:t>
            </w:r>
          </w:p>
        </w:tc>
        <w:tc>
          <w:tcPr>
            <w:tcW w:w="1213" w:type="dxa"/>
            <w:noWrap/>
            <w:hideMark/>
          </w:tcPr>
          <w:p w14:paraId="10C98A52"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hideMark/>
          </w:tcPr>
          <w:p w14:paraId="1ECC1873" w14:textId="77777777" w:rsidR="00203F23" w:rsidRPr="00EE0340" w:rsidRDefault="00203F23" w:rsidP="0049254B">
            <w:pPr>
              <w:spacing w:line="480" w:lineRule="auto"/>
              <w:jc w:val="both"/>
              <w:rPr>
                <w:rFonts w:eastAsia="Calibri" w:cstheme="minorHAnsi"/>
              </w:rPr>
            </w:pPr>
            <w:r w:rsidRPr="00EE0340">
              <w:rPr>
                <w:rFonts w:eastAsia="Calibri" w:cstheme="minorHAnsi"/>
              </w:rPr>
              <w:t>Beckman Coulter</w:t>
            </w:r>
          </w:p>
        </w:tc>
        <w:tc>
          <w:tcPr>
            <w:tcW w:w="1169" w:type="dxa"/>
            <w:noWrap/>
            <w:hideMark/>
          </w:tcPr>
          <w:p w14:paraId="16D2B125" w14:textId="77777777" w:rsidR="00203F23" w:rsidRPr="00EE0340" w:rsidRDefault="00203F23" w:rsidP="0049254B">
            <w:pPr>
              <w:spacing w:line="480" w:lineRule="auto"/>
              <w:jc w:val="both"/>
              <w:rPr>
                <w:rFonts w:eastAsia="Calibri" w:cstheme="minorHAnsi"/>
              </w:rPr>
            </w:pPr>
            <w:r w:rsidRPr="00EE0340">
              <w:rPr>
                <w:rFonts w:eastAsia="Calibri" w:cstheme="minorHAnsi"/>
              </w:rPr>
              <w:t>A07776</w:t>
            </w:r>
          </w:p>
        </w:tc>
      </w:tr>
      <w:tr w:rsidR="00203F23" w:rsidRPr="00EE0340" w14:paraId="1D7099D2" w14:textId="77777777" w:rsidTr="00E42B3A">
        <w:trPr>
          <w:trHeight w:val="300"/>
        </w:trPr>
        <w:tc>
          <w:tcPr>
            <w:tcW w:w="2252" w:type="dxa"/>
            <w:noWrap/>
            <w:hideMark/>
          </w:tcPr>
          <w:p w14:paraId="3182757A" w14:textId="77777777" w:rsidR="00203F23" w:rsidRPr="00EE0340" w:rsidRDefault="00203F23" w:rsidP="0049254B">
            <w:pPr>
              <w:spacing w:line="480" w:lineRule="auto"/>
              <w:jc w:val="both"/>
              <w:rPr>
                <w:rFonts w:eastAsia="Calibri" w:cstheme="minorHAnsi"/>
              </w:rPr>
            </w:pPr>
            <w:r w:rsidRPr="00EE0340">
              <w:rPr>
                <w:rFonts w:eastAsia="Calibri" w:cstheme="minorHAnsi"/>
              </w:rPr>
              <w:t> </w:t>
            </w:r>
          </w:p>
        </w:tc>
        <w:tc>
          <w:tcPr>
            <w:tcW w:w="1439" w:type="dxa"/>
            <w:noWrap/>
            <w:hideMark/>
          </w:tcPr>
          <w:p w14:paraId="74E1A2A2" w14:textId="77777777" w:rsidR="00203F23" w:rsidRPr="00EE0340" w:rsidRDefault="00203F23" w:rsidP="0049254B">
            <w:pPr>
              <w:spacing w:line="480" w:lineRule="auto"/>
              <w:jc w:val="both"/>
              <w:rPr>
                <w:rFonts w:eastAsia="Calibri" w:cstheme="minorHAnsi"/>
              </w:rPr>
            </w:pPr>
            <w:r w:rsidRPr="00EE0340">
              <w:rPr>
                <w:rFonts w:eastAsia="Calibri" w:cstheme="minorHAnsi"/>
              </w:rPr>
              <w:t>8G12</w:t>
            </w:r>
          </w:p>
        </w:tc>
        <w:tc>
          <w:tcPr>
            <w:tcW w:w="1342" w:type="dxa"/>
            <w:noWrap/>
            <w:hideMark/>
          </w:tcPr>
          <w:p w14:paraId="0F290E7A" w14:textId="77777777" w:rsidR="00203F23" w:rsidRPr="00EE0340" w:rsidRDefault="00203F23" w:rsidP="0049254B">
            <w:pPr>
              <w:spacing w:line="480" w:lineRule="auto"/>
              <w:jc w:val="both"/>
              <w:rPr>
                <w:rFonts w:eastAsia="Calibri" w:cstheme="minorHAnsi"/>
              </w:rPr>
            </w:pPr>
            <w:r w:rsidRPr="00EE0340">
              <w:rPr>
                <w:rFonts w:eastAsia="Calibri" w:cstheme="minorHAnsi"/>
              </w:rPr>
              <w:t>APC</w:t>
            </w:r>
          </w:p>
        </w:tc>
        <w:tc>
          <w:tcPr>
            <w:tcW w:w="1213" w:type="dxa"/>
            <w:noWrap/>
            <w:hideMark/>
          </w:tcPr>
          <w:p w14:paraId="351D07E8"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hideMark/>
          </w:tcPr>
          <w:p w14:paraId="35C521DA" w14:textId="77777777" w:rsidR="00203F23" w:rsidRPr="00EE0340" w:rsidRDefault="00203F23" w:rsidP="0049254B">
            <w:pPr>
              <w:spacing w:line="480" w:lineRule="auto"/>
              <w:jc w:val="both"/>
              <w:rPr>
                <w:rFonts w:eastAsia="Calibri" w:cstheme="minorHAnsi"/>
              </w:rPr>
            </w:pPr>
            <w:r w:rsidRPr="00EE0340">
              <w:rPr>
                <w:rFonts w:eastAsia="Calibri" w:cstheme="minorHAnsi"/>
              </w:rPr>
              <w:t>BD Bioscience</w:t>
            </w:r>
          </w:p>
        </w:tc>
        <w:tc>
          <w:tcPr>
            <w:tcW w:w="1169" w:type="dxa"/>
            <w:noWrap/>
            <w:hideMark/>
          </w:tcPr>
          <w:p w14:paraId="66B0887A" w14:textId="77777777" w:rsidR="00203F23" w:rsidRPr="00EE0340" w:rsidRDefault="00203F23" w:rsidP="0049254B">
            <w:pPr>
              <w:spacing w:line="480" w:lineRule="auto"/>
              <w:jc w:val="both"/>
              <w:rPr>
                <w:rFonts w:eastAsia="Calibri" w:cstheme="minorHAnsi"/>
              </w:rPr>
            </w:pPr>
            <w:r w:rsidRPr="00EE0340">
              <w:rPr>
                <w:rFonts w:eastAsia="Calibri" w:cstheme="minorHAnsi"/>
              </w:rPr>
              <w:t>345804</w:t>
            </w:r>
          </w:p>
        </w:tc>
      </w:tr>
      <w:tr w:rsidR="00203F23" w:rsidRPr="00EE0340" w14:paraId="6F66A6E6" w14:textId="77777777" w:rsidTr="00E42B3A">
        <w:trPr>
          <w:trHeight w:val="300"/>
        </w:trPr>
        <w:tc>
          <w:tcPr>
            <w:tcW w:w="2252" w:type="dxa"/>
            <w:noWrap/>
            <w:hideMark/>
          </w:tcPr>
          <w:p w14:paraId="03C9DD8B" w14:textId="77777777" w:rsidR="00203F23" w:rsidRPr="00EE0340" w:rsidRDefault="00203F23" w:rsidP="0049254B">
            <w:pPr>
              <w:spacing w:line="480" w:lineRule="auto"/>
              <w:jc w:val="both"/>
              <w:rPr>
                <w:rFonts w:eastAsia="Calibri" w:cstheme="minorHAnsi"/>
              </w:rPr>
            </w:pPr>
            <w:r w:rsidRPr="00EE0340">
              <w:rPr>
                <w:rFonts w:eastAsia="Calibri" w:cstheme="minorHAnsi"/>
              </w:rPr>
              <w:t>CD38</w:t>
            </w:r>
          </w:p>
        </w:tc>
        <w:tc>
          <w:tcPr>
            <w:tcW w:w="1439" w:type="dxa"/>
            <w:noWrap/>
            <w:hideMark/>
          </w:tcPr>
          <w:p w14:paraId="7244BF36" w14:textId="77777777" w:rsidR="00203F23" w:rsidRPr="00EE0340" w:rsidRDefault="00203F23" w:rsidP="0049254B">
            <w:pPr>
              <w:spacing w:line="480" w:lineRule="auto"/>
              <w:jc w:val="both"/>
              <w:rPr>
                <w:rFonts w:eastAsia="Calibri" w:cstheme="minorHAnsi"/>
              </w:rPr>
            </w:pPr>
            <w:r w:rsidRPr="00EE0340">
              <w:rPr>
                <w:rFonts w:eastAsia="Calibri" w:cstheme="minorHAnsi"/>
              </w:rPr>
              <w:t>HB7</w:t>
            </w:r>
          </w:p>
        </w:tc>
        <w:tc>
          <w:tcPr>
            <w:tcW w:w="1342" w:type="dxa"/>
            <w:noWrap/>
            <w:hideMark/>
          </w:tcPr>
          <w:p w14:paraId="526870C7" w14:textId="77777777" w:rsidR="00203F23" w:rsidRPr="00EE0340" w:rsidRDefault="00203F23" w:rsidP="0049254B">
            <w:pPr>
              <w:spacing w:line="480" w:lineRule="auto"/>
              <w:jc w:val="both"/>
              <w:rPr>
                <w:rFonts w:eastAsia="Calibri" w:cstheme="minorHAnsi"/>
              </w:rPr>
            </w:pPr>
            <w:r w:rsidRPr="00EE0340">
              <w:rPr>
                <w:rFonts w:eastAsia="Calibri" w:cstheme="minorHAnsi"/>
              </w:rPr>
              <w:t>PC7</w:t>
            </w:r>
          </w:p>
        </w:tc>
        <w:tc>
          <w:tcPr>
            <w:tcW w:w="1213" w:type="dxa"/>
            <w:noWrap/>
            <w:hideMark/>
          </w:tcPr>
          <w:p w14:paraId="0BBB6D5E"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hideMark/>
          </w:tcPr>
          <w:p w14:paraId="305F7848" w14:textId="77777777" w:rsidR="00203F23" w:rsidRPr="00EE0340" w:rsidRDefault="00203F23" w:rsidP="0049254B">
            <w:pPr>
              <w:spacing w:line="480" w:lineRule="auto"/>
              <w:jc w:val="both"/>
              <w:rPr>
                <w:rFonts w:eastAsia="Calibri" w:cstheme="minorHAnsi"/>
              </w:rPr>
            </w:pPr>
            <w:r w:rsidRPr="00EE0340">
              <w:rPr>
                <w:rFonts w:eastAsia="Calibri" w:cstheme="minorHAnsi"/>
              </w:rPr>
              <w:t xml:space="preserve">Biolegend </w:t>
            </w:r>
          </w:p>
        </w:tc>
        <w:tc>
          <w:tcPr>
            <w:tcW w:w="1169" w:type="dxa"/>
            <w:noWrap/>
            <w:hideMark/>
          </w:tcPr>
          <w:p w14:paraId="5996206C" w14:textId="77777777" w:rsidR="00203F23" w:rsidRPr="00EE0340" w:rsidRDefault="00203F23" w:rsidP="0049254B">
            <w:pPr>
              <w:spacing w:line="480" w:lineRule="auto"/>
              <w:jc w:val="both"/>
              <w:rPr>
                <w:rFonts w:eastAsia="Calibri" w:cstheme="minorHAnsi"/>
              </w:rPr>
            </w:pPr>
            <w:r w:rsidRPr="00EE0340">
              <w:rPr>
                <w:rFonts w:eastAsia="Calibri" w:cstheme="minorHAnsi"/>
              </w:rPr>
              <w:t>356608</w:t>
            </w:r>
          </w:p>
        </w:tc>
      </w:tr>
      <w:tr w:rsidR="00203F23" w:rsidRPr="00EE0340" w14:paraId="07A8AC1C" w14:textId="77777777" w:rsidTr="00E42B3A">
        <w:trPr>
          <w:trHeight w:val="300"/>
        </w:trPr>
        <w:tc>
          <w:tcPr>
            <w:tcW w:w="2252" w:type="dxa"/>
            <w:noWrap/>
            <w:hideMark/>
          </w:tcPr>
          <w:p w14:paraId="501DB353" w14:textId="77777777" w:rsidR="00203F23" w:rsidRPr="00EE0340" w:rsidRDefault="00203F23" w:rsidP="0049254B">
            <w:pPr>
              <w:spacing w:line="480" w:lineRule="auto"/>
              <w:jc w:val="both"/>
              <w:rPr>
                <w:rFonts w:eastAsia="Calibri" w:cstheme="minorHAnsi"/>
              </w:rPr>
            </w:pPr>
            <w:r w:rsidRPr="00EE0340">
              <w:rPr>
                <w:rFonts w:eastAsia="Calibri" w:cstheme="minorHAnsi"/>
              </w:rPr>
              <w:t>CD45RA</w:t>
            </w:r>
          </w:p>
        </w:tc>
        <w:tc>
          <w:tcPr>
            <w:tcW w:w="1439" w:type="dxa"/>
            <w:noWrap/>
            <w:hideMark/>
          </w:tcPr>
          <w:p w14:paraId="1E75550A" w14:textId="77777777" w:rsidR="00203F23" w:rsidRPr="00EE0340" w:rsidRDefault="00203F23" w:rsidP="0049254B">
            <w:pPr>
              <w:spacing w:line="480" w:lineRule="auto"/>
              <w:jc w:val="both"/>
              <w:rPr>
                <w:rFonts w:eastAsia="Calibri" w:cstheme="minorHAnsi"/>
              </w:rPr>
            </w:pPr>
            <w:r w:rsidRPr="00EE0340">
              <w:rPr>
                <w:rFonts w:eastAsia="Calibri" w:cstheme="minorHAnsi"/>
              </w:rPr>
              <w:t>HI100</w:t>
            </w:r>
          </w:p>
        </w:tc>
        <w:tc>
          <w:tcPr>
            <w:tcW w:w="1342" w:type="dxa"/>
            <w:noWrap/>
            <w:hideMark/>
          </w:tcPr>
          <w:p w14:paraId="164C2AF7" w14:textId="77777777" w:rsidR="00203F23" w:rsidRPr="00EE0340" w:rsidRDefault="00203F23" w:rsidP="0049254B">
            <w:pPr>
              <w:spacing w:line="480" w:lineRule="auto"/>
              <w:jc w:val="both"/>
              <w:rPr>
                <w:rFonts w:eastAsia="Calibri" w:cstheme="minorHAnsi"/>
              </w:rPr>
            </w:pPr>
            <w:r w:rsidRPr="00EE0340">
              <w:rPr>
                <w:rFonts w:eastAsia="Calibri" w:cstheme="minorHAnsi"/>
              </w:rPr>
              <w:t>BV605</w:t>
            </w:r>
          </w:p>
        </w:tc>
        <w:tc>
          <w:tcPr>
            <w:tcW w:w="1213" w:type="dxa"/>
            <w:noWrap/>
            <w:hideMark/>
          </w:tcPr>
          <w:p w14:paraId="03190067" w14:textId="77777777" w:rsidR="00203F23" w:rsidRPr="00EE0340" w:rsidRDefault="00203F23" w:rsidP="0049254B">
            <w:pPr>
              <w:spacing w:line="480" w:lineRule="auto"/>
              <w:jc w:val="both"/>
              <w:rPr>
                <w:rFonts w:eastAsia="Calibri" w:cstheme="minorHAnsi"/>
              </w:rPr>
            </w:pPr>
            <w:r w:rsidRPr="00EE0340">
              <w:rPr>
                <w:rFonts w:eastAsia="Calibri" w:cstheme="minorHAnsi"/>
              </w:rPr>
              <w:t>1-200</w:t>
            </w:r>
          </w:p>
        </w:tc>
        <w:tc>
          <w:tcPr>
            <w:tcW w:w="1601" w:type="dxa"/>
            <w:noWrap/>
            <w:hideMark/>
          </w:tcPr>
          <w:p w14:paraId="71312B82" w14:textId="77777777" w:rsidR="00203F23" w:rsidRPr="00EE0340" w:rsidRDefault="00203F23" w:rsidP="0049254B">
            <w:pPr>
              <w:spacing w:line="480" w:lineRule="auto"/>
              <w:jc w:val="both"/>
              <w:rPr>
                <w:rFonts w:eastAsia="Calibri" w:cstheme="minorHAnsi"/>
              </w:rPr>
            </w:pPr>
            <w:r w:rsidRPr="00EE0340">
              <w:rPr>
                <w:rFonts w:eastAsia="Calibri" w:cstheme="minorHAnsi"/>
              </w:rPr>
              <w:t xml:space="preserve">Biolegend </w:t>
            </w:r>
          </w:p>
        </w:tc>
        <w:tc>
          <w:tcPr>
            <w:tcW w:w="1169" w:type="dxa"/>
            <w:noWrap/>
            <w:hideMark/>
          </w:tcPr>
          <w:p w14:paraId="065F0DFF" w14:textId="77777777" w:rsidR="00203F23" w:rsidRPr="00EE0340" w:rsidRDefault="00203F23" w:rsidP="0049254B">
            <w:pPr>
              <w:spacing w:line="480" w:lineRule="auto"/>
              <w:jc w:val="both"/>
              <w:rPr>
                <w:rFonts w:eastAsia="Calibri" w:cstheme="minorHAnsi"/>
              </w:rPr>
            </w:pPr>
            <w:r w:rsidRPr="00EE0340">
              <w:rPr>
                <w:rFonts w:eastAsia="Calibri" w:cstheme="minorHAnsi"/>
              </w:rPr>
              <w:t>304134</w:t>
            </w:r>
          </w:p>
        </w:tc>
      </w:tr>
      <w:tr w:rsidR="00203F23" w:rsidRPr="00EE0340" w14:paraId="6E95764F" w14:textId="77777777" w:rsidTr="00E42B3A">
        <w:trPr>
          <w:trHeight w:val="300"/>
        </w:trPr>
        <w:tc>
          <w:tcPr>
            <w:tcW w:w="2252" w:type="dxa"/>
            <w:noWrap/>
            <w:hideMark/>
          </w:tcPr>
          <w:p w14:paraId="6CDF51AF" w14:textId="77777777" w:rsidR="00203F23" w:rsidRPr="00EE0340" w:rsidRDefault="00203F23" w:rsidP="0049254B">
            <w:pPr>
              <w:spacing w:line="480" w:lineRule="auto"/>
              <w:jc w:val="both"/>
              <w:rPr>
                <w:rFonts w:eastAsia="Calibri" w:cstheme="minorHAnsi"/>
              </w:rPr>
            </w:pPr>
            <w:r w:rsidRPr="00EE0340">
              <w:rPr>
                <w:rFonts w:eastAsia="Calibri" w:cstheme="minorHAnsi"/>
              </w:rPr>
              <w:t>CD201</w:t>
            </w:r>
          </w:p>
        </w:tc>
        <w:tc>
          <w:tcPr>
            <w:tcW w:w="1439" w:type="dxa"/>
            <w:noWrap/>
            <w:hideMark/>
          </w:tcPr>
          <w:p w14:paraId="4E4DAA86" w14:textId="77777777" w:rsidR="00203F23" w:rsidRPr="00EE0340" w:rsidRDefault="00203F23" w:rsidP="0049254B">
            <w:pPr>
              <w:spacing w:line="480" w:lineRule="auto"/>
              <w:jc w:val="both"/>
              <w:rPr>
                <w:rFonts w:eastAsia="Calibri" w:cstheme="minorHAnsi"/>
              </w:rPr>
            </w:pPr>
            <w:r w:rsidRPr="00EE0340">
              <w:rPr>
                <w:rFonts w:eastAsia="Calibri" w:cstheme="minorHAnsi"/>
              </w:rPr>
              <w:t>RCR-401</w:t>
            </w:r>
          </w:p>
        </w:tc>
        <w:tc>
          <w:tcPr>
            <w:tcW w:w="1342" w:type="dxa"/>
            <w:noWrap/>
            <w:hideMark/>
          </w:tcPr>
          <w:p w14:paraId="1493AB94" w14:textId="77777777" w:rsidR="00203F23" w:rsidRPr="00EE0340" w:rsidRDefault="00203F23" w:rsidP="0049254B">
            <w:pPr>
              <w:spacing w:line="480" w:lineRule="auto"/>
              <w:jc w:val="both"/>
              <w:rPr>
                <w:rFonts w:eastAsia="Calibri" w:cstheme="minorHAnsi"/>
              </w:rPr>
            </w:pPr>
            <w:r w:rsidRPr="00EE0340">
              <w:rPr>
                <w:rFonts w:eastAsia="Calibri" w:cstheme="minorHAnsi"/>
              </w:rPr>
              <w:t>PE</w:t>
            </w:r>
          </w:p>
        </w:tc>
        <w:tc>
          <w:tcPr>
            <w:tcW w:w="1213" w:type="dxa"/>
            <w:noWrap/>
            <w:hideMark/>
          </w:tcPr>
          <w:p w14:paraId="0029F887"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hideMark/>
          </w:tcPr>
          <w:p w14:paraId="65300984" w14:textId="77777777" w:rsidR="00203F23" w:rsidRPr="00EE0340" w:rsidRDefault="00203F23" w:rsidP="0049254B">
            <w:pPr>
              <w:spacing w:line="480" w:lineRule="auto"/>
              <w:jc w:val="both"/>
              <w:rPr>
                <w:rFonts w:eastAsia="Calibri" w:cstheme="minorHAnsi"/>
              </w:rPr>
            </w:pPr>
            <w:r w:rsidRPr="00EE0340">
              <w:rPr>
                <w:rFonts w:eastAsia="Calibri" w:cstheme="minorHAnsi"/>
              </w:rPr>
              <w:t xml:space="preserve">Biolegend </w:t>
            </w:r>
          </w:p>
        </w:tc>
        <w:tc>
          <w:tcPr>
            <w:tcW w:w="1169" w:type="dxa"/>
            <w:noWrap/>
            <w:hideMark/>
          </w:tcPr>
          <w:p w14:paraId="7EE9E8D0" w14:textId="77777777" w:rsidR="00203F23" w:rsidRPr="00EE0340" w:rsidRDefault="00203F23" w:rsidP="0049254B">
            <w:pPr>
              <w:spacing w:line="480" w:lineRule="auto"/>
              <w:jc w:val="both"/>
              <w:rPr>
                <w:rFonts w:eastAsia="Calibri" w:cstheme="minorHAnsi"/>
              </w:rPr>
            </w:pPr>
            <w:r w:rsidRPr="00EE0340">
              <w:rPr>
                <w:rFonts w:eastAsia="Calibri" w:cstheme="minorHAnsi"/>
              </w:rPr>
              <w:t>351904</w:t>
            </w:r>
          </w:p>
        </w:tc>
      </w:tr>
      <w:tr w:rsidR="00203F23" w:rsidRPr="00EE0340" w14:paraId="131CFA4D" w14:textId="77777777" w:rsidTr="00E42B3A">
        <w:trPr>
          <w:trHeight w:val="300"/>
        </w:trPr>
        <w:tc>
          <w:tcPr>
            <w:tcW w:w="2252" w:type="dxa"/>
            <w:noWrap/>
            <w:hideMark/>
          </w:tcPr>
          <w:p w14:paraId="76E8B38D" w14:textId="77777777" w:rsidR="00203F23" w:rsidRPr="00EE0340" w:rsidRDefault="00203F23" w:rsidP="0049254B">
            <w:pPr>
              <w:spacing w:line="480" w:lineRule="auto"/>
              <w:jc w:val="both"/>
              <w:rPr>
                <w:rFonts w:eastAsia="Calibri" w:cstheme="minorHAnsi"/>
              </w:rPr>
            </w:pPr>
            <w:r w:rsidRPr="00EE0340">
              <w:rPr>
                <w:rFonts w:eastAsia="Calibri" w:cstheme="minorHAnsi"/>
              </w:rPr>
              <w:t> </w:t>
            </w:r>
          </w:p>
        </w:tc>
        <w:tc>
          <w:tcPr>
            <w:tcW w:w="1439" w:type="dxa"/>
            <w:noWrap/>
            <w:hideMark/>
          </w:tcPr>
          <w:p w14:paraId="583D15FE" w14:textId="77777777" w:rsidR="00203F23" w:rsidRPr="00EE0340" w:rsidRDefault="00203F23" w:rsidP="0049254B">
            <w:pPr>
              <w:spacing w:line="480" w:lineRule="auto"/>
              <w:jc w:val="both"/>
              <w:rPr>
                <w:rFonts w:eastAsia="Calibri" w:cstheme="minorHAnsi"/>
              </w:rPr>
            </w:pPr>
            <w:r w:rsidRPr="00EE0340">
              <w:rPr>
                <w:rFonts w:eastAsia="Calibri" w:cstheme="minorHAnsi"/>
              </w:rPr>
              <w:t>RCR-401</w:t>
            </w:r>
          </w:p>
        </w:tc>
        <w:tc>
          <w:tcPr>
            <w:tcW w:w="1342" w:type="dxa"/>
            <w:noWrap/>
            <w:hideMark/>
          </w:tcPr>
          <w:p w14:paraId="3A818F29" w14:textId="77777777" w:rsidR="00203F23" w:rsidRPr="00EE0340" w:rsidRDefault="00203F23" w:rsidP="0049254B">
            <w:pPr>
              <w:spacing w:line="480" w:lineRule="auto"/>
              <w:jc w:val="both"/>
              <w:rPr>
                <w:rFonts w:eastAsia="Calibri" w:cstheme="minorHAnsi"/>
              </w:rPr>
            </w:pPr>
            <w:r w:rsidRPr="00EE0340">
              <w:rPr>
                <w:rFonts w:eastAsia="Calibri" w:cstheme="minorHAnsi"/>
              </w:rPr>
              <w:t>APC</w:t>
            </w:r>
          </w:p>
        </w:tc>
        <w:tc>
          <w:tcPr>
            <w:tcW w:w="1213" w:type="dxa"/>
            <w:noWrap/>
            <w:hideMark/>
          </w:tcPr>
          <w:p w14:paraId="175DE23A"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hideMark/>
          </w:tcPr>
          <w:p w14:paraId="07BC85BE" w14:textId="77777777" w:rsidR="00203F23" w:rsidRPr="00EE0340" w:rsidRDefault="00203F23" w:rsidP="0049254B">
            <w:pPr>
              <w:spacing w:line="480" w:lineRule="auto"/>
              <w:jc w:val="both"/>
              <w:rPr>
                <w:rFonts w:eastAsia="Calibri" w:cstheme="minorHAnsi"/>
              </w:rPr>
            </w:pPr>
            <w:r w:rsidRPr="00EE0340">
              <w:rPr>
                <w:rFonts w:eastAsia="Calibri" w:cstheme="minorHAnsi"/>
              </w:rPr>
              <w:t xml:space="preserve">Biolegend </w:t>
            </w:r>
          </w:p>
        </w:tc>
        <w:tc>
          <w:tcPr>
            <w:tcW w:w="1169" w:type="dxa"/>
            <w:noWrap/>
            <w:hideMark/>
          </w:tcPr>
          <w:p w14:paraId="6663861D" w14:textId="77777777" w:rsidR="00203F23" w:rsidRPr="00EE0340" w:rsidRDefault="00203F23" w:rsidP="0049254B">
            <w:pPr>
              <w:spacing w:line="480" w:lineRule="auto"/>
              <w:jc w:val="both"/>
              <w:rPr>
                <w:rFonts w:eastAsia="Calibri" w:cstheme="minorHAnsi"/>
              </w:rPr>
            </w:pPr>
            <w:r w:rsidRPr="00EE0340">
              <w:rPr>
                <w:rFonts w:eastAsia="Calibri" w:cstheme="minorHAnsi"/>
              </w:rPr>
              <w:t>351906</w:t>
            </w:r>
          </w:p>
        </w:tc>
      </w:tr>
      <w:tr w:rsidR="00203F23" w:rsidRPr="00EE0340" w14:paraId="5E548D27" w14:textId="77777777" w:rsidTr="00E42B3A">
        <w:trPr>
          <w:trHeight w:val="300"/>
        </w:trPr>
        <w:tc>
          <w:tcPr>
            <w:tcW w:w="2252" w:type="dxa"/>
            <w:noWrap/>
            <w:hideMark/>
          </w:tcPr>
          <w:p w14:paraId="59BB27CD" w14:textId="77777777" w:rsidR="00203F23" w:rsidRPr="00EE0340" w:rsidRDefault="00203F23" w:rsidP="0049254B">
            <w:pPr>
              <w:spacing w:line="480" w:lineRule="auto"/>
              <w:jc w:val="both"/>
              <w:rPr>
                <w:rFonts w:eastAsia="Calibri" w:cstheme="minorHAnsi"/>
              </w:rPr>
            </w:pPr>
            <w:r w:rsidRPr="00EE0340">
              <w:rPr>
                <w:rFonts w:eastAsia="Calibri" w:cstheme="minorHAnsi"/>
              </w:rPr>
              <w:t>CD33</w:t>
            </w:r>
          </w:p>
        </w:tc>
        <w:tc>
          <w:tcPr>
            <w:tcW w:w="1439" w:type="dxa"/>
            <w:noWrap/>
            <w:hideMark/>
          </w:tcPr>
          <w:p w14:paraId="7BF2B66A" w14:textId="77777777" w:rsidR="00203F23" w:rsidRPr="00EE0340" w:rsidRDefault="00203F23" w:rsidP="0049254B">
            <w:pPr>
              <w:spacing w:line="480" w:lineRule="auto"/>
              <w:jc w:val="both"/>
              <w:rPr>
                <w:rFonts w:eastAsia="Calibri" w:cstheme="minorHAnsi"/>
              </w:rPr>
            </w:pPr>
            <w:r w:rsidRPr="00EE0340">
              <w:rPr>
                <w:rFonts w:eastAsia="Calibri" w:cstheme="minorHAnsi"/>
              </w:rPr>
              <w:t>P67.6</w:t>
            </w:r>
          </w:p>
        </w:tc>
        <w:tc>
          <w:tcPr>
            <w:tcW w:w="1342" w:type="dxa"/>
            <w:noWrap/>
            <w:hideMark/>
          </w:tcPr>
          <w:p w14:paraId="294D03A2" w14:textId="77777777" w:rsidR="00203F23" w:rsidRPr="00EE0340" w:rsidRDefault="00203F23" w:rsidP="0049254B">
            <w:pPr>
              <w:spacing w:line="480" w:lineRule="auto"/>
              <w:jc w:val="both"/>
              <w:rPr>
                <w:rFonts w:eastAsia="Calibri" w:cstheme="minorHAnsi"/>
              </w:rPr>
            </w:pPr>
            <w:r w:rsidRPr="00EE0340">
              <w:rPr>
                <w:rFonts w:eastAsia="Calibri" w:cstheme="minorHAnsi"/>
              </w:rPr>
              <w:t>PE</w:t>
            </w:r>
          </w:p>
        </w:tc>
        <w:tc>
          <w:tcPr>
            <w:tcW w:w="1213" w:type="dxa"/>
            <w:noWrap/>
            <w:hideMark/>
          </w:tcPr>
          <w:p w14:paraId="0A9132E6"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hideMark/>
          </w:tcPr>
          <w:p w14:paraId="7F5A5B3F" w14:textId="77777777" w:rsidR="00203F23" w:rsidRPr="00EE0340" w:rsidRDefault="00203F23" w:rsidP="0049254B">
            <w:pPr>
              <w:spacing w:line="480" w:lineRule="auto"/>
              <w:jc w:val="both"/>
              <w:rPr>
                <w:rFonts w:eastAsia="Calibri" w:cstheme="minorHAnsi"/>
              </w:rPr>
            </w:pPr>
            <w:r w:rsidRPr="00EE0340">
              <w:rPr>
                <w:rFonts w:eastAsia="Calibri" w:cstheme="minorHAnsi"/>
              </w:rPr>
              <w:t xml:space="preserve">Biolegend </w:t>
            </w:r>
          </w:p>
        </w:tc>
        <w:tc>
          <w:tcPr>
            <w:tcW w:w="1169" w:type="dxa"/>
            <w:noWrap/>
            <w:hideMark/>
          </w:tcPr>
          <w:p w14:paraId="486B7AD8" w14:textId="77777777" w:rsidR="00203F23" w:rsidRPr="00EE0340" w:rsidRDefault="00203F23" w:rsidP="0049254B">
            <w:pPr>
              <w:spacing w:line="480" w:lineRule="auto"/>
              <w:jc w:val="both"/>
              <w:rPr>
                <w:rFonts w:eastAsia="Calibri" w:cstheme="minorHAnsi"/>
              </w:rPr>
            </w:pPr>
            <w:r w:rsidRPr="00EE0340">
              <w:rPr>
                <w:rFonts w:eastAsia="Calibri" w:cstheme="minorHAnsi"/>
              </w:rPr>
              <w:t>366608</w:t>
            </w:r>
          </w:p>
        </w:tc>
      </w:tr>
      <w:tr w:rsidR="00203F23" w:rsidRPr="00EE0340" w14:paraId="27054935" w14:textId="77777777" w:rsidTr="00E42B3A">
        <w:trPr>
          <w:trHeight w:val="300"/>
        </w:trPr>
        <w:tc>
          <w:tcPr>
            <w:tcW w:w="2252" w:type="dxa"/>
            <w:noWrap/>
            <w:hideMark/>
          </w:tcPr>
          <w:p w14:paraId="6CB80574" w14:textId="77777777" w:rsidR="00203F23" w:rsidRPr="00EE0340" w:rsidRDefault="00203F23" w:rsidP="0049254B">
            <w:pPr>
              <w:spacing w:line="480" w:lineRule="auto"/>
              <w:jc w:val="both"/>
              <w:rPr>
                <w:rFonts w:eastAsia="Calibri" w:cstheme="minorHAnsi"/>
              </w:rPr>
            </w:pPr>
            <w:r w:rsidRPr="00EE0340">
              <w:rPr>
                <w:rFonts w:eastAsia="Calibri" w:cstheme="minorHAnsi"/>
              </w:rPr>
              <w:t>CD19</w:t>
            </w:r>
          </w:p>
        </w:tc>
        <w:tc>
          <w:tcPr>
            <w:tcW w:w="1439" w:type="dxa"/>
            <w:noWrap/>
            <w:hideMark/>
          </w:tcPr>
          <w:p w14:paraId="6AB62FBE" w14:textId="77777777" w:rsidR="00203F23" w:rsidRPr="00EE0340" w:rsidRDefault="00203F23" w:rsidP="0049254B">
            <w:pPr>
              <w:spacing w:line="480" w:lineRule="auto"/>
              <w:jc w:val="both"/>
              <w:rPr>
                <w:rFonts w:eastAsia="Calibri" w:cstheme="minorHAnsi"/>
              </w:rPr>
            </w:pPr>
            <w:r w:rsidRPr="00EE0340">
              <w:rPr>
                <w:rFonts w:eastAsia="Calibri" w:cstheme="minorHAnsi"/>
              </w:rPr>
              <w:t>SJ25C1</w:t>
            </w:r>
          </w:p>
        </w:tc>
        <w:tc>
          <w:tcPr>
            <w:tcW w:w="1342" w:type="dxa"/>
            <w:noWrap/>
            <w:hideMark/>
          </w:tcPr>
          <w:p w14:paraId="6A528EEC" w14:textId="77777777" w:rsidR="00203F23" w:rsidRPr="00EE0340" w:rsidRDefault="00203F23" w:rsidP="0049254B">
            <w:pPr>
              <w:spacing w:line="480" w:lineRule="auto"/>
              <w:jc w:val="both"/>
              <w:rPr>
                <w:rFonts w:eastAsia="Calibri" w:cstheme="minorHAnsi"/>
              </w:rPr>
            </w:pPr>
            <w:r w:rsidRPr="00EE0340">
              <w:rPr>
                <w:rFonts w:eastAsia="Calibri" w:cstheme="minorHAnsi"/>
              </w:rPr>
              <w:t>APC</w:t>
            </w:r>
          </w:p>
        </w:tc>
        <w:tc>
          <w:tcPr>
            <w:tcW w:w="1213" w:type="dxa"/>
            <w:noWrap/>
            <w:hideMark/>
          </w:tcPr>
          <w:p w14:paraId="7C41DA15"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hideMark/>
          </w:tcPr>
          <w:p w14:paraId="05585C7B" w14:textId="77777777" w:rsidR="00203F23" w:rsidRPr="00EE0340" w:rsidRDefault="00203F23" w:rsidP="0049254B">
            <w:pPr>
              <w:spacing w:line="480" w:lineRule="auto"/>
              <w:jc w:val="both"/>
              <w:rPr>
                <w:rFonts w:eastAsia="Calibri" w:cstheme="minorHAnsi"/>
              </w:rPr>
            </w:pPr>
            <w:r w:rsidRPr="00EE0340">
              <w:rPr>
                <w:rFonts w:eastAsia="Calibri" w:cstheme="minorHAnsi"/>
              </w:rPr>
              <w:t xml:space="preserve">Biolegend </w:t>
            </w:r>
          </w:p>
        </w:tc>
        <w:tc>
          <w:tcPr>
            <w:tcW w:w="1169" w:type="dxa"/>
            <w:noWrap/>
            <w:hideMark/>
          </w:tcPr>
          <w:p w14:paraId="29E0901C" w14:textId="77777777" w:rsidR="00203F23" w:rsidRPr="00EE0340" w:rsidRDefault="00203F23" w:rsidP="0049254B">
            <w:pPr>
              <w:spacing w:line="480" w:lineRule="auto"/>
              <w:jc w:val="both"/>
              <w:rPr>
                <w:rFonts w:eastAsia="Calibri" w:cstheme="minorHAnsi"/>
              </w:rPr>
            </w:pPr>
            <w:r w:rsidRPr="00EE0340">
              <w:rPr>
                <w:rFonts w:eastAsia="Calibri" w:cstheme="minorHAnsi"/>
              </w:rPr>
              <w:t>363006</w:t>
            </w:r>
          </w:p>
        </w:tc>
      </w:tr>
      <w:tr w:rsidR="00203F23" w:rsidRPr="00EE0340" w14:paraId="18E9FAD4" w14:textId="77777777" w:rsidTr="00E42B3A">
        <w:trPr>
          <w:trHeight w:val="602"/>
        </w:trPr>
        <w:tc>
          <w:tcPr>
            <w:tcW w:w="2252" w:type="dxa"/>
            <w:hideMark/>
          </w:tcPr>
          <w:p w14:paraId="10D6313A" w14:textId="77777777" w:rsidR="00203F23" w:rsidRPr="00EE0340" w:rsidRDefault="00203F23" w:rsidP="0049254B">
            <w:pPr>
              <w:spacing w:line="480" w:lineRule="auto"/>
              <w:jc w:val="both"/>
              <w:rPr>
                <w:rFonts w:eastAsia="Calibri" w:cstheme="minorHAnsi"/>
              </w:rPr>
            </w:pPr>
            <w:r w:rsidRPr="00EE0340">
              <w:rPr>
                <w:rFonts w:eastAsia="Calibri" w:cstheme="minorHAnsi"/>
              </w:rPr>
              <w:t>Lineage cocktail (CD3/14/16/19/20/56)</w:t>
            </w:r>
          </w:p>
        </w:tc>
        <w:tc>
          <w:tcPr>
            <w:tcW w:w="1439" w:type="dxa"/>
            <w:noWrap/>
            <w:hideMark/>
          </w:tcPr>
          <w:p w14:paraId="042B2FAD" w14:textId="77777777" w:rsidR="00203F23" w:rsidRPr="00EE0340" w:rsidRDefault="00203F23" w:rsidP="0049254B">
            <w:pPr>
              <w:spacing w:line="480" w:lineRule="auto"/>
              <w:jc w:val="both"/>
              <w:rPr>
                <w:rFonts w:eastAsia="Calibri" w:cstheme="minorHAnsi"/>
              </w:rPr>
            </w:pPr>
            <w:r w:rsidRPr="00EE0340">
              <w:rPr>
                <w:rFonts w:eastAsia="Calibri" w:cstheme="minorHAnsi"/>
              </w:rPr>
              <w:t> </w:t>
            </w:r>
          </w:p>
        </w:tc>
        <w:tc>
          <w:tcPr>
            <w:tcW w:w="1342" w:type="dxa"/>
            <w:noWrap/>
            <w:hideMark/>
          </w:tcPr>
          <w:p w14:paraId="07D0BCC5" w14:textId="77777777" w:rsidR="00203F23" w:rsidRPr="00EE0340" w:rsidRDefault="00203F23" w:rsidP="0049254B">
            <w:pPr>
              <w:spacing w:line="480" w:lineRule="auto"/>
              <w:jc w:val="both"/>
              <w:rPr>
                <w:rFonts w:eastAsia="Calibri" w:cstheme="minorHAnsi"/>
              </w:rPr>
            </w:pPr>
            <w:r w:rsidRPr="00EE0340">
              <w:rPr>
                <w:rFonts w:eastAsia="Calibri" w:cstheme="minorHAnsi"/>
              </w:rPr>
              <w:t>FITC</w:t>
            </w:r>
          </w:p>
        </w:tc>
        <w:tc>
          <w:tcPr>
            <w:tcW w:w="1213" w:type="dxa"/>
            <w:noWrap/>
            <w:hideMark/>
          </w:tcPr>
          <w:p w14:paraId="6DE67887" w14:textId="77777777" w:rsidR="00203F23" w:rsidRPr="00EE0340" w:rsidRDefault="00203F23" w:rsidP="0049254B">
            <w:pPr>
              <w:spacing w:line="480" w:lineRule="auto"/>
              <w:jc w:val="both"/>
              <w:rPr>
                <w:rFonts w:eastAsia="Calibri" w:cstheme="minorHAnsi"/>
              </w:rPr>
            </w:pPr>
            <w:r w:rsidRPr="00EE0340">
              <w:rPr>
                <w:rFonts w:eastAsia="Calibri" w:cstheme="minorHAnsi"/>
              </w:rPr>
              <w:t>1-50</w:t>
            </w:r>
            <w:r w:rsidRPr="00EE0340">
              <w:rPr>
                <w:rFonts w:eastAsia="Calibri" w:cstheme="minorHAnsi"/>
                <w:color w:val="FFFFFF"/>
              </w:rPr>
              <w:t>'</w:t>
            </w:r>
          </w:p>
        </w:tc>
        <w:tc>
          <w:tcPr>
            <w:tcW w:w="1601" w:type="dxa"/>
            <w:noWrap/>
            <w:hideMark/>
          </w:tcPr>
          <w:p w14:paraId="3DAABE44" w14:textId="77777777" w:rsidR="00203F23" w:rsidRPr="00EE0340" w:rsidRDefault="00203F23" w:rsidP="0049254B">
            <w:pPr>
              <w:spacing w:line="480" w:lineRule="auto"/>
              <w:jc w:val="both"/>
              <w:rPr>
                <w:rFonts w:eastAsia="Calibri" w:cstheme="minorHAnsi"/>
              </w:rPr>
            </w:pPr>
            <w:r w:rsidRPr="00EE0340">
              <w:rPr>
                <w:rFonts w:eastAsia="Calibri" w:cstheme="minorHAnsi"/>
              </w:rPr>
              <w:t xml:space="preserve">Biolegend </w:t>
            </w:r>
          </w:p>
        </w:tc>
        <w:tc>
          <w:tcPr>
            <w:tcW w:w="1169" w:type="dxa"/>
            <w:noWrap/>
            <w:hideMark/>
          </w:tcPr>
          <w:p w14:paraId="5A520DD8" w14:textId="77777777" w:rsidR="00203F23" w:rsidRPr="00EE0340" w:rsidRDefault="00203F23" w:rsidP="0049254B">
            <w:pPr>
              <w:spacing w:line="480" w:lineRule="auto"/>
              <w:jc w:val="both"/>
              <w:rPr>
                <w:rFonts w:eastAsia="Calibri" w:cstheme="minorHAnsi"/>
              </w:rPr>
            </w:pPr>
            <w:r w:rsidRPr="00EE0340">
              <w:rPr>
                <w:rFonts w:eastAsia="Calibri" w:cstheme="minorHAnsi"/>
              </w:rPr>
              <w:t>348801</w:t>
            </w:r>
          </w:p>
        </w:tc>
      </w:tr>
      <w:tr w:rsidR="00203F23" w:rsidRPr="00EE0340" w14:paraId="21DF231F" w14:textId="77777777" w:rsidTr="00E42B3A">
        <w:trPr>
          <w:trHeight w:val="340"/>
        </w:trPr>
        <w:tc>
          <w:tcPr>
            <w:tcW w:w="2252" w:type="dxa"/>
          </w:tcPr>
          <w:p w14:paraId="634844F2" w14:textId="77777777" w:rsidR="00203F23" w:rsidRPr="00EE0340" w:rsidRDefault="00203F23" w:rsidP="0049254B">
            <w:pPr>
              <w:spacing w:line="480" w:lineRule="auto"/>
              <w:jc w:val="both"/>
              <w:rPr>
                <w:rFonts w:eastAsia="Calibri" w:cstheme="minorHAnsi"/>
              </w:rPr>
            </w:pPr>
            <w:r w:rsidRPr="00EE0340">
              <w:rPr>
                <w:rFonts w:eastAsia="Calibri" w:cstheme="minorHAnsi"/>
              </w:rPr>
              <w:t>CD44</w:t>
            </w:r>
          </w:p>
        </w:tc>
        <w:tc>
          <w:tcPr>
            <w:tcW w:w="1439" w:type="dxa"/>
            <w:noWrap/>
          </w:tcPr>
          <w:p w14:paraId="6689DF03" w14:textId="77777777" w:rsidR="00203F23" w:rsidRPr="00EE0340" w:rsidRDefault="00203F23" w:rsidP="0049254B">
            <w:pPr>
              <w:spacing w:line="480" w:lineRule="auto"/>
              <w:jc w:val="both"/>
              <w:rPr>
                <w:rFonts w:eastAsia="Calibri" w:cstheme="minorHAnsi"/>
              </w:rPr>
            </w:pPr>
            <w:r w:rsidRPr="00EE0340">
              <w:rPr>
                <w:rFonts w:eastAsia="Calibri" w:cstheme="minorHAnsi"/>
              </w:rPr>
              <w:t>IM7</w:t>
            </w:r>
          </w:p>
        </w:tc>
        <w:tc>
          <w:tcPr>
            <w:tcW w:w="1342" w:type="dxa"/>
            <w:noWrap/>
          </w:tcPr>
          <w:p w14:paraId="523D73E5" w14:textId="77777777" w:rsidR="00203F23" w:rsidRPr="00EE0340" w:rsidRDefault="00203F23" w:rsidP="0049254B">
            <w:pPr>
              <w:spacing w:line="480" w:lineRule="auto"/>
              <w:jc w:val="both"/>
              <w:rPr>
                <w:rFonts w:eastAsia="Calibri" w:cstheme="minorHAnsi"/>
              </w:rPr>
            </w:pPr>
            <w:r w:rsidRPr="00EE0340">
              <w:rPr>
                <w:rFonts w:eastAsia="Calibri" w:cstheme="minorHAnsi"/>
              </w:rPr>
              <w:t>PE</w:t>
            </w:r>
          </w:p>
        </w:tc>
        <w:tc>
          <w:tcPr>
            <w:tcW w:w="1213" w:type="dxa"/>
            <w:noWrap/>
          </w:tcPr>
          <w:p w14:paraId="1A93F10F"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tcPr>
          <w:p w14:paraId="38939043" w14:textId="77777777" w:rsidR="00203F23" w:rsidRPr="00EE0340" w:rsidRDefault="00203F23" w:rsidP="0049254B">
            <w:pPr>
              <w:spacing w:line="480" w:lineRule="auto"/>
              <w:jc w:val="both"/>
              <w:rPr>
                <w:rFonts w:eastAsia="Calibri" w:cstheme="minorHAnsi"/>
              </w:rPr>
            </w:pPr>
            <w:r w:rsidRPr="00EE0340">
              <w:rPr>
                <w:rFonts w:eastAsia="Calibri" w:cstheme="minorHAnsi"/>
              </w:rPr>
              <w:t>Biolegend</w:t>
            </w:r>
          </w:p>
        </w:tc>
        <w:tc>
          <w:tcPr>
            <w:tcW w:w="1169" w:type="dxa"/>
            <w:noWrap/>
          </w:tcPr>
          <w:p w14:paraId="10121C94" w14:textId="77777777" w:rsidR="00203F23" w:rsidRPr="00EE0340" w:rsidRDefault="00203F23" w:rsidP="0049254B">
            <w:pPr>
              <w:spacing w:line="480" w:lineRule="auto"/>
              <w:jc w:val="both"/>
              <w:rPr>
                <w:rFonts w:eastAsia="Calibri" w:cstheme="minorHAnsi"/>
              </w:rPr>
            </w:pPr>
            <w:r w:rsidRPr="00EE0340">
              <w:rPr>
                <w:rFonts w:eastAsia="Calibri" w:cstheme="minorHAnsi"/>
              </w:rPr>
              <w:t>103023</w:t>
            </w:r>
          </w:p>
        </w:tc>
      </w:tr>
      <w:tr w:rsidR="00203F23" w:rsidRPr="00EE0340" w14:paraId="2133A30A" w14:textId="77777777" w:rsidTr="00E42B3A">
        <w:trPr>
          <w:trHeight w:val="448"/>
        </w:trPr>
        <w:tc>
          <w:tcPr>
            <w:tcW w:w="2252" w:type="dxa"/>
          </w:tcPr>
          <w:p w14:paraId="08532F70" w14:textId="77777777" w:rsidR="00203F23" w:rsidRPr="00EE0340" w:rsidRDefault="00203F23" w:rsidP="0049254B">
            <w:pPr>
              <w:spacing w:line="480" w:lineRule="auto"/>
              <w:jc w:val="both"/>
              <w:rPr>
                <w:rFonts w:eastAsia="Calibri" w:cstheme="minorHAnsi"/>
              </w:rPr>
            </w:pPr>
            <w:r w:rsidRPr="00EE0340">
              <w:rPr>
                <w:rFonts w:eastAsia="Calibri" w:cstheme="minorHAnsi"/>
              </w:rPr>
              <w:t>mSCA1</w:t>
            </w:r>
          </w:p>
        </w:tc>
        <w:tc>
          <w:tcPr>
            <w:tcW w:w="1439" w:type="dxa"/>
            <w:noWrap/>
          </w:tcPr>
          <w:p w14:paraId="7A4F80A0" w14:textId="77777777" w:rsidR="00203F23" w:rsidRPr="00EE0340" w:rsidRDefault="00203F23" w:rsidP="0049254B">
            <w:pPr>
              <w:spacing w:line="480" w:lineRule="auto"/>
              <w:jc w:val="both"/>
              <w:rPr>
                <w:rFonts w:eastAsia="Calibri" w:cstheme="minorHAnsi"/>
              </w:rPr>
            </w:pPr>
            <w:r w:rsidRPr="00EE0340">
              <w:rPr>
                <w:rFonts w:eastAsia="Calibri" w:cstheme="minorHAnsi"/>
              </w:rPr>
              <w:t>D7</w:t>
            </w:r>
          </w:p>
        </w:tc>
        <w:tc>
          <w:tcPr>
            <w:tcW w:w="1342" w:type="dxa"/>
            <w:noWrap/>
          </w:tcPr>
          <w:p w14:paraId="57066905" w14:textId="77777777" w:rsidR="00203F23" w:rsidRPr="00EE0340" w:rsidRDefault="00203F23" w:rsidP="0049254B">
            <w:pPr>
              <w:spacing w:line="480" w:lineRule="auto"/>
              <w:jc w:val="both"/>
              <w:rPr>
                <w:rFonts w:eastAsia="Calibri" w:cstheme="minorHAnsi"/>
              </w:rPr>
            </w:pPr>
            <w:r w:rsidRPr="00EE0340">
              <w:rPr>
                <w:rFonts w:eastAsia="Calibri" w:cstheme="minorHAnsi"/>
              </w:rPr>
              <w:t>FITC</w:t>
            </w:r>
          </w:p>
        </w:tc>
        <w:tc>
          <w:tcPr>
            <w:tcW w:w="1213" w:type="dxa"/>
            <w:noWrap/>
          </w:tcPr>
          <w:p w14:paraId="2BF7B810"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tcPr>
          <w:p w14:paraId="595D1015" w14:textId="77777777" w:rsidR="00203F23" w:rsidRPr="00EE0340" w:rsidRDefault="00203F23" w:rsidP="0049254B">
            <w:pPr>
              <w:spacing w:line="480" w:lineRule="auto"/>
              <w:jc w:val="both"/>
              <w:rPr>
                <w:rFonts w:eastAsia="Calibri" w:cstheme="minorHAnsi"/>
              </w:rPr>
            </w:pPr>
            <w:r w:rsidRPr="00EE0340">
              <w:rPr>
                <w:rFonts w:eastAsia="Calibri" w:cstheme="minorHAnsi"/>
              </w:rPr>
              <w:t>Biolegend</w:t>
            </w:r>
          </w:p>
        </w:tc>
        <w:tc>
          <w:tcPr>
            <w:tcW w:w="1169" w:type="dxa"/>
            <w:noWrap/>
          </w:tcPr>
          <w:p w14:paraId="623EE066" w14:textId="77777777" w:rsidR="00203F23" w:rsidRPr="00EE0340" w:rsidRDefault="00203F23" w:rsidP="0049254B">
            <w:pPr>
              <w:spacing w:line="480" w:lineRule="auto"/>
              <w:jc w:val="both"/>
              <w:rPr>
                <w:rFonts w:eastAsia="Calibri" w:cstheme="minorHAnsi"/>
              </w:rPr>
            </w:pPr>
            <w:r w:rsidRPr="00EE0340">
              <w:rPr>
                <w:rFonts w:eastAsia="Calibri" w:cstheme="minorHAnsi"/>
              </w:rPr>
              <w:t>108105</w:t>
            </w:r>
          </w:p>
        </w:tc>
      </w:tr>
      <w:tr w:rsidR="00203F23" w:rsidRPr="00EE0340" w14:paraId="61535D33" w14:textId="77777777" w:rsidTr="00E42B3A">
        <w:trPr>
          <w:trHeight w:val="253"/>
        </w:trPr>
        <w:tc>
          <w:tcPr>
            <w:tcW w:w="2252" w:type="dxa"/>
          </w:tcPr>
          <w:p w14:paraId="55028562" w14:textId="77777777" w:rsidR="00203F23" w:rsidRPr="00EE0340" w:rsidRDefault="00203F23" w:rsidP="0049254B">
            <w:pPr>
              <w:spacing w:line="480" w:lineRule="auto"/>
              <w:jc w:val="both"/>
              <w:rPr>
                <w:rFonts w:eastAsia="Calibri" w:cstheme="minorHAnsi"/>
              </w:rPr>
            </w:pPr>
            <w:r w:rsidRPr="00EE0340">
              <w:rPr>
                <w:rFonts w:eastAsia="Calibri" w:cstheme="minorHAnsi"/>
              </w:rPr>
              <w:t>mCD140a</w:t>
            </w:r>
          </w:p>
        </w:tc>
        <w:tc>
          <w:tcPr>
            <w:tcW w:w="1439" w:type="dxa"/>
            <w:noWrap/>
          </w:tcPr>
          <w:p w14:paraId="5CC3D6C5" w14:textId="77777777" w:rsidR="00203F23" w:rsidRPr="00EE0340" w:rsidRDefault="00203F23" w:rsidP="0049254B">
            <w:pPr>
              <w:spacing w:line="480" w:lineRule="auto"/>
              <w:jc w:val="both"/>
              <w:rPr>
                <w:rFonts w:eastAsia="Calibri" w:cstheme="minorHAnsi"/>
              </w:rPr>
            </w:pPr>
            <w:r w:rsidRPr="00EE0340">
              <w:rPr>
                <w:rFonts w:eastAsia="Calibri" w:cstheme="minorHAnsi"/>
              </w:rPr>
              <w:t>APA5</w:t>
            </w:r>
          </w:p>
        </w:tc>
        <w:tc>
          <w:tcPr>
            <w:tcW w:w="1342" w:type="dxa"/>
            <w:noWrap/>
          </w:tcPr>
          <w:p w14:paraId="6013190F" w14:textId="77777777" w:rsidR="00203F23" w:rsidRPr="00EE0340" w:rsidRDefault="00203F23" w:rsidP="0049254B">
            <w:pPr>
              <w:spacing w:line="480" w:lineRule="auto"/>
              <w:jc w:val="both"/>
              <w:rPr>
                <w:rFonts w:eastAsia="Calibri" w:cstheme="minorHAnsi"/>
              </w:rPr>
            </w:pPr>
            <w:r w:rsidRPr="00EE0340">
              <w:rPr>
                <w:rFonts w:eastAsia="Calibri" w:cstheme="minorHAnsi"/>
              </w:rPr>
              <w:t>PE</w:t>
            </w:r>
          </w:p>
        </w:tc>
        <w:tc>
          <w:tcPr>
            <w:tcW w:w="1213" w:type="dxa"/>
            <w:noWrap/>
          </w:tcPr>
          <w:p w14:paraId="57B537F4"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tcPr>
          <w:p w14:paraId="5E306DDF" w14:textId="77777777" w:rsidR="00203F23" w:rsidRPr="00EE0340" w:rsidRDefault="00203F23" w:rsidP="0049254B">
            <w:pPr>
              <w:spacing w:line="480" w:lineRule="auto"/>
              <w:jc w:val="both"/>
              <w:rPr>
                <w:rFonts w:eastAsia="Calibri" w:cstheme="minorHAnsi"/>
              </w:rPr>
            </w:pPr>
            <w:r w:rsidRPr="00EE0340">
              <w:rPr>
                <w:rFonts w:eastAsia="Calibri" w:cstheme="minorHAnsi"/>
              </w:rPr>
              <w:t>Biolegend</w:t>
            </w:r>
          </w:p>
        </w:tc>
        <w:tc>
          <w:tcPr>
            <w:tcW w:w="1169" w:type="dxa"/>
            <w:noWrap/>
          </w:tcPr>
          <w:p w14:paraId="02F3E2E0" w14:textId="77777777" w:rsidR="00203F23" w:rsidRPr="00EE0340" w:rsidRDefault="00203F23" w:rsidP="0049254B">
            <w:pPr>
              <w:spacing w:line="480" w:lineRule="auto"/>
              <w:jc w:val="both"/>
              <w:rPr>
                <w:rFonts w:eastAsia="Calibri" w:cstheme="minorHAnsi"/>
              </w:rPr>
            </w:pPr>
            <w:r w:rsidRPr="00EE0340">
              <w:rPr>
                <w:rFonts w:eastAsia="Calibri" w:cstheme="minorHAnsi"/>
              </w:rPr>
              <w:t>135905</w:t>
            </w:r>
          </w:p>
        </w:tc>
      </w:tr>
      <w:tr w:rsidR="00203F23" w:rsidRPr="00EE0340" w14:paraId="46559B42" w14:textId="77777777" w:rsidTr="00E42B3A">
        <w:trPr>
          <w:trHeight w:val="215"/>
        </w:trPr>
        <w:tc>
          <w:tcPr>
            <w:tcW w:w="2252" w:type="dxa"/>
          </w:tcPr>
          <w:p w14:paraId="562B65B7" w14:textId="77777777" w:rsidR="00203F23" w:rsidRPr="00EE0340" w:rsidRDefault="00203F23" w:rsidP="0049254B">
            <w:pPr>
              <w:spacing w:line="480" w:lineRule="auto"/>
              <w:jc w:val="both"/>
              <w:rPr>
                <w:rFonts w:eastAsia="Calibri" w:cstheme="minorHAnsi"/>
              </w:rPr>
            </w:pPr>
            <w:r w:rsidRPr="00EE0340">
              <w:rPr>
                <w:rFonts w:eastAsia="Calibri" w:cstheme="minorHAnsi"/>
              </w:rPr>
              <w:lastRenderedPageBreak/>
              <w:t>mCD106</w:t>
            </w:r>
          </w:p>
        </w:tc>
        <w:tc>
          <w:tcPr>
            <w:tcW w:w="1439" w:type="dxa"/>
            <w:noWrap/>
          </w:tcPr>
          <w:p w14:paraId="59E9F572" w14:textId="77777777" w:rsidR="00203F23" w:rsidRPr="00EE0340" w:rsidRDefault="00203F23" w:rsidP="0049254B">
            <w:pPr>
              <w:spacing w:line="480" w:lineRule="auto"/>
              <w:jc w:val="both"/>
              <w:rPr>
                <w:rFonts w:eastAsia="Calibri" w:cstheme="minorHAnsi"/>
              </w:rPr>
            </w:pPr>
            <w:r w:rsidRPr="00EE0340">
              <w:rPr>
                <w:rFonts w:eastAsia="Calibri" w:cstheme="minorHAnsi"/>
              </w:rPr>
              <w:t>429</w:t>
            </w:r>
          </w:p>
        </w:tc>
        <w:tc>
          <w:tcPr>
            <w:tcW w:w="1342" w:type="dxa"/>
            <w:noWrap/>
          </w:tcPr>
          <w:p w14:paraId="7F79F9B1" w14:textId="77777777" w:rsidR="00203F23" w:rsidRPr="00EE0340" w:rsidRDefault="00203F23" w:rsidP="0049254B">
            <w:pPr>
              <w:spacing w:line="480" w:lineRule="auto"/>
              <w:jc w:val="both"/>
              <w:rPr>
                <w:rFonts w:eastAsia="Calibri" w:cstheme="minorHAnsi"/>
              </w:rPr>
            </w:pPr>
            <w:r w:rsidRPr="00EE0340">
              <w:rPr>
                <w:rFonts w:eastAsia="Calibri" w:cstheme="minorHAnsi"/>
              </w:rPr>
              <w:t>APC</w:t>
            </w:r>
          </w:p>
        </w:tc>
        <w:tc>
          <w:tcPr>
            <w:tcW w:w="1213" w:type="dxa"/>
            <w:noWrap/>
          </w:tcPr>
          <w:p w14:paraId="056CEEFE"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tcPr>
          <w:p w14:paraId="3F194B22" w14:textId="77777777" w:rsidR="00203F23" w:rsidRPr="00EE0340" w:rsidRDefault="00203F23" w:rsidP="0049254B">
            <w:pPr>
              <w:spacing w:line="480" w:lineRule="auto"/>
              <w:jc w:val="both"/>
              <w:rPr>
                <w:rFonts w:eastAsia="Calibri" w:cstheme="minorHAnsi"/>
              </w:rPr>
            </w:pPr>
            <w:r w:rsidRPr="00EE0340">
              <w:rPr>
                <w:rFonts w:eastAsia="Calibri" w:cstheme="minorHAnsi"/>
              </w:rPr>
              <w:t>Biolegend</w:t>
            </w:r>
          </w:p>
        </w:tc>
        <w:tc>
          <w:tcPr>
            <w:tcW w:w="1169" w:type="dxa"/>
            <w:noWrap/>
          </w:tcPr>
          <w:p w14:paraId="48642E6B" w14:textId="77777777" w:rsidR="00203F23" w:rsidRPr="00EE0340" w:rsidRDefault="00203F23" w:rsidP="0049254B">
            <w:pPr>
              <w:spacing w:line="480" w:lineRule="auto"/>
              <w:jc w:val="both"/>
              <w:rPr>
                <w:rFonts w:eastAsia="Calibri" w:cstheme="minorHAnsi"/>
              </w:rPr>
            </w:pPr>
            <w:r w:rsidRPr="00EE0340">
              <w:rPr>
                <w:rFonts w:eastAsia="Calibri" w:cstheme="minorHAnsi"/>
              </w:rPr>
              <w:t>105717</w:t>
            </w:r>
          </w:p>
        </w:tc>
      </w:tr>
      <w:tr w:rsidR="00203F23" w:rsidRPr="00EE0340" w14:paraId="70713F9C" w14:textId="77777777" w:rsidTr="00E42B3A">
        <w:trPr>
          <w:trHeight w:val="277"/>
        </w:trPr>
        <w:tc>
          <w:tcPr>
            <w:tcW w:w="2252" w:type="dxa"/>
          </w:tcPr>
          <w:p w14:paraId="5D320B64" w14:textId="77777777" w:rsidR="00203F23" w:rsidRPr="00EE0340" w:rsidRDefault="00203F23" w:rsidP="0049254B">
            <w:pPr>
              <w:spacing w:line="480" w:lineRule="auto"/>
              <w:jc w:val="both"/>
              <w:rPr>
                <w:rFonts w:eastAsia="Calibri" w:cstheme="minorHAnsi"/>
              </w:rPr>
            </w:pPr>
            <w:r w:rsidRPr="00EE0340">
              <w:rPr>
                <w:rFonts w:eastAsia="Calibri" w:cstheme="minorHAnsi"/>
              </w:rPr>
              <w:t>mCD11b</w:t>
            </w:r>
          </w:p>
        </w:tc>
        <w:tc>
          <w:tcPr>
            <w:tcW w:w="1439" w:type="dxa"/>
            <w:noWrap/>
          </w:tcPr>
          <w:p w14:paraId="63EBE20E" w14:textId="77777777" w:rsidR="00203F23" w:rsidRPr="00EE0340" w:rsidRDefault="00203F23" w:rsidP="0049254B">
            <w:pPr>
              <w:spacing w:line="480" w:lineRule="auto"/>
              <w:jc w:val="both"/>
              <w:rPr>
                <w:rFonts w:eastAsia="Calibri" w:cstheme="minorHAnsi"/>
              </w:rPr>
            </w:pPr>
            <w:r w:rsidRPr="00EE0340">
              <w:rPr>
                <w:rFonts w:eastAsia="Calibri" w:cstheme="minorHAnsi"/>
              </w:rPr>
              <w:t>M1/70</w:t>
            </w:r>
          </w:p>
        </w:tc>
        <w:tc>
          <w:tcPr>
            <w:tcW w:w="1342" w:type="dxa"/>
            <w:noWrap/>
          </w:tcPr>
          <w:p w14:paraId="6B4C0E0C" w14:textId="77777777" w:rsidR="00203F23" w:rsidRPr="00EE0340" w:rsidRDefault="00203F23" w:rsidP="0049254B">
            <w:pPr>
              <w:spacing w:line="480" w:lineRule="auto"/>
              <w:jc w:val="both"/>
              <w:rPr>
                <w:rFonts w:eastAsia="Calibri" w:cstheme="minorHAnsi"/>
              </w:rPr>
            </w:pPr>
            <w:r w:rsidRPr="00EE0340">
              <w:rPr>
                <w:rFonts w:eastAsia="Calibri" w:cstheme="minorHAnsi"/>
              </w:rPr>
              <w:t>FITC</w:t>
            </w:r>
          </w:p>
        </w:tc>
        <w:tc>
          <w:tcPr>
            <w:tcW w:w="1213" w:type="dxa"/>
            <w:noWrap/>
          </w:tcPr>
          <w:p w14:paraId="5FC3CFD4"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tcPr>
          <w:p w14:paraId="7608E063" w14:textId="77777777" w:rsidR="00203F23" w:rsidRPr="00EE0340" w:rsidRDefault="00203F23" w:rsidP="0049254B">
            <w:pPr>
              <w:spacing w:line="480" w:lineRule="auto"/>
              <w:jc w:val="both"/>
              <w:rPr>
                <w:rFonts w:eastAsia="Calibri" w:cstheme="minorHAnsi"/>
              </w:rPr>
            </w:pPr>
            <w:r w:rsidRPr="00EE0340">
              <w:rPr>
                <w:rFonts w:eastAsia="Calibri" w:cstheme="minorHAnsi"/>
              </w:rPr>
              <w:t>Biolegend</w:t>
            </w:r>
          </w:p>
        </w:tc>
        <w:tc>
          <w:tcPr>
            <w:tcW w:w="1169" w:type="dxa"/>
            <w:noWrap/>
          </w:tcPr>
          <w:p w14:paraId="4D953724" w14:textId="77777777" w:rsidR="00203F23" w:rsidRPr="00EE0340" w:rsidRDefault="00203F23" w:rsidP="0049254B">
            <w:pPr>
              <w:spacing w:line="480" w:lineRule="auto"/>
              <w:jc w:val="both"/>
              <w:rPr>
                <w:rFonts w:eastAsia="Calibri" w:cstheme="minorHAnsi"/>
              </w:rPr>
            </w:pPr>
            <w:r w:rsidRPr="00EE0340">
              <w:rPr>
                <w:rFonts w:eastAsia="Calibri" w:cstheme="minorHAnsi"/>
              </w:rPr>
              <w:t>101205</w:t>
            </w:r>
          </w:p>
        </w:tc>
      </w:tr>
      <w:tr w:rsidR="00203F23" w:rsidRPr="00EE0340" w14:paraId="760D4EA6" w14:textId="77777777" w:rsidTr="00E42B3A">
        <w:trPr>
          <w:trHeight w:val="239"/>
        </w:trPr>
        <w:tc>
          <w:tcPr>
            <w:tcW w:w="2252" w:type="dxa"/>
          </w:tcPr>
          <w:p w14:paraId="43A23437" w14:textId="77777777" w:rsidR="00203F23" w:rsidRPr="00EE0340" w:rsidRDefault="00203F23" w:rsidP="0049254B">
            <w:pPr>
              <w:spacing w:line="480" w:lineRule="auto"/>
              <w:jc w:val="both"/>
              <w:rPr>
                <w:rFonts w:eastAsia="Calibri" w:cstheme="minorHAnsi"/>
              </w:rPr>
            </w:pPr>
            <w:r w:rsidRPr="00EE0340">
              <w:rPr>
                <w:rFonts w:eastAsia="Calibri" w:cstheme="minorHAnsi"/>
              </w:rPr>
              <w:t>mCD31</w:t>
            </w:r>
          </w:p>
        </w:tc>
        <w:tc>
          <w:tcPr>
            <w:tcW w:w="1439" w:type="dxa"/>
            <w:noWrap/>
          </w:tcPr>
          <w:p w14:paraId="40B9F53A" w14:textId="77777777" w:rsidR="00203F23" w:rsidRPr="00EE0340" w:rsidRDefault="00203F23" w:rsidP="0049254B">
            <w:pPr>
              <w:spacing w:line="480" w:lineRule="auto"/>
              <w:jc w:val="center"/>
              <w:rPr>
                <w:rFonts w:eastAsia="Calibri" w:cstheme="minorHAnsi"/>
              </w:rPr>
            </w:pPr>
            <w:r w:rsidRPr="00EE0340">
              <w:rPr>
                <w:rFonts w:eastAsia="Calibri" w:cstheme="minorHAnsi"/>
              </w:rPr>
              <w:t>390</w:t>
            </w:r>
          </w:p>
        </w:tc>
        <w:tc>
          <w:tcPr>
            <w:tcW w:w="1342" w:type="dxa"/>
            <w:noWrap/>
          </w:tcPr>
          <w:p w14:paraId="39018458" w14:textId="77777777" w:rsidR="00203F23" w:rsidRPr="00EE0340" w:rsidRDefault="00203F23" w:rsidP="0049254B">
            <w:pPr>
              <w:spacing w:line="480" w:lineRule="auto"/>
              <w:jc w:val="both"/>
              <w:rPr>
                <w:rFonts w:eastAsia="Calibri" w:cstheme="minorHAnsi"/>
              </w:rPr>
            </w:pPr>
            <w:r w:rsidRPr="00EE0340">
              <w:rPr>
                <w:rFonts w:eastAsia="Calibri" w:cstheme="minorHAnsi"/>
              </w:rPr>
              <w:t>PC7</w:t>
            </w:r>
          </w:p>
        </w:tc>
        <w:tc>
          <w:tcPr>
            <w:tcW w:w="1213" w:type="dxa"/>
            <w:noWrap/>
          </w:tcPr>
          <w:p w14:paraId="0A3EE862"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tcPr>
          <w:p w14:paraId="2A65A4DC" w14:textId="77777777" w:rsidR="00203F23" w:rsidRPr="00EE0340" w:rsidRDefault="00203F23" w:rsidP="0049254B">
            <w:pPr>
              <w:spacing w:line="480" w:lineRule="auto"/>
              <w:jc w:val="both"/>
              <w:rPr>
                <w:rFonts w:eastAsia="Calibri" w:cstheme="minorHAnsi"/>
              </w:rPr>
            </w:pPr>
            <w:r w:rsidRPr="00EE0340">
              <w:rPr>
                <w:rFonts w:eastAsia="Calibri" w:cstheme="minorHAnsi"/>
              </w:rPr>
              <w:t>Biolegend</w:t>
            </w:r>
          </w:p>
        </w:tc>
        <w:tc>
          <w:tcPr>
            <w:tcW w:w="1169" w:type="dxa"/>
            <w:noWrap/>
          </w:tcPr>
          <w:p w14:paraId="18725AAD" w14:textId="77777777" w:rsidR="00203F23" w:rsidRPr="00EE0340" w:rsidRDefault="00203F23" w:rsidP="0049254B">
            <w:pPr>
              <w:spacing w:line="480" w:lineRule="auto"/>
              <w:jc w:val="both"/>
              <w:rPr>
                <w:rFonts w:eastAsia="Calibri" w:cstheme="minorHAnsi"/>
              </w:rPr>
            </w:pPr>
            <w:r w:rsidRPr="00EE0340">
              <w:rPr>
                <w:rFonts w:eastAsia="Calibri" w:cstheme="minorHAnsi"/>
              </w:rPr>
              <w:t>102417</w:t>
            </w:r>
          </w:p>
        </w:tc>
      </w:tr>
      <w:tr w:rsidR="00203F23" w:rsidRPr="00EE0340" w14:paraId="0AF68C43" w14:textId="77777777" w:rsidTr="00E42B3A">
        <w:trPr>
          <w:trHeight w:val="239"/>
        </w:trPr>
        <w:tc>
          <w:tcPr>
            <w:tcW w:w="2252" w:type="dxa"/>
          </w:tcPr>
          <w:p w14:paraId="778F3228" w14:textId="77777777" w:rsidR="00203F23" w:rsidRPr="00EE0340" w:rsidRDefault="00203F23" w:rsidP="0049254B">
            <w:pPr>
              <w:spacing w:line="480" w:lineRule="auto"/>
              <w:jc w:val="both"/>
              <w:rPr>
                <w:rFonts w:eastAsia="Calibri" w:cstheme="minorHAnsi"/>
              </w:rPr>
            </w:pPr>
            <w:r w:rsidRPr="00EE0340">
              <w:rPr>
                <w:rFonts w:eastAsia="Calibri" w:cstheme="minorHAnsi"/>
              </w:rPr>
              <w:t>mCD34</w:t>
            </w:r>
          </w:p>
        </w:tc>
        <w:tc>
          <w:tcPr>
            <w:tcW w:w="1439" w:type="dxa"/>
            <w:noWrap/>
          </w:tcPr>
          <w:p w14:paraId="4B843279" w14:textId="77777777" w:rsidR="00203F23" w:rsidRPr="00EE0340" w:rsidRDefault="00203F23" w:rsidP="0049254B">
            <w:pPr>
              <w:spacing w:line="480" w:lineRule="auto"/>
              <w:jc w:val="both"/>
              <w:rPr>
                <w:rFonts w:eastAsia="Calibri" w:cstheme="minorHAnsi"/>
              </w:rPr>
            </w:pPr>
            <w:r w:rsidRPr="00EE0340">
              <w:rPr>
                <w:rFonts w:eastAsia="Calibri" w:cstheme="minorHAnsi"/>
              </w:rPr>
              <w:t>HM34</w:t>
            </w:r>
          </w:p>
        </w:tc>
        <w:tc>
          <w:tcPr>
            <w:tcW w:w="1342" w:type="dxa"/>
            <w:noWrap/>
          </w:tcPr>
          <w:p w14:paraId="2991353C" w14:textId="77777777" w:rsidR="00203F23" w:rsidRPr="00EE0340" w:rsidRDefault="00203F23" w:rsidP="0049254B">
            <w:pPr>
              <w:spacing w:line="480" w:lineRule="auto"/>
              <w:jc w:val="both"/>
              <w:rPr>
                <w:rFonts w:eastAsia="Calibri" w:cstheme="minorHAnsi"/>
              </w:rPr>
            </w:pPr>
            <w:r w:rsidRPr="00EE0340">
              <w:rPr>
                <w:rFonts w:eastAsia="Calibri" w:cstheme="minorHAnsi"/>
              </w:rPr>
              <w:t>APC</w:t>
            </w:r>
          </w:p>
        </w:tc>
        <w:tc>
          <w:tcPr>
            <w:tcW w:w="1213" w:type="dxa"/>
            <w:noWrap/>
          </w:tcPr>
          <w:p w14:paraId="42B3FA24"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tcPr>
          <w:p w14:paraId="0D900B87" w14:textId="77777777" w:rsidR="00203F23" w:rsidRPr="00EE0340" w:rsidRDefault="00203F23" w:rsidP="0049254B">
            <w:pPr>
              <w:spacing w:line="480" w:lineRule="auto"/>
              <w:jc w:val="both"/>
              <w:rPr>
                <w:rFonts w:eastAsia="Calibri" w:cstheme="minorHAnsi"/>
              </w:rPr>
            </w:pPr>
            <w:r w:rsidRPr="00EE0340">
              <w:rPr>
                <w:rFonts w:eastAsia="Calibri" w:cstheme="minorHAnsi"/>
              </w:rPr>
              <w:t>Biolegend</w:t>
            </w:r>
          </w:p>
        </w:tc>
        <w:tc>
          <w:tcPr>
            <w:tcW w:w="1169" w:type="dxa"/>
            <w:noWrap/>
          </w:tcPr>
          <w:p w14:paraId="6A16E25A" w14:textId="77777777" w:rsidR="00203F23" w:rsidRPr="00EE0340" w:rsidRDefault="00203F23" w:rsidP="0049254B">
            <w:pPr>
              <w:spacing w:line="480" w:lineRule="auto"/>
              <w:jc w:val="both"/>
              <w:rPr>
                <w:rFonts w:eastAsia="Calibri" w:cstheme="minorHAnsi"/>
              </w:rPr>
            </w:pPr>
            <w:r w:rsidRPr="00EE0340">
              <w:rPr>
                <w:rFonts w:eastAsia="Calibri" w:cstheme="minorHAnsi"/>
              </w:rPr>
              <w:t>128611</w:t>
            </w:r>
          </w:p>
        </w:tc>
      </w:tr>
      <w:tr w:rsidR="00203F23" w:rsidRPr="00EE0340" w14:paraId="7F099D30" w14:textId="77777777" w:rsidTr="00E42B3A">
        <w:trPr>
          <w:trHeight w:val="300"/>
        </w:trPr>
        <w:tc>
          <w:tcPr>
            <w:tcW w:w="2252" w:type="dxa"/>
            <w:noWrap/>
            <w:hideMark/>
          </w:tcPr>
          <w:p w14:paraId="2F6F9998" w14:textId="77777777" w:rsidR="00203F23" w:rsidRPr="00EE0340" w:rsidRDefault="00203F23" w:rsidP="0049254B">
            <w:pPr>
              <w:spacing w:line="480" w:lineRule="auto"/>
              <w:jc w:val="both"/>
              <w:rPr>
                <w:rFonts w:eastAsia="Calibri" w:cstheme="minorHAnsi"/>
              </w:rPr>
            </w:pPr>
            <w:r w:rsidRPr="00EE0340">
              <w:rPr>
                <w:rFonts w:eastAsia="Calibri" w:cstheme="minorHAnsi"/>
              </w:rPr>
              <w:t>mCD45</w:t>
            </w:r>
          </w:p>
        </w:tc>
        <w:tc>
          <w:tcPr>
            <w:tcW w:w="1439" w:type="dxa"/>
            <w:noWrap/>
            <w:hideMark/>
          </w:tcPr>
          <w:p w14:paraId="676418FC" w14:textId="77777777" w:rsidR="00203F23" w:rsidRPr="00EE0340" w:rsidRDefault="00203F23" w:rsidP="0049254B">
            <w:pPr>
              <w:spacing w:line="480" w:lineRule="auto"/>
              <w:jc w:val="both"/>
              <w:rPr>
                <w:rFonts w:eastAsia="Calibri" w:cstheme="minorHAnsi"/>
              </w:rPr>
            </w:pPr>
            <w:r w:rsidRPr="00EE0340">
              <w:rPr>
                <w:rFonts w:eastAsia="Calibri" w:cstheme="minorHAnsi"/>
              </w:rPr>
              <w:t>30-F11</w:t>
            </w:r>
          </w:p>
        </w:tc>
        <w:tc>
          <w:tcPr>
            <w:tcW w:w="1342" w:type="dxa"/>
            <w:noWrap/>
            <w:hideMark/>
          </w:tcPr>
          <w:p w14:paraId="061F614E" w14:textId="77777777" w:rsidR="00203F23" w:rsidRPr="00EE0340" w:rsidRDefault="00203F23" w:rsidP="0049254B">
            <w:pPr>
              <w:spacing w:line="480" w:lineRule="auto"/>
              <w:jc w:val="both"/>
              <w:rPr>
                <w:rFonts w:eastAsia="Calibri" w:cstheme="minorHAnsi"/>
              </w:rPr>
            </w:pPr>
            <w:r w:rsidRPr="00EE0340">
              <w:rPr>
                <w:rFonts w:eastAsia="Calibri" w:cstheme="minorHAnsi"/>
              </w:rPr>
              <w:t>BV605</w:t>
            </w:r>
          </w:p>
        </w:tc>
        <w:tc>
          <w:tcPr>
            <w:tcW w:w="1213" w:type="dxa"/>
            <w:noWrap/>
            <w:hideMark/>
          </w:tcPr>
          <w:p w14:paraId="7CE49412"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hideMark/>
          </w:tcPr>
          <w:p w14:paraId="68117338" w14:textId="77777777" w:rsidR="00203F23" w:rsidRPr="00EE0340" w:rsidRDefault="00203F23" w:rsidP="0049254B">
            <w:pPr>
              <w:spacing w:line="480" w:lineRule="auto"/>
              <w:jc w:val="both"/>
              <w:rPr>
                <w:rFonts w:eastAsia="Calibri" w:cstheme="minorHAnsi"/>
              </w:rPr>
            </w:pPr>
            <w:r w:rsidRPr="00EE0340">
              <w:rPr>
                <w:rFonts w:eastAsia="Calibri" w:cstheme="minorHAnsi"/>
              </w:rPr>
              <w:t xml:space="preserve">Biolegend </w:t>
            </w:r>
          </w:p>
        </w:tc>
        <w:tc>
          <w:tcPr>
            <w:tcW w:w="1169" w:type="dxa"/>
            <w:noWrap/>
            <w:hideMark/>
          </w:tcPr>
          <w:p w14:paraId="007E0EC7" w14:textId="77777777" w:rsidR="00203F23" w:rsidRPr="00EE0340" w:rsidRDefault="00203F23" w:rsidP="0049254B">
            <w:pPr>
              <w:spacing w:line="480" w:lineRule="auto"/>
              <w:jc w:val="both"/>
              <w:rPr>
                <w:rFonts w:eastAsia="Calibri" w:cstheme="minorHAnsi"/>
              </w:rPr>
            </w:pPr>
            <w:r w:rsidRPr="00EE0340">
              <w:rPr>
                <w:rFonts w:eastAsia="Calibri" w:cstheme="minorHAnsi"/>
              </w:rPr>
              <w:t>103140</w:t>
            </w:r>
          </w:p>
        </w:tc>
      </w:tr>
      <w:tr w:rsidR="00203F23" w:rsidRPr="00EE0340" w14:paraId="1AF8B803" w14:textId="77777777" w:rsidTr="00E42B3A">
        <w:trPr>
          <w:trHeight w:val="300"/>
        </w:trPr>
        <w:tc>
          <w:tcPr>
            <w:tcW w:w="2252" w:type="dxa"/>
            <w:noWrap/>
            <w:hideMark/>
          </w:tcPr>
          <w:p w14:paraId="2EE043C9" w14:textId="77777777" w:rsidR="00203F23" w:rsidRPr="00EE0340" w:rsidRDefault="00203F23" w:rsidP="0049254B">
            <w:pPr>
              <w:spacing w:line="480" w:lineRule="auto"/>
              <w:jc w:val="both"/>
              <w:rPr>
                <w:rFonts w:eastAsia="Calibri" w:cstheme="minorHAnsi"/>
              </w:rPr>
            </w:pPr>
            <w:r w:rsidRPr="00EE0340">
              <w:rPr>
                <w:rFonts w:eastAsia="Calibri" w:cstheme="minorHAnsi"/>
              </w:rPr>
              <w:t>CD3</w:t>
            </w:r>
          </w:p>
        </w:tc>
        <w:tc>
          <w:tcPr>
            <w:tcW w:w="1439" w:type="dxa"/>
            <w:noWrap/>
            <w:hideMark/>
          </w:tcPr>
          <w:p w14:paraId="6C953315" w14:textId="77777777" w:rsidR="00203F23" w:rsidRPr="00EE0340" w:rsidRDefault="00203F23" w:rsidP="0049254B">
            <w:pPr>
              <w:spacing w:line="480" w:lineRule="auto"/>
              <w:jc w:val="both"/>
              <w:rPr>
                <w:rFonts w:eastAsia="Calibri" w:cstheme="minorHAnsi"/>
              </w:rPr>
            </w:pPr>
            <w:r w:rsidRPr="00EE0340">
              <w:rPr>
                <w:rFonts w:eastAsia="Calibri" w:cstheme="minorHAnsi"/>
              </w:rPr>
              <w:t>REA613</w:t>
            </w:r>
          </w:p>
        </w:tc>
        <w:tc>
          <w:tcPr>
            <w:tcW w:w="1342" w:type="dxa"/>
            <w:noWrap/>
            <w:hideMark/>
          </w:tcPr>
          <w:p w14:paraId="32D5AE42" w14:textId="77777777" w:rsidR="00203F23" w:rsidRPr="00EE0340" w:rsidRDefault="00203F23" w:rsidP="0049254B">
            <w:pPr>
              <w:spacing w:line="480" w:lineRule="auto"/>
              <w:jc w:val="both"/>
              <w:rPr>
                <w:rFonts w:eastAsia="Calibri" w:cstheme="minorHAnsi"/>
              </w:rPr>
            </w:pPr>
            <w:r w:rsidRPr="00EE0340">
              <w:rPr>
                <w:rFonts w:eastAsia="Calibri" w:cstheme="minorHAnsi"/>
              </w:rPr>
              <w:t>FITC</w:t>
            </w:r>
          </w:p>
        </w:tc>
        <w:tc>
          <w:tcPr>
            <w:tcW w:w="1213" w:type="dxa"/>
            <w:noWrap/>
            <w:hideMark/>
          </w:tcPr>
          <w:p w14:paraId="4A8AD6BE"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hideMark/>
          </w:tcPr>
          <w:p w14:paraId="4B5D1CC7" w14:textId="77777777" w:rsidR="00203F23" w:rsidRPr="00EE0340" w:rsidRDefault="00203F23" w:rsidP="0049254B">
            <w:pPr>
              <w:spacing w:line="480" w:lineRule="auto"/>
              <w:jc w:val="both"/>
              <w:rPr>
                <w:rFonts w:eastAsia="Calibri" w:cstheme="minorHAnsi"/>
              </w:rPr>
            </w:pPr>
            <w:r w:rsidRPr="00EE0340">
              <w:rPr>
                <w:rFonts w:eastAsia="Calibri" w:cstheme="minorHAnsi"/>
              </w:rPr>
              <w:t>Miltenyi Biotec</w:t>
            </w:r>
          </w:p>
        </w:tc>
        <w:tc>
          <w:tcPr>
            <w:tcW w:w="1169" w:type="dxa"/>
            <w:noWrap/>
            <w:hideMark/>
          </w:tcPr>
          <w:p w14:paraId="4E25CB65" w14:textId="77777777" w:rsidR="00203F23" w:rsidRPr="00EE0340" w:rsidRDefault="00203F23" w:rsidP="0049254B">
            <w:pPr>
              <w:spacing w:line="480" w:lineRule="auto"/>
              <w:jc w:val="both"/>
              <w:rPr>
                <w:rFonts w:eastAsia="Calibri" w:cstheme="minorHAnsi"/>
              </w:rPr>
            </w:pPr>
            <w:r w:rsidRPr="00EE0340">
              <w:rPr>
                <w:rFonts w:eastAsia="Calibri" w:cstheme="minorHAnsi"/>
              </w:rPr>
              <w:t>130-114-138</w:t>
            </w:r>
          </w:p>
        </w:tc>
      </w:tr>
      <w:tr w:rsidR="00203F23" w:rsidRPr="00EE0340" w14:paraId="19A21862" w14:textId="77777777" w:rsidTr="00E42B3A">
        <w:trPr>
          <w:trHeight w:val="300"/>
        </w:trPr>
        <w:tc>
          <w:tcPr>
            <w:tcW w:w="2252" w:type="dxa"/>
            <w:noWrap/>
            <w:hideMark/>
          </w:tcPr>
          <w:p w14:paraId="52B80828" w14:textId="77777777" w:rsidR="00203F23" w:rsidRPr="00EE0340" w:rsidRDefault="00203F23" w:rsidP="0049254B">
            <w:pPr>
              <w:spacing w:line="480" w:lineRule="auto"/>
              <w:jc w:val="both"/>
              <w:rPr>
                <w:rFonts w:eastAsia="Calibri" w:cstheme="minorHAnsi"/>
              </w:rPr>
            </w:pPr>
            <w:r w:rsidRPr="00EE0340">
              <w:rPr>
                <w:rFonts w:eastAsia="Calibri" w:cstheme="minorHAnsi"/>
              </w:rPr>
              <w:t>CD45</w:t>
            </w:r>
          </w:p>
        </w:tc>
        <w:tc>
          <w:tcPr>
            <w:tcW w:w="1439" w:type="dxa"/>
            <w:noWrap/>
            <w:hideMark/>
          </w:tcPr>
          <w:p w14:paraId="791DC1CA" w14:textId="77777777" w:rsidR="00203F23" w:rsidRPr="00EE0340" w:rsidRDefault="00203F23" w:rsidP="0049254B">
            <w:pPr>
              <w:spacing w:line="480" w:lineRule="auto"/>
              <w:jc w:val="both"/>
              <w:rPr>
                <w:rFonts w:eastAsia="Calibri" w:cstheme="minorHAnsi"/>
              </w:rPr>
            </w:pPr>
            <w:r w:rsidRPr="00EE0340">
              <w:rPr>
                <w:rFonts w:eastAsia="Calibri" w:cstheme="minorHAnsi"/>
              </w:rPr>
              <w:t>J33</w:t>
            </w:r>
          </w:p>
        </w:tc>
        <w:tc>
          <w:tcPr>
            <w:tcW w:w="1342" w:type="dxa"/>
            <w:noWrap/>
            <w:hideMark/>
          </w:tcPr>
          <w:p w14:paraId="05A06BBB" w14:textId="77777777" w:rsidR="00203F23" w:rsidRPr="00EE0340" w:rsidRDefault="00203F23" w:rsidP="0049254B">
            <w:pPr>
              <w:spacing w:line="480" w:lineRule="auto"/>
              <w:jc w:val="both"/>
              <w:rPr>
                <w:rFonts w:eastAsia="Calibri" w:cstheme="minorHAnsi"/>
              </w:rPr>
            </w:pPr>
            <w:r w:rsidRPr="00EE0340">
              <w:rPr>
                <w:rFonts w:eastAsia="Calibri" w:cstheme="minorHAnsi"/>
              </w:rPr>
              <w:t>PC7</w:t>
            </w:r>
          </w:p>
        </w:tc>
        <w:tc>
          <w:tcPr>
            <w:tcW w:w="1213" w:type="dxa"/>
            <w:noWrap/>
            <w:hideMark/>
          </w:tcPr>
          <w:p w14:paraId="76519675"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hideMark/>
          </w:tcPr>
          <w:p w14:paraId="3306092E" w14:textId="77777777" w:rsidR="00203F23" w:rsidRPr="00EE0340" w:rsidRDefault="00203F23" w:rsidP="0049254B">
            <w:pPr>
              <w:spacing w:line="480" w:lineRule="auto"/>
              <w:jc w:val="both"/>
              <w:rPr>
                <w:rFonts w:eastAsia="Calibri" w:cstheme="minorHAnsi"/>
              </w:rPr>
            </w:pPr>
            <w:r w:rsidRPr="00EE0340">
              <w:rPr>
                <w:rFonts w:eastAsia="Calibri" w:cstheme="minorHAnsi"/>
              </w:rPr>
              <w:t>Beckman Coulter</w:t>
            </w:r>
          </w:p>
        </w:tc>
        <w:tc>
          <w:tcPr>
            <w:tcW w:w="1169" w:type="dxa"/>
            <w:noWrap/>
            <w:hideMark/>
          </w:tcPr>
          <w:p w14:paraId="099AFB29" w14:textId="77777777" w:rsidR="00203F23" w:rsidRPr="00EE0340" w:rsidRDefault="00203F23" w:rsidP="0049254B">
            <w:pPr>
              <w:spacing w:line="480" w:lineRule="auto"/>
              <w:jc w:val="both"/>
              <w:rPr>
                <w:rFonts w:eastAsia="Calibri" w:cstheme="minorHAnsi"/>
              </w:rPr>
            </w:pPr>
            <w:r w:rsidRPr="00EE0340">
              <w:rPr>
                <w:rFonts w:eastAsia="Calibri" w:cstheme="minorHAnsi"/>
              </w:rPr>
              <w:t>IM3548</w:t>
            </w:r>
          </w:p>
        </w:tc>
      </w:tr>
      <w:tr w:rsidR="00203F23" w:rsidRPr="00EE0340" w14:paraId="69E76EBE" w14:textId="77777777" w:rsidTr="00E42B3A">
        <w:trPr>
          <w:trHeight w:val="300"/>
        </w:trPr>
        <w:tc>
          <w:tcPr>
            <w:tcW w:w="2252" w:type="dxa"/>
            <w:noWrap/>
            <w:hideMark/>
          </w:tcPr>
          <w:p w14:paraId="7A8E1BD3" w14:textId="77777777" w:rsidR="00203F23" w:rsidRPr="00EE0340" w:rsidRDefault="00203F23" w:rsidP="0049254B">
            <w:pPr>
              <w:spacing w:line="480" w:lineRule="auto"/>
              <w:jc w:val="both"/>
              <w:rPr>
                <w:rFonts w:eastAsia="Calibri" w:cstheme="minorHAnsi"/>
              </w:rPr>
            </w:pPr>
            <w:r w:rsidRPr="00EE0340">
              <w:rPr>
                <w:rFonts w:eastAsia="Calibri" w:cstheme="minorHAnsi"/>
              </w:rPr>
              <w:t>IgG1</w:t>
            </w:r>
          </w:p>
        </w:tc>
        <w:tc>
          <w:tcPr>
            <w:tcW w:w="1439" w:type="dxa"/>
            <w:noWrap/>
            <w:hideMark/>
          </w:tcPr>
          <w:p w14:paraId="38CE5EA5" w14:textId="77777777" w:rsidR="00203F23" w:rsidRPr="00EE0340" w:rsidRDefault="00203F23" w:rsidP="0049254B">
            <w:pPr>
              <w:spacing w:line="480" w:lineRule="auto"/>
              <w:jc w:val="both"/>
              <w:rPr>
                <w:rFonts w:eastAsia="Calibri" w:cstheme="minorHAnsi"/>
              </w:rPr>
            </w:pPr>
            <w:r w:rsidRPr="00EE0340">
              <w:rPr>
                <w:rFonts w:eastAsia="Calibri" w:cstheme="minorHAnsi"/>
              </w:rPr>
              <w:t>MOPC-21</w:t>
            </w:r>
          </w:p>
        </w:tc>
        <w:tc>
          <w:tcPr>
            <w:tcW w:w="1342" w:type="dxa"/>
            <w:noWrap/>
            <w:hideMark/>
          </w:tcPr>
          <w:p w14:paraId="6011B67B" w14:textId="77777777" w:rsidR="00203F23" w:rsidRPr="00EE0340" w:rsidRDefault="00203F23" w:rsidP="0049254B">
            <w:pPr>
              <w:spacing w:line="480" w:lineRule="auto"/>
              <w:jc w:val="both"/>
              <w:rPr>
                <w:rFonts w:eastAsia="Calibri" w:cstheme="minorHAnsi"/>
              </w:rPr>
            </w:pPr>
            <w:r w:rsidRPr="00EE0340">
              <w:rPr>
                <w:rFonts w:eastAsia="Calibri" w:cstheme="minorHAnsi"/>
              </w:rPr>
              <w:t>AF488</w:t>
            </w:r>
          </w:p>
        </w:tc>
        <w:tc>
          <w:tcPr>
            <w:tcW w:w="1213" w:type="dxa"/>
            <w:noWrap/>
            <w:hideMark/>
          </w:tcPr>
          <w:p w14:paraId="22928505" w14:textId="77777777" w:rsidR="00203F23" w:rsidRPr="00EE0340" w:rsidRDefault="00203F23" w:rsidP="0049254B">
            <w:pPr>
              <w:spacing w:line="480" w:lineRule="auto"/>
              <w:jc w:val="both"/>
              <w:rPr>
                <w:rFonts w:eastAsia="Calibri" w:cstheme="minorHAnsi"/>
              </w:rPr>
            </w:pPr>
            <w:r w:rsidRPr="00EE0340">
              <w:rPr>
                <w:rFonts w:eastAsia="Calibri" w:cstheme="minorHAnsi"/>
              </w:rPr>
              <w:t>1-400</w:t>
            </w:r>
          </w:p>
        </w:tc>
        <w:tc>
          <w:tcPr>
            <w:tcW w:w="1601" w:type="dxa"/>
            <w:noWrap/>
            <w:hideMark/>
          </w:tcPr>
          <w:p w14:paraId="6A05DFB7" w14:textId="77777777" w:rsidR="00203F23" w:rsidRPr="00EE0340" w:rsidRDefault="00203F23" w:rsidP="0049254B">
            <w:pPr>
              <w:spacing w:line="480" w:lineRule="auto"/>
              <w:jc w:val="both"/>
              <w:rPr>
                <w:rFonts w:eastAsia="Calibri" w:cstheme="minorHAnsi"/>
              </w:rPr>
            </w:pPr>
            <w:r w:rsidRPr="00EE0340">
              <w:rPr>
                <w:rFonts w:eastAsia="Calibri" w:cstheme="minorHAnsi"/>
              </w:rPr>
              <w:t>Cell Signaling Technology</w:t>
            </w:r>
          </w:p>
        </w:tc>
        <w:tc>
          <w:tcPr>
            <w:tcW w:w="1169" w:type="dxa"/>
            <w:noWrap/>
            <w:hideMark/>
          </w:tcPr>
          <w:p w14:paraId="7E645395" w14:textId="77777777" w:rsidR="00203F23" w:rsidRPr="00EE0340" w:rsidRDefault="00203F23" w:rsidP="0049254B">
            <w:pPr>
              <w:spacing w:line="480" w:lineRule="auto"/>
              <w:jc w:val="both"/>
              <w:rPr>
                <w:rFonts w:eastAsia="Calibri" w:cstheme="minorHAnsi"/>
              </w:rPr>
            </w:pPr>
            <w:r w:rsidRPr="00EE0340">
              <w:rPr>
                <w:rFonts w:eastAsia="Calibri" w:cstheme="minorHAnsi"/>
              </w:rPr>
              <w:t>4878S</w:t>
            </w:r>
          </w:p>
        </w:tc>
      </w:tr>
      <w:tr w:rsidR="00203F23" w:rsidRPr="00EE0340" w14:paraId="068C5A10" w14:textId="77777777" w:rsidTr="00E42B3A">
        <w:trPr>
          <w:trHeight w:val="300"/>
        </w:trPr>
        <w:tc>
          <w:tcPr>
            <w:tcW w:w="2252" w:type="dxa"/>
            <w:noWrap/>
            <w:hideMark/>
          </w:tcPr>
          <w:p w14:paraId="6E90535A" w14:textId="77777777" w:rsidR="00203F23" w:rsidRPr="00EE0340" w:rsidRDefault="00203F23" w:rsidP="0049254B">
            <w:pPr>
              <w:spacing w:line="480" w:lineRule="auto"/>
              <w:jc w:val="both"/>
              <w:rPr>
                <w:rFonts w:eastAsia="Calibri" w:cstheme="minorHAnsi"/>
              </w:rPr>
            </w:pPr>
            <w:r w:rsidRPr="00EE0340">
              <w:rPr>
                <w:rFonts w:eastAsia="Calibri" w:cstheme="minorHAnsi"/>
              </w:rPr>
              <w:t>IgG1</w:t>
            </w:r>
          </w:p>
        </w:tc>
        <w:tc>
          <w:tcPr>
            <w:tcW w:w="1439" w:type="dxa"/>
            <w:noWrap/>
            <w:hideMark/>
          </w:tcPr>
          <w:p w14:paraId="31DA85DA" w14:textId="77777777" w:rsidR="00203F23" w:rsidRPr="00EE0340" w:rsidRDefault="00203F23" w:rsidP="0049254B">
            <w:pPr>
              <w:spacing w:line="480" w:lineRule="auto"/>
              <w:jc w:val="both"/>
              <w:rPr>
                <w:rFonts w:eastAsia="Calibri" w:cstheme="minorHAnsi"/>
              </w:rPr>
            </w:pPr>
            <w:r w:rsidRPr="00EE0340">
              <w:rPr>
                <w:rFonts w:eastAsia="Calibri" w:cstheme="minorHAnsi"/>
              </w:rPr>
              <w:t>DA1E</w:t>
            </w:r>
          </w:p>
        </w:tc>
        <w:tc>
          <w:tcPr>
            <w:tcW w:w="1342" w:type="dxa"/>
            <w:noWrap/>
            <w:hideMark/>
          </w:tcPr>
          <w:p w14:paraId="274DD43D" w14:textId="77777777" w:rsidR="00203F23" w:rsidRPr="00EE0340" w:rsidRDefault="00203F23" w:rsidP="0049254B">
            <w:pPr>
              <w:spacing w:line="480" w:lineRule="auto"/>
              <w:jc w:val="both"/>
              <w:rPr>
                <w:rFonts w:eastAsia="Calibri" w:cstheme="minorHAnsi"/>
              </w:rPr>
            </w:pPr>
            <w:r w:rsidRPr="00EE0340">
              <w:rPr>
                <w:rFonts w:eastAsia="Calibri" w:cstheme="minorHAnsi"/>
              </w:rPr>
              <w:t>AF488</w:t>
            </w:r>
          </w:p>
        </w:tc>
        <w:tc>
          <w:tcPr>
            <w:tcW w:w="1213" w:type="dxa"/>
            <w:noWrap/>
            <w:hideMark/>
          </w:tcPr>
          <w:p w14:paraId="6FD3EC0B" w14:textId="77777777" w:rsidR="00203F23" w:rsidRPr="00EE0340" w:rsidRDefault="00203F23" w:rsidP="0049254B">
            <w:pPr>
              <w:spacing w:line="480" w:lineRule="auto"/>
              <w:jc w:val="both"/>
              <w:rPr>
                <w:rFonts w:eastAsia="Calibri" w:cstheme="minorHAnsi"/>
              </w:rPr>
            </w:pPr>
            <w:r w:rsidRPr="00EE0340">
              <w:rPr>
                <w:rFonts w:eastAsia="Calibri" w:cstheme="minorHAnsi"/>
              </w:rPr>
              <w:t>1-400/1-800</w:t>
            </w:r>
          </w:p>
        </w:tc>
        <w:tc>
          <w:tcPr>
            <w:tcW w:w="1601" w:type="dxa"/>
            <w:noWrap/>
            <w:hideMark/>
          </w:tcPr>
          <w:p w14:paraId="30135191" w14:textId="77777777" w:rsidR="00203F23" w:rsidRPr="00EE0340" w:rsidRDefault="00203F23" w:rsidP="0049254B">
            <w:pPr>
              <w:spacing w:line="480" w:lineRule="auto"/>
              <w:jc w:val="both"/>
              <w:rPr>
                <w:rFonts w:eastAsia="Calibri" w:cstheme="minorHAnsi"/>
              </w:rPr>
            </w:pPr>
            <w:r w:rsidRPr="00EE0340">
              <w:rPr>
                <w:rFonts w:eastAsia="Calibri" w:cstheme="minorHAnsi"/>
              </w:rPr>
              <w:t>Cell Signaling Technology</w:t>
            </w:r>
          </w:p>
        </w:tc>
        <w:tc>
          <w:tcPr>
            <w:tcW w:w="1169" w:type="dxa"/>
            <w:noWrap/>
            <w:hideMark/>
          </w:tcPr>
          <w:p w14:paraId="702CECFB" w14:textId="77777777" w:rsidR="00203F23" w:rsidRPr="00EE0340" w:rsidRDefault="00203F23" w:rsidP="0049254B">
            <w:pPr>
              <w:spacing w:line="480" w:lineRule="auto"/>
              <w:jc w:val="both"/>
              <w:rPr>
                <w:rFonts w:eastAsia="Calibri" w:cstheme="minorHAnsi"/>
              </w:rPr>
            </w:pPr>
            <w:r w:rsidRPr="00EE0340">
              <w:rPr>
                <w:rFonts w:eastAsia="Calibri" w:cstheme="minorHAnsi"/>
              </w:rPr>
              <w:t>2975S</w:t>
            </w:r>
          </w:p>
        </w:tc>
      </w:tr>
      <w:tr w:rsidR="00203F23" w:rsidRPr="00EE0340" w14:paraId="631623FC" w14:textId="77777777" w:rsidTr="00E42B3A">
        <w:trPr>
          <w:trHeight w:val="300"/>
        </w:trPr>
        <w:tc>
          <w:tcPr>
            <w:tcW w:w="2252" w:type="dxa"/>
            <w:noWrap/>
            <w:hideMark/>
          </w:tcPr>
          <w:p w14:paraId="5167DB79" w14:textId="77777777" w:rsidR="00203F23" w:rsidRPr="00EE0340" w:rsidRDefault="00203F23" w:rsidP="0049254B">
            <w:pPr>
              <w:spacing w:line="480" w:lineRule="auto"/>
              <w:jc w:val="both"/>
              <w:rPr>
                <w:rFonts w:eastAsia="Calibri" w:cstheme="minorHAnsi"/>
              </w:rPr>
            </w:pPr>
            <w:r w:rsidRPr="00EE0340">
              <w:rPr>
                <w:rFonts w:eastAsia="Calibri" w:cstheme="minorHAnsi"/>
              </w:rPr>
              <w:t>BCL2</w:t>
            </w:r>
          </w:p>
        </w:tc>
        <w:tc>
          <w:tcPr>
            <w:tcW w:w="1439" w:type="dxa"/>
            <w:noWrap/>
            <w:hideMark/>
          </w:tcPr>
          <w:p w14:paraId="185B8B9F" w14:textId="77777777" w:rsidR="00203F23" w:rsidRPr="00EE0340" w:rsidRDefault="00203F23" w:rsidP="0049254B">
            <w:pPr>
              <w:spacing w:line="480" w:lineRule="auto"/>
              <w:jc w:val="both"/>
              <w:rPr>
                <w:rFonts w:eastAsia="Calibri" w:cstheme="minorHAnsi"/>
              </w:rPr>
            </w:pPr>
            <w:r w:rsidRPr="00EE0340">
              <w:rPr>
                <w:rFonts w:eastAsia="Calibri" w:cstheme="minorHAnsi"/>
              </w:rPr>
              <w:t>124</w:t>
            </w:r>
          </w:p>
        </w:tc>
        <w:tc>
          <w:tcPr>
            <w:tcW w:w="1342" w:type="dxa"/>
            <w:noWrap/>
            <w:hideMark/>
          </w:tcPr>
          <w:p w14:paraId="0B08245D" w14:textId="77777777" w:rsidR="00203F23" w:rsidRPr="00EE0340" w:rsidRDefault="00203F23" w:rsidP="0049254B">
            <w:pPr>
              <w:spacing w:line="480" w:lineRule="auto"/>
              <w:jc w:val="both"/>
              <w:rPr>
                <w:rFonts w:eastAsia="Calibri" w:cstheme="minorHAnsi"/>
              </w:rPr>
            </w:pPr>
            <w:r w:rsidRPr="00EE0340">
              <w:rPr>
                <w:rFonts w:eastAsia="Calibri" w:cstheme="minorHAnsi"/>
              </w:rPr>
              <w:t>AF488</w:t>
            </w:r>
          </w:p>
        </w:tc>
        <w:tc>
          <w:tcPr>
            <w:tcW w:w="1213" w:type="dxa"/>
            <w:noWrap/>
            <w:hideMark/>
          </w:tcPr>
          <w:p w14:paraId="5267AFD8"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hideMark/>
          </w:tcPr>
          <w:p w14:paraId="6ED1C3D0" w14:textId="77777777" w:rsidR="00203F23" w:rsidRPr="00EE0340" w:rsidRDefault="00203F23" w:rsidP="0049254B">
            <w:pPr>
              <w:spacing w:line="480" w:lineRule="auto"/>
              <w:jc w:val="both"/>
              <w:rPr>
                <w:rFonts w:eastAsia="Calibri" w:cstheme="minorHAnsi"/>
              </w:rPr>
            </w:pPr>
            <w:r w:rsidRPr="00EE0340">
              <w:rPr>
                <w:rFonts w:eastAsia="Calibri" w:cstheme="minorHAnsi"/>
              </w:rPr>
              <w:t>Cell Signaling Technology</w:t>
            </w:r>
          </w:p>
        </w:tc>
        <w:tc>
          <w:tcPr>
            <w:tcW w:w="1169" w:type="dxa"/>
            <w:noWrap/>
            <w:hideMark/>
          </w:tcPr>
          <w:p w14:paraId="0051F44F" w14:textId="77777777" w:rsidR="00203F23" w:rsidRPr="00EE0340" w:rsidRDefault="00203F23" w:rsidP="0049254B">
            <w:pPr>
              <w:spacing w:line="480" w:lineRule="auto"/>
              <w:jc w:val="both"/>
              <w:rPr>
                <w:rFonts w:eastAsia="Calibri" w:cstheme="minorHAnsi"/>
              </w:rPr>
            </w:pPr>
            <w:r w:rsidRPr="00EE0340">
              <w:rPr>
                <w:rFonts w:eastAsia="Calibri" w:cstheme="minorHAnsi"/>
              </w:rPr>
              <w:t>59422S</w:t>
            </w:r>
          </w:p>
        </w:tc>
      </w:tr>
      <w:tr w:rsidR="00203F23" w:rsidRPr="00EE0340" w14:paraId="0AE02A98" w14:textId="77777777" w:rsidTr="00E42B3A">
        <w:trPr>
          <w:trHeight w:val="300"/>
        </w:trPr>
        <w:tc>
          <w:tcPr>
            <w:tcW w:w="2252" w:type="dxa"/>
            <w:noWrap/>
            <w:hideMark/>
          </w:tcPr>
          <w:p w14:paraId="636F579C" w14:textId="77777777" w:rsidR="00203F23" w:rsidRPr="00EE0340" w:rsidRDefault="00203F23" w:rsidP="0049254B">
            <w:pPr>
              <w:spacing w:line="480" w:lineRule="auto"/>
              <w:jc w:val="both"/>
              <w:rPr>
                <w:rFonts w:eastAsia="Calibri" w:cstheme="minorHAnsi"/>
              </w:rPr>
            </w:pPr>
            <w:r w:rsidRPr="00EE0340">
              <w:rPr>
                <w:rFonts w:eastAsia="Calibri" w:cstheme="minorHAnsi"/>
              </w:rPr>
              <w:t>BCL-XL</w:t>
            </w:r>
          </w:p>
        </w:tc>
        <w:tc>
          <w:tcPr>
            <w:tcW w:w="1439" w:type="dxa"/>
            <w:noWrap/>
            <w:hideMark/>
          </w:tcPr>
          <w:p w14:paraId="4180D476" w14:textId="77777777" w:rsidR="00203F23" w:rsidRPr="00EE0340" w:rsidRDefault="00203F23" w:rsidP="0049254B">
            <w:pPr>
              <w:spacing w:line="480" w:lineRule="auto"/>
              <w:jc w:val="both"/>
              <w:rPr>
                <w:rFonts w:eastAsia="Calibri" w:cstheme="minorHAnsi"/>
              </w:rPr>
            </w:pPr>
            <w:r w:rsidRPr="00EE0340">
              <w:rPr>
                <w:rFonts w:eastAsia="Calibri" w:cstheme="minorHAnsi"/>
              </w:rPr>
              <w:t>54H6</w:t>
            </w:r>
          </w:p>
        </w:tc>
        <w:tc>
          <w:tcPr>
            <w:tcW w:w="1342" w:type="dxa"/>
            <w:noWrap/>
            <w:hideMark/>
          </w:tcPr>
          <w:p w14:paraId="06639613" w14:textId="77777777" w:rsidR="00203F23" w:rsidRPr="00EE0340" w:rsidRDefault="00203F23" w:rsidP="0049254B">
            <w:pPr>
              <w:spacing w:line="480" w:lineRule="auto"/>
              <w:jc w:val="both"/>
              <w:rPr>
                <w:rFonts w:eastAsia="Calibri" w:cstheme="minorHAnsi"/>
              </w:rPr>
            </w:pPr>
            <w:r w:rsidRPr="00EE0340">
              <w:rPr>
                <w:rFonts w:eastAsia="Calibri" w:cstheme="minorHAnsi"/>
              </w:rPr>
              <w:t>AF488</w:t>
            </w:r>
          </w:p>
        </w:tc>
        <w:tc>
          <w:tcPr>
            <w:tcW w:w="1213" w:type="dxa"/>
            <w:noWrap/>
            <w:hideMark/>
          </w:tcPr>
          <w:p w14:paraId="35811D43"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hideMark/>
          </w:tcPr>
          <w:p w14:paraId="354C5C52" w14:textId="77777777" w:rsidR="00203F23" w:rsidRPr="00EE0340" w:rsidRDefault="00203F23" w:rsidP="0049254B">
            <w:pPr>
              <w:spacing w:line="480" w:lineRule="auto"/>
              <w:jc w:val="both"/>
              <w:rPr>
                <w:rFonts w:eastAsia="Calibri" w:cstheme="minorHAnsi"/>
              </w:rPr>
            </w:pPr>
            <w:r w:rsidRPr="00EE0340">
              <w:rPr>
                <w:rFonts w:eastAsia="Calibri" w:cstheme="minorHAnsi"/>
              </w:rPr>
              <w:t>Cell Signaling Technology</w:t>
            </w:r>
          </w:p>
        </w:tc>
        <w:tc>
          <w:tcPr>
            <w:tcW w:w="1169" w:type="dxa"/>
            <w:noWrap/>
            <w:hideMark/>
          </w:tcPr>
          <w:p w14:paraId="4D7E8C7B" w14:textId="77777777" w:rsidR="00203F23" w:rsidRPr="00EE0340" w:rsidRDefault="00203F23" w:rsidP="0049254B">
            <w:pPr>
              <w:spacing w:line="480" w:lineRule="auto"/>
              <w:jc w:val="both"/>
              <w:rPr>
                <w:rFonts w:eastAsia="Calibri" w:cstheme="minorHAnsi"/>
              </w:rPr>
            </w:pPr>
            <w:r w:rsidRPr="00EE0340">
              <w:rPr>
                <w:rFonts w:eastAsia="Calibri" w:cstheme="minorHAnsi"/>
              </w:rPr>
              <w:t>2767S</w:t>
            </w:r>
          </w:p>
        </w:tc>
      </w:tr>
      <w:tr w:rsidR="00203F23" w:rsidRPr="00EE0340" w14:paraId="628E3D2B" w14:textId="77777777" w:rsidTr="00E42B3A">
        <w:trPr>
          <w:trHeight w:val="300"/>
        </w:trPr>
        <w:tc>
          <w:tcPr>
            <w:tcW w:w="2252" w:type="dxa"/>
            <w:noWrap/>
            <w:hideMark/>
          </w:tcPr>
          <w:p w14:paraId="54CECFE0" w14:textId="77777777" w:rsidR="00203F23" w:rsidRPr="00EE0340" w:rsidRDefault="00203F23" w:rsidP="0049254B">
            <w:pPr>
              <w:spacing w:line="480" w:lineRule="auto"/>
              <w:jc w:val="both"/>
              <w:rPr>
                <w:rFonts w:eastAsia="Calibri" w:cstheme="minorHAnsi"/>
              </w:rPr>
            </w:pPr>
            <w:r w:rsidRPr="00EE0340">
              <w:rPr>
                <w:rFonts w:eastAsia="Calibri" w:cstheme="minorHAnsi"/>
              </w:rPr>
              <w:t>MCL1</w:t>
            </w:r>
          </w:p>
        </w:tc>
        <w:tc>
          <w:tcPr>
            <w:tcW w:w="1439" w:type="dxa"/>
            <w:noWrap/>
            <w:hideMark/>
          </w:tcPr>
          <w:p w14:paraId="1D09A93B" w14:textId="77777777" w:rsidR="00203F23" w:rsidRPr="00EE0340" w:rsidRDefault="00203F23" w:rsidP="0049254B">
            <w:pPr>
              <w:spacing w:line="480" w:lineRule="auto"/>
              <w:jc w:val="both"/>
              <w:rPr>
                <w:rFonts w:eastAsia="Calibri" w:cstheme="minorHAnsi"/>
              </w:rPr>
            </w:pPr>
            <w:r w:rsidRPr="00EE0340">
              <w:rPr>
                <w:rFonts w:eastAsia="Calibri" w:cstheme="minorHAnsi"/>
              </w:rPr>
              <w:t>D2W9E</w:t>
            </w:r>
          </w:p>
        </w:tc>
        <w:tc>
          <w:tcPr>
            <w:tcW w:w="1342" w:type="dxa"/>
            <w:noWrap/>
            <w:hideMark/>
          </w:tcPr>
          <w:p w14:paraId="16AE02A5" w14:textId="77777777" w:rsidR="00203F23" w:rsidRPr="00EE0340" w:rsidRDefault="00203F23" w:rsidP="0049254B">
            <w:pPr>
              <w:spacing w:line="480" w:lineRule="auto"/>
              <w:jc w:val="both"/>
              <w:rPr>
                <w:rFonts w:eastAsia="Calibri" w:cstheme="minorHAnsi"/>
              </w:rPr>
            </w:pPr>
            <w:r w:rsidRPr="00EE0340">
              <w:rPr>
                <w:rFonts w:eastAsia="Calibri" w:cstheme="minorHAnsi"/>
              </w:rPr>
              <w:t>AF488</w:t>
            </w:r>
          </w:p>
        </w:tc>
        <w:tc>
          <w:tcPr>
            <w:tcW w:w="1213" w:type="dxa"/>
            <w:noWrap/>
            <w:hideMark/>
          </w:tcPr>
          <w:p w14:paraId="2CA82EFD" w14:textId="77777777" w:rsidR="00203F23" w:rsidRPr="00EE0340" w:rsidRDefault="00203F23" w:rsidP="0049254B">
            <w:pPr>
              <w:spacing w:line="480" w:lineRule="auto"/>
              <w:jc w:val="both"/>
              <w:rPr>
                <w:rFonts w:eastAsia="Calibri" w:cstheme="minorHAnsi"/>
              </w:rPr>
            </w:pPr>
            <w:r w:rsidRPr="00EE0340">
              <w:rPr>
                <w:rFonts w:eastAsia="Calibri" w:cstheme="minorHAnsi"/>
              </w:rPr>
              <w:t>1-100</w:t>
            </w:r>
          </w:p>
        </w:tc>
        <w:tc>
          <w:tcPr>
            <w:tcW w:w="1601" w:type="dxa"/>
            <w:noWrap/>
            <w:hideMark/>
          </w:tcPr>
          <w:p w14:paraId="4B1F587B" w14:textId="77777777" w:rsidR="00203F23" w:rsidRPr="00EE0340" w:rsidRDefault="00203F23" w:rsidP="0049254B">
            <w:pPr>
              <w:spacing w:line="480" w:lineRule="auto"/>
              <w:jc w:val="both"/>
              <w:rPr>
                <w:rFonts w:eastAsia="Calibri" w:cstheme="minorHAnsi"/>
              </w:rPr>
            </w:pPr>
            <w:r w:rsidRPr="00EE0340">
              <w:rPr>
                <w:rFonts w:eastAsia="Calibri" w:cstheme="minorHAnsi"/>
              </w:rPr>
              <w:t>Cell Signaling Technology</w:t>
            </w:r>
          </w:p>
        </w:tc>
        <w:tc>
          <w:tcPr>
            <w:tcW w:w="1169" w:type="dxa"/>
            <w:noWrap/>
            <w:hideMark/>
          </w:tcPr>
          <w:p w14:paraId="0C9245D9" w14:textId="77777777" w:rsidR="00203F23" w:rsidRPr="00EE0340" w:rsidRDefault="00203F23" w:rsidP="0049254B">
            <w:pPr>
              <w:spacing w:line="480" w:lineRule="auto"/>
              <w:jc w:val="both"/>
              <w:rPr>
                <w:rFonts w:eastAsia="Calibri" w:cstheme="minorHAnsi"/>
              </w:rPr>
            </w:pPr>
            <w:r w:rsidRPr="00EE0340">
              <w:rPr>
                <w:rFonts w:eastAsia="Calibri" w:cstheme="minorHAnsi"/>
              </w:rPr>
              <w:t>58326S</w:t>
            </w:r>
          </w:p>
        </w:tc>
      </w:tr>
      <w:tr w:rsidR="00203F23" w:rsidRPr="00EE0340" w14:paraId="15168E3D" w14:textId="77777777" w:rsidTr="00E42B3A">
        <w:trPr>
          <w:trHeight w:val="300"/>
        </w:trPr>
        <w:tc>
          <w:tcPr>
            <w:tcW w:w="2252" w:type="dxa"/>
            <w:noWrap/>
            <w:hideMark/>
          </w:tcPr>
          <w:p w14:paraId="05CD8253" w14:textId="77777777" w:rsidR="00203F23" w:rsidRPr="00EE0340" w:rsidRDefault="00203F23" w:rsidP="0049254B">
            <w:pPr>
              <w:spacing w:line="480" w:lineRule="auto"/>
              <w:jc w:val="both"/>
              <w:rPr>
                <w:rFonts w:eastAsia="Calibri" w:cstheme="minorHAnsi"/>
              </w:rPr>
            </w:pPr>
            <w:r w:rsidRPr="00EE0340">
              <w:rPr>
                <w:rFonts w:eastAsia="Calibri" w:cstheme="minorHAnsi"/>
              </w:rPr>
              <w:t>P-CREB (S133)</w:t>
            </w:r>
          </w:p>
        </w:tc>
        <w:tc>
          <w:tcPr>
            <w:tcW w:w="1439" w:type="dxa"/>
            <w:noWrap/>
            <w:hideMark/>
          </w:tcPr>
          <w:p w14:paraId="380D6C9D" w14:textId="77777777" w:rsidR="00203F23" w:rsidRPr="00EE0340" w:rsidRDefault="00203F23" w:rsidP="0049254B">
            <w:pPr>
              <w:spacing w:line="480" w:lineRule="auto"/>
              <w:jc w:val="both"/>
              <w:rPr>
                <w:rFonts w:eastAsia="Calibri" w:cstheme="minorHAnsi"/>
              </w:rPr>
            </w:pPr>
            <w:r w:rsidRPr="00EE0340">
              <w:rPr>
                <w:rFonts w:eastAsia="Calibri" w:cstheme="minorHAnsi"/>
              </w:rPr>
              <w:t>87G3</w:t>
            </w:r>
          </w:p>
        </w:tc>
        <w:tc>
          <w:tcPr>
            <w:tcW w:w="1342" w:type="dxa"/>
            <w:noWrap/>
            <w:hideMark/>
          </w:tcPr>
          <w:p w14:paraId="760CA14B" w14:textId="77777777" w:rsidR="00203F23" w:rsidRPr="00EE0340" w:rsidRDefault="00203F23" w:rsidP="0049254B">
            <w:pPr>
              <w:spacing w:line="480" w:lineRule="auto"/>
              <w:jc w:val="both"/>
              <w:rPr>
                <w:rFonts w:eastAsia="Calibri" w:cstheme="minorHAnsi"/>
              </w:rPr>
            </w:pPr>
            <w:r w:rsidRPr="00EE0340">
              <w:rPr>
                <w:rFonts w:eastAsia="Calibri" w:cstheme="minorHAnsi"/>
              </w:rPr>
              <w:t>AF488</w:t>
            </w:r>
          </w:p>
        </w:tc>
        <w:tc>
          <w:tcPr>
            <w:tcW w:w="1213" w:type="dxa"/>
            <w:noWrap/>
            <w:hideMark/>
          </w:tcPr>
          <w:p w14:paraId="5D94A76A" w14:textId="77777777" w:rsidR="00203F23" w:rsidRPr="00EE0340" w:rsidRDefault="00203F23" w:rsidP="0049254B">
            <w:pPr>
              <w:spacing w:line="480" w:lineRule="auto"/>
              <w:jc w:val="both"/>
              <w:rPr>
                <w:rFonts w:eastAsia="Calibri" w:cstheme="minorHAnsi"/>
              </w:rPr>
            </w:pPr>
            <w:r w:rsidRPr="00EE0340">
              <w:rPr>
                <w:rFonts w:eastAsia="Calibri" w:cstheme="minorHAnsi"/>
              </w:rPr>
              <w:t>1-200</w:t>
            </w:r>
          </w:p>
        </w:tc>
        <w:tc>
          <w:tcPr>
            <w:tcW w:w="1601" w:type="dxa"/>
            <w:noWrap/>
            <w:hideMark/>
          </w:tcPr>
          <w:p w14:paraId="2AE78060" w14:textId="77777777" w:rsidR="00203F23" w:rsidRPr="00EE0340" w:rsidRDefault="00203F23" w:rsidP="0049254B">
            <w:pPr>
              <w:spacing w:line="480" w:lineRule="auto"/>
              <w:jc w:val="both"/>
              <w:rPr>
                <w:rFonts w:eastAsia="Calibri" w:cstheme="minorHAnsi"/>
              </w:rPr>
            </w:pPr>
            <w:r w:rsidRPr="00EE0340">
              <w:rPr>
                <w:rFonts w:eastAsia="Calibri" w:cstheme="minorHAnsi"/>
              </w:rPr>
              <w:t>Cell Signaling Technology</w:t>
            </w:r>
          </w:p>
        </w:tc>
        <w:tc>
          <w:tcPr>
            <w:tcW w:w="1169" w:type="dxa"/>
            <w:noWrap/>
            <w:hideMark/>
          </w:tcPr>
          <w:p w14:paraId="0E34A7D0" w14:textId="77777777" w:rsidR="00203F23" w:rsidRPr="00EE0340" w:rsidRDefault="00203F23" w:rsidP="0049254B">
            <w:pPr>
              <w:spacing w:line="480" w:lineRule="auto"/>
              <w:jc w:val="both"/>
              <w:rPr>
                <w:rFonts w:eastAsia="Calibri" w:cstheme="minorHAnsi"/>
              </w:rPr>
            </w:pPr>
            <w:r w:rsidRPr="00EE0340">
              <w:rPr>
                <w:rFonts w:eastAsia="Calibri" w:cstheme="minorHAnsi"/>
              </w:rPr>
              <w:t>9187S</w:t>
            </w:r>
          </w:p>
        </w:tc>
      </w:tr>
      <w:tr w:rsidR="00203F23" w:rsidRPr="00EE0340" w14:paraId="13D069EC" w14:textId="77777777" w:rsidTr="00E42B3A">
        <w:trPr>
          <w:trHeight w:val="300"/>
        </w:trPr>
        <w:tc>
          <w:tcPr>
            <w:tcW w:w="2252" w:type="dxa"/>
            <w:noWrap/>
            <w:hideMark/>
          </w:tcPr>
          <w:p w14:paraId="1D5B6C11" w14:textId="77777777" w:rsidR="00203F23" w:rsidRPr="00EE0340" w:rsidRDefault="00203F23" w:rsidP="0049254B">
            <w:pPr>
              <w:spacing w:line="480" w:lineRule="auto"/>
              <w:jc w:val="both"/>
              <w:rPr>
                <w:rFonts w:eastAsia="Calibri" w:cstheme="minorHAnsi"/>
              </w:rPr>
            </w:pPr>
            <w:r w:rsidRPr="00EE0340">
              <w:rPr>
                <w:rFonts w:eastAsia="Calibri" w:cstheme="minorHAnsi"/>
              </w:rPr>
              <w:t>Survivin</w:t>
            </w:r>
          </w:p>
        </w:tc>
        <w:tc>
          <w:tcPr>
            <w:tcW w:w="1439" w:type="dxa"/>
            <w:noWrap/>
            <w:hideMark/>
          </w:tcPr>
          <w:p w14:paraId="574D7A9A" w14:textId="77777777" w:rsidR="00203F23" w:rsidRPr="00EE0340" w:rsidRDefault="00203F23" w:rsidP="0049254B">
            <w:pPr>
              <w:spacing w:line="480" w:lineRule="auto"/>
              <w:jc w:val="both"/>
              <w:rPr>
                <w:rFonts w:eastAsia="Calibri" w:cstheme="minorHAnsi"/>
              </w:rPr>
            </w:pPr>
            <w:r w:rsidRPr="00EE0340">
              <w:rPr>
                <w:rFonts w:eastAsia="Calibri" w:cstheme="minorHAnsi"/>
              </w:rPr>
              <w:t>71G4B7</w:t>
            </w:r>
          </w:p>
        </w:tc>
        <w:tc>
          <w:tcPr>
            <w:tcW w:w="1342" w:type="dxa"/>
            <w:noWrap/>
            <w:hideMark/>
          </w:tcPr>
          <w:p w14:paraId="52654926" w14:textId="77777777" w:rsidR="00203F23" w:rsidRPr="00EE0340" w:rsidRDefault="00203F23" w:rsidP="0049254B">
            <w:pPr>
              <w:spacing w:line="480" w:lineRule="auto"/>
              <w:jc w:val="both"/>
              <w:rPr>
                <w:rFonts w:eastAsia="Calibri" w:cstheme="minorHAnsi"/>
              </w:rPr>
            </w:pPr>
            <w:r w:rsidRPr="00EE0340">
              <w:rPr>
                <w:rFonts w:eastAsia="Calibri" w:cstheme="minorHAnsi"/>
              </w:rPr>
              <w:t>AF488</w:t>
            </w:r>
          </w:p>
        </w:tc>
        <w:tc>
          <w:tcPr>
            <w:tcW w:w="1213" w:type="dxa"/>
            <w:noWrap/>
            <w:hideMark/>
          </w:tcPr>
          <w:p w14:paraId="12B42387" w14:textId="77777777" w:rsidR="00203F23" w:rsidRPr="00EE0340" w:rsidRDefault="00203F23" w:rsidP="0049254B">
            <w:pPr>
              <w:spacing w:line="480" w:lineRule="auto"/>
              <w:jc w:val="both"/>
              <w:rPr>
                <w:rFonts w:eastAsia="Calibri" w:cstheme="minorHAnsi"/>
              </w:rPr>
            </w:pPr>
            <w:r w:rsidRPr="00EE0340">
              <w:rPr>
                <w:rFonts w:eastAsia="Calibri" w:cstheme="minorHAnsi"/>
              </w:rPr>
              <w:t>1-200</w:t>
            </w:r>
          </w:p>
        </w:tc>
        <w:tc>
          <w:tcPr>
            <w:tcW w:w="1601" w:type="dxa"/>
            <w:noWrap/>
            <w:hideMark/>
          </w:tcPr>
          <w:p w14:paraId="23C3BB06" w14:textId="77777777" w:rsidR="00203F23" w:rsidRPr="00EE0340" w:rsidRDefault="00203F23" w:rsidP="0049254B">
            <w:pPr>
              <w:spacing w:line="480" w:lineRule="auto"/>
              <w:jc w:val="both"/>
              <w:rPr>
                <w:rFonts w:eastAsia="Calibri" w:cstheme="minorHAnsi"/>
              </w:rPr>
            </w:pPr>
            <w:r w:rsidRPr="00EE0340">
              <w:rPr>
                <w:rFonts w:eastAsia="Calibri" w:cstheme="minorHAnsi"/>
              </w:rPr>
              <w:t>Cell Signaling Technology</w:t>
            </w:r>
          </w:p>
        </w:tc>
        <w:tc>
          <w:tcPr>
            <w:tcW w:w="1169" w:type="dxa"/>
            <w:noWrap/>
            <w:hideMark/>
          </w:tcPr>
          <w:p w14:paraId="26EAABE0" w14:textId="77777777" w:rsidR="00203F23" w:rsidRPr="00EE0340" w:rsidRDefault="00203F23" w:rsidP="0049254B">
            <w:pPr>
              <w:spacing w:line="480" w:lineRule="auto"/>
              <w:jc w:val="both"/>
              <w:rPr>
                <w:rFonts w:eastAsia="Calibri" w:cstheme="minorHAnsi"/>
              </w:rPr>
            </w:pPr>
            <w:r w:rsidRPr="00EE0340">
              <w:rPr>
                <w:rFonts w:eastAsia="Calibri" w:cstheme="minorHAnsi"/>
              </w:rPr>
              <w:t>2810S</w:t>
            </w:r>
          </w:p>
        </w:tc>
      </w:tr>
      <w:tr w:rsidR="00203F23" w:rsidRPr="00EE0340" w14:paraId="5FCE5B0F" w14:textId="77777777" w:rsidTr="00E42B3A">
        <w:trPr>
          <w:trHeight w:val="300"/>
        </w:trPr>
        <w:tc>
          <w:tcPr>
            <w:tcW w:w="2252" w:type="dxa"/>
            <w:noWrap/>
            <w:hideMark/>
          </w:tcPr>
          <w:p w14:paraId="3D7C4964" w14:textId="77777777" w:rsidR="00203F23" w:rsidRPr="00EE0340" w:rsidRDefault="00203F23" w:rsidP="0049254B">
            <w:pPr>
              <w:spacing w:line="480" w:lineRule="auto"/>
              <w:jc w:val="both"/>
              <w:rPr>
                <w:rFonts w:eastAsia="Calibri" w:cstheme="minorHAnsi"/>
              </w:rPr>
            </w:pPr>
            <w:r w:rsidRPr="00EE0340">
              <w:rPr>
                <w:rFonts w:eastAsia="Calibri" w:cstheme="minorHAnsi"/>
              </w:rPr>
              <w:t>Annexin V</w:t>
            </w:r>
          </w:p>
        </w:tc>
        <w:tc>
          <w:tcPr>
            <w:tcW w:w="1439" w:type="dxa"/>
            <w:noWrap/>
            <w:hideMark/>
          </w:tcPr>
          <w:p w14:paraId="6418662E" w14:textId="77777777" w:rsidR="00203F23" w:rsidRPr="00EE0340" w:rsidRDefault="00203F23" w:rsidP="0049254B">
            <w:pPr>
              <w:spacing w:line="480" w:lineRule="auto"/>
              <w:jc w:val="both"/>
              <w:rPr>
                <w:rFonts w:eastAsia="Calibri" w:cstheme="minorHAnsi"/>
              </w:rPr>
            </w:pPr>
            <w:r w:rsidRPr="00EE0340">
              <w:rPr>
                <w:rFonts w:eastAsia="Calibri" w:cstheme="minorHAnsi"/>
              </w:rPr>
              <w:t> </w:t>
            </w:r>
          </w:p>
        </w:tc>
        <w:tc>
          <w:tcPr>
            <w:tcW w:w="1342" w:type="dxa"/>
            <w:noWrap/>
            <w:hideMark/>
          </w:tcPr>
          <w:p w14:paraId="1714DF49" w14:textId="77777777" w:rsidR="00203F23" w:rsidRPr="00EE0340" w:rsidRDefault="00203F23" w:rsidP="0049254B">
            <w:pPr>
              <w:spacing w:line="480" w:lineRule="auto"/>
              <w:jc w:val="both"/>
              <w:rPr>
                <w:rFonts w:eastAsia="Calibri" w:cstheme="minorHAnsi"/>
              </w:rPr>
            </w:pPr>
            <w:r w:rsidRPr="00EE0340">
              <w:rPr>
                <w:rFonts w:eastAsia="Calibri" w:cstheme="minorHAnsi"/>
              </w:rPr>
              <w:t>AF488</w:t>
            </w:r>
          </w:p>
        </w:tc>
        <w:tc>
          <w:tcPr>
            <w:tcW w:w="1213" w:type="dxa"/>
            <w:noWrap/>
            <w:hideMark/>
          </w:tcPr>
          <w:p w14:paraId="16C6AE91" w14:textId="77777777" w:rsidR="00203F23" w:rsidRPr="00EE0340" w:rsidRDefault="00203F23" w:rsidP="0049254B">
            <w:pPr>
              <w:spacing w:line="480" w:lineRule="auto"/>
              <w:jc w:val="both"/>
              <w:rPr>
                <w:rFonts w:eastAsia="Calibri" w:cstheme="minorHAnsi"/>
              </w:rPr>
            </w:pPr>
            <w:r w:rsidRPr="00EE0340">
              <w:rPr>
                <w:rFonts w:eastAsia="Calibri" w:cstheme="minorHAnsi"/>
              </w:rPr>
              <w:t>1-200</w:t>
            </w:r>
          </w:p>
        </w:tc>
        <w:tc>
          <w:tcPr>
            <w:tcW w:w="1601" w:type="dxa"/>
            <w:noWrap/>
            <w:hideMark/>
          </w:tcPr>
          <w:p w14:paraId="5F23A93F" w14:textId="77777777" w:rsidR="00203F23" w:rsidRPr="00EE0340" w:rsidRDefault="00203F23" w:rsidP="0049254B">
            <w:pPr>
              <w:spacing w:line="480" w:lineRule="auto"/>
              <w:jc w:val="both"/>
              <w:rPr>
                <w:rFonts w:eastAsia="Calibri" w:cstheme="minorHAnsi"/>
              </w:rPr>
            </w:pPr>
            <w:r w:rsidRPr="00EE0340">
              <w:rPr>
                <w:rFonts w:eastAsia="Calibri" w:cstheme="minorHAnsi"/>
              </w:rPr>
              <w:t>Invitrogen</w:t>
            </w:r>
          </w:p>
        </w:tc>
        <w:tc>
          <w:tcPr>
            <w:tcW w:w="1169" w:type="dxa"/>
            <w:noWrap/>
            <w:hideMark/>
          </w:tcPr>
          <w:p w14:paraId="7620B50B" w14:textId="77777777" w:rsidR="00203F23" w:rsidRPr="00EE0340" w:rsidRDefault="00203F23" w:rsidP="0049254B">
            <w:pPr>
              <w:spacing w:line="480" w:lineRule="auto"/>
              <w:jc w:val="both"/>
              <w:rPr>
                <w:rFonts w:eastAsia="Calibri" w:cstheme="minorHAnsi"/>
              </w:rPr>
            </w:pPr>
            <w:r w:rsidRPr="00EE0340">
              <w:rPr>
                <w:rFonts w:eastAsia="Calibri" w:cstheme="minorHAnsi"/>
              </w:rPr>
              <w:t>A13201</w:t>
            </w:r>
          </w:p>
        </w:tc>
      </w:tr>
      <w:tr w:rsidR="00203F23" w:rsidRPr="00EE0340" w14:paraId="27639426" w14:textId="77777777" w:rsidTr="00E42B3A">
        <w:trPr>
          <w:trHeight w:val="300"/>
        </w:trPr>
        <w:tc>
          <w:tcPr>
            <w:tcW w:w="2252" w:type="dxa"/>
            <w:noWrap/>
            <w:hideMark/>
          </w:tcPr>
          <w:p w14:paraId="0A88363A" w14:textId="77777777" w:rsidR="00203F23" w:rsidRPr="00EE0340" w:rsidRDefault="00203F23" w:rsidP="0049254B">
            <w:pPr>
              <w:spacing w:line="480" w:lineRule="auto"/>
              <w:jc w:val="both"/>
              <w:rPr>
                <w:rFonts w:eastAsia="Calibri" w:cstheme="minorHAnsi"/>
              </w:rPr>
            </w:pPr>
            <w:r w:rsidRPr="00EE0340">
              <w:rPr>
                <w:rFonts w:eastAsia="Calibri" w:cstheme="minorHAnsi"/>
              </w:rPr>
              <w:t> </w:t>
            </w:r>
          </w:p>
        </w:tc>
        <w:tc>
          <w:tcPr>
            <w:tcW w:w="1439" w:type="dxa"/>
            <w:noWrap/>
            <w:hideMark/>
          </w:tcPr>
          <w:p w14:paraId="26951880" w14:textId="77777777" w:rsidR="00203F23" w:rsidRPr="00EE0340" w:rsidRDefault="00203F23" w:rsidP="0049254B">
            <w:pPr>
              <w:spacing w:line="480" w:lineRule="auto"/>
              <w:jc w:val="both"/>
              <w:rPr>
                <w:rFonts w:eastAsia="Calibri" w:cstheme="minorHAnsi"/>
              </w:rPr>
            </w:pPr>
            <w:r w:rsidRPr="00EE0340">
              <w:rPr>
                <w:rFonts w:eastAsia="Calibri" w:cstheme="minorHAnsi"/>
              </w:rPr>
              <w:t> </w:t>
            </w:r>
          </w:p>
        </w:tc>
        <w:tc>
          <w:tcPr>
            <w:tcW w:w="1342" w:type="dxa"/>
            <w:noWrap/>
            <w:hideMark/>
          </w:tcPr>
          <w:p w14:paraId="40D9C0A4" w14:textId="77777777" w:rsidR="00203F23" w:rsidRPr="00EE0340" w:rsidRDefault="00203F23" w:rsidP="0049254B">
            <w:pPr>
              <w:spacing w:line="480" w:lineRule="auto"/>
              <w:jc w:val="both"/>
              <w:rPr>
                <w:rFonts w:eastAsia="Calibri" w:cstheme="minorHAnsi"/>
              </w:rPr>
            </w:pPr>
            <w:r w:rsidRPr="00EE0340">
              <w:rPr>
                <w:rFonts w:eastAsia="Calibri" w:cstheme="minorHAnsi"/>
              </w:rPr>
              <w:t>APC</w:t>
            </w:r>
          </w:p>
        </w:tc>
        <w:tc>
          <w:tcPr>
            <w:tcW w:w="1213" w:type="dxa"/>
            <w:noWrap/>
            <w:hideMark/>
          </w:tcPr>
          <w:p w14:paraId="7CC01AC2" w14:textId="77777777" w:rsidR="00203F23" w:rsidRPr="00EE0340" w:rsidRDefault="00203F23" w:rsidP="0049254B">
            <w:pPr>
              <w:spacing w:line="480" w:lineRule="auto"/>
              <w:jc w:val="both"/>
              <w:rPr>
                <w:rFonts w:eastAsia="Calibri" w:cstheme="minorHAnsi"/>
              </w:rPr>
            </w:pPr>
            <w:r w:rsidRPr="00EE0340">
              <w:rPr>
                <w:rFonts w:eastAsia="Calibri" w:cstheme="minorHAnsi"/>
              </w:rPr>
              <w:t>1-200</w:t>
            </w:r>
          </w:p>
        </w:tc>
        <w:tc>
          <w:tcPr>
            <w:tcW w:w="1601" w:type="dxa"/>
            <w:noWrap/>
            <w:hideMark/>
          </w:tcPr>
          <w:p w14:paraId="70CF73BE" w14:textId="77777777" w:rsidR="00203F23" w:rsidRPr="00EE0340" w:rsidRDefault="00203F23" w:rsidP="0049254B">
            <w:pPr>
              <w:spacing w:line="480" w:lineRule="auto"/>
              <w:jc w:val="both"/>
              <w:rPr>
                <w:rFonts w:eastAsia="Calibri" w:cstheme="minorHAnsi"/>
              </w:rPr>
            </w:pPr>
            <w:r w:rsidRPr="00EE0340">
              <w:rPr>
                <w:rFonts w:eastAsia="Calibri" w:cstheme="minorHAnsi"/>
              </w:rPr>
              <w:t>Invitrogen</w:t>
            </w:r>
          </w:p>
        </w:tc>
        <w:tc>
          <w:tcPr>
            <w:tcW w:w="1169" w:type="dxa"/>
            <w:noWrap/>
            <w:hideMark/>
          </w:tcPr>
          <w:p w14:paraId="6198362F" w14:textId="77777777" w:rsidR="00203F23" w:rsidRPr="00EE0340" w:rsidRDefault="00203F23" w:rsidP="0049254B">
            <w:pPr>
              <w:spacing w:line="480" w:lineRule="auto"/>
              <w:jc w:val="both"/>
              <w:rPr>
                <w:rFonts w:eastAsia="Calibri" w:cstheme="minorHAnsi"/>
              </w:rPr>
            </w:pPr>
            <w:r w:rsidRPr="00EE0340">
              <w:rPr>
                <w:rFonts w:eastAsia="Calibri" w:cstheme="minorHAnsi"/>
              </w:rPr>
              <w:t>A35110</w:t>
            </w:r>
          </w:p>
        </w:tc>
      </w:tr>
      <w:tr w:rsidR="00203F23" w:rsidRPr="00EE0340" w14:paraId="29957CEB" w14:textId="77777777" w:rsidTr="00E42B3A">
        <w:trPr>
          <w:trHeight w:val="300"/>
        </w:trPr>
        <w:tc>
          <w:tcPr>
            <w:tcW w:w="2252" w:type="dxa"/>
            <w:noWrap/>
            <w:hideMark/>
          </w:tcPr>
          <w:p w14:paraId="32373EF0" w14:textId="77777777" w:rsidR="00203F23" w:rsidRPr="00EE0340" w:rsidRDefault="00203F23" w:rsidP="0049254B">
            <w:pPr>
              <w:spacing w:line="480" w:lineRule="auto"/>
              <w:jc w:val="both"/>
              <w:rPr>
                <w:rFonts w:eastAsia="Calibri" w:cstheme="minorHAnsi"/>
              </w:rPr>
            </w:pPr>
            <w:r w:rsidRPr="00EE0340">
              <w:rPr>
                <w:rFonts w:eastAsia="Calibri" w:cstheme="minorHAnsi"/>
              </w:rPr>
              <w:lastRenderedPageBreak/>
              <w:t>Sytox Blue</w:t>
            </w:r>
          </w:p>
        </w:tc>
        <w:tc>
          <w:tcPr>
            <w:tcW w:w="1439" w:type="dxa"/>
            <w:noWrap/>
            <w:hideMark/>
          </w:tcPr>
          <w:p w14:paraId="0C763B75" w14:textId="77777777" w:rsidR="00203F23" w:rsidRPr="00EE0340" w:rsidRDefault="00203F23" w:rsidP="0049254B">
            <w:pPr>
              <w:spacing w:line="480" w:lineRule="auto"/>
              <w:jc w:val="both"/>
              <w:rPr>
                <w:rFonts w:eastAsia="Calibri" w:cstheme="minorHAnsi"/>
              </w:rPr>
            </w:pPr>
            <w:r w:rsidRPr="00EE0340">
              <w:rPr>
                <w:rFonts w:eastAsia="Calibri" w:cstheme="minorHAnsi"/>
              </w:rPr>
              <w:t> </w:t>
            </w:r>
          </w:p>
        </w:tc>
        <w:tc>
          <w:tcPr>
            <w:tcW w:w="1342" w:type="dxa"/>
            <w:noWrap/>
            <w:hideMark/>
          </w:tcPr>
          <w:p w14:paraId="2ED3A8CF" w14:textId="77777777" w:rsidR="00203F23" w:rsidRPr="00EE0340" w:rsidRDefault="00203F23" w:rsidP="0049254B">
            <w:pPr>
              <w:spacing w:line="480" w:lineRule="auto"/>
              <w:jc w:val="both"/>
              <w:rPr>
                <w:rFonts w:eastAsia="Calibri" w:cstheme="minorHAnsi"/>
              </w:rPr>
            </w:pPr>
            <w:r w:rsidRPr="00EE0340">
              <w:rPr>
                <w:rFonts w:eastAsia="Calibri" w:cstheme="minorHAnsi"/>
              </w:rPr>
              <w:t> </w:t>
            </w:r>
          </w:p>
        </w:tc>
        <w:tc>
          <w:tcPr>
            <w:tcW w:w="1213" w:type="dxa"/>
            <w:noWrap/>
            <w:hideMark/>
          </w:tcPr>
          <w:p w14:paraId="08FFD49C" w14:textId="77777777" w:rsidR="00203F23" w:rsidRPr="00EE0340" w:rsidRDefault="00203F23" w:rsidP="0049254B">
            <w:pPr>
              <w:spacing w:line="480" w:lineRule="auto"/>
              <w:jc w:val="both"/>
              <w:rPr>
                <w:rFonts w:eastAsia="Calibri" w:cstheme="minorHAnsi"/>
              </w:rPr>
            </w:pPr>
            <w:r w:rsidRPr="00EE0340">
              <w:rPr>
                <w:rFonts w:eastAsia="Calibri" w:cstheme="minorHAnsi"/>
              </w:rPr>
              <w:t>1-1000</w:t>
            </w:r>
          </w:p>
        </w:tc>
        <w:tc>
          <w:tcPr>
            <w:tcW w:w="1601" w:type="dxa"/>
            <w:noWrap/>
            <w:hideMark/>
          </w:tcPr>
          <w:p w14:paraId="598C1C1E" w14:textId="77777777" w:rsidR="00203F23" w:rsidRPr="00EE0340" w:rsidRDefault="00203F23" w:rsidP="0049254B">
            <w:pPr>
              <w:spacing w:line="480" w:lineRule="auto"/>
              <w:jc w:val="both"/>
              <w:rPr>
                <w:rFonts w:eastAsia="Calibri" w:cstheme="minorHAnsi"/>
              </w:rPr>
            </w:pPr>
            <w:r w:rsidRPr="00EE0340">
              <w:rPr>
                <w:rFonts w:eastAsia="Calibri" w:cstheme="minorHAnsi"/>
              </w:rPr>
              <w:t>Invitrogen</w:t>
            </w:r>
          </w:p>
        </w:tc>
        <w:tc>
          <w:tcPr>
            <w:tcW w:w="1169" w:type="dxa"/>
            <w:noWrap/>
            <w:hideMark/>
          </w:tcPr>
          <w:p w14:paraId="6F1F949F" w14:textId="77777777" w:rsidR="00203F23" w:rsidRPr="00EE0340" w:rsidRDefault="00203F23" w:rsidP="0049254B">
            <w:pPr>
              <w:spacing w:line="480" w:lineRule="auto"/>
              <w:jc w:val="both"/>
              <w:rPr>
                <w:rFonts w:eastAsia="Calibri" w:cstheme="minorHAnsi"/>
              </w:rPr>
            </w:pPr>
            <w:r w:rsidRPr="00EE0340">
              <w:rPr>
                <w:rFonts w:eastAsia="Calibri" w:cstheme="minorHAnsi"/>
              </w:rPr>
              <w:t>S34857</w:t>
            </w:r>
          </w:p>
        </w:tc>
      </w:tr>
      <w:tr w:rsidR="00203F23" w:rsidRPr="00EE0340" w14:paraId="14A984BD" w14:textId="77777777" w:rsidTr="00E42B3A">
        <w:trPr>
          <w:trHeight w:val="300"/>
        </w:trPr>
        <w:tc>
          <w:tcPr>
            <w:tcW w:w="2252" w:type="dxa"/>
            <w:noWrap/>
            <w:hideMark/>
          </w:tcPr>
          <w:p w14:paraId="66E5FF3D" w14:textId="77777777" w:rsidR="00203F23" w:rsidRPr="00EE0340" w:rsidRDefault="00203F23" w:rsidP="0049254B">
            <w:pPr>
              <w:spacing w:line="480" w:lineRule="auto"/>
              <w:jc w:val="both"/>
              <w:rPr>
                <w:rFonts w:eastAsia="Calibri" w:cstheme="minorHAnsi"/>
              </w:rPr>
            </w:pPr>
            <w:r w:rsidRPr="00EE0340">
              <w:rPr>
                <w:rFonts w:eastAsia="Calibri" w:cstheme="minorHAnsi"/>
              </w:rPr>
              <w:t xml:space="preserve">Zombie </w:t>
            </w:r>
            <w:proofErr w:type="spellStart"/>
            <w:r w:rsidRPr="00EE0340">
              <w:rPr>
                <w:rFonts w:eastAsia="Calibri" w:cstheme="minorHAnsi"/>
              </w:rPr>
              <w:t>NiR</w:t>
            </w:r>
            <w:proofErr w:type="spellEnd"/>
          </w:p>
        </w:tc>
        <w:tc>
          <w:tcPr>
            <w:tcW w:w="1439" w:type="dxa"/>
            <w:noWrap/>
            <w:hideMark/>
          </w:tcPr>
          <w:p w14:paraId="207DA606" w14:textId="77777777" w:rsidR="00203F23" w:rsidRPr="00EE0340" w:rsidRDefault="00203F23" w:rsidP="0049254B">
            <w:pPr>
              <w:spacing w:line="480" w:lineRule="auto"/>
              <w:jc w:val="both"/>
              <w:rPr>
                <w:rFonts w:eastAsia="Calibri" w:cstheme="minorHAnsi"/>
              </w:rPr>
            </w:pPr>
            <w:r w:rsidRPr="00EE0340">
              <w:rPr>
                <w:rFonts w:eastAsia="Calibri" w:cstheme="minorHAnsi"/>
              </w:rPr>
              <w:t> </w:t>
            </w:r>
          </w:p>
        </w:tc>
        <w:tc>
          <w:tcPr>
            <w:tcW w:w="1342" w:type="dxa"/>
            <w:noWrap/>
            <w:hideMark/>
          </w:tcPr>
          <w:p w14:paraId="0F56E603" w14:textId="77777777" w:rsidR="00203F23" w:rsidRPr="00EE0340" w:rsidRDefault="00203F23" w:rsidP="0049254B">
            <w:pPr>
              <w:spacing w:line="480" w:lineRule="auto"/>
              <w:jc w:val="both"/>
              <w:rPr>
                <w:rFonts w:eastAsia="Calibri" w:cstheme="minorHAnsi"/>
              </w:rPr>
            </w:pPr>
            <w:r w:rsidRPr="00EE0340">
              <w:rPr>
                <w:rFonts w:eastAsia="Calibri" w:cstheme="minorHAnsi"/>
              </w:rPr>
              <w:t> </w:t>
            </w:r>
          </w:p>
        </w:tc>
        <w:tc>
          <w:tcPr>
            <w:tcW w:w="1213" w:type="dxa"/>
            <w:noWrap/>
            <w:hideMark/>
          </w:tcPr>
          <w:p w14:paraId="13C2AC8D" w14:textId="77777777" w:rsidR="00203F23" w:rsidRPr="00EE0340" w:rsidRDefault="00203F23" w:rsidP="0049254B">
            <w:pPr>
              <w:spacing w:line="480" w:lineRule="auto"/>
              <w:jc w:val="both"/>
              <w:rPr>
                <w:rFonts w:eastAsia="Calibri" w:cstheme="minorHAnsi"/>
              </w:rPr>
            </w:pPr>
            <w:r w:rsidRPr="00EE0340">
              <w:rPr>
                <w:rFonts w:eastAsia="Calibri" w:cstheme="minorHAnsi"/>
              </w:rPr>
              <w:t>1-1000</w:t>
            </w:r>
          </w:p>
        </w:tc>
        <w:tc>
          <w:tcPr>
            <w:tcW w:w="1601" w:type="dxa"/>
            <w:noWrap/>
            <w:hideMark/>
          </w:tcPr>
          <w:p w14:paraId="2E625E30" w14:textId="77777777" w:rsidR="00203F23" w:rsidRPr="00EE0340" w:rsidRDefault="00203F23" w:rsidP="0049254B">
            <w:pPr>
              <w:spacing w:line="480" w:lineRule="auto"/>
              <w:jc w:val="both"/>
              <w:rPr>
                <w:rFonts w:eastAsia="Calibri" w:cstheme="minorHAnsi"/>
              </w:rPr>
            </w:pPr>
            <w:r w:rsidRPr="00EE0340">
              <w:rPr>
                <w:rFonts w:eastAsia="Calibri" w:cstheme="minorHAnsi"/>
              </w:rPr>
              <w:t>Biolegend</w:t>
            </w:r>
          </w:p>
        </w:tc>
        <w:tc>
          <w:tcPr>
            <w:tcW w:w="1169" w:type="dxa"/>
            <w:noWrap/>
            <w:hideMark/>
          </w:tcPr>
          <w:p w14:paraId="0EC41D6D" w14:textId="77777777" w:rsidR="00203F23" w:rsidRPr="00EE0340" w:rsidRDefault="00203F23" w:rsidP="0049254B">
            <w:pPr>
              <w:spacing w:line="480" w:lineRule="auto"/>
              <w:jc w:val="both"/>
              <w:rPr>
                <w:rFonts w:eastAsia="Calibri" w:cstheme="minorHAnsi"/>
              </w:rPr>
            </w:pPr>
            <w:r w:rsidRPr="00EE0340">
              <w:rPr>
                <w:rFonts w:eastAsia="Calibri" w:cstheme="minorHAnsi"/>
              </w:rPr>
              <w:t>423105</w:t>
            </w:r>
          </w:p>
        </w:tc>
      </w:tr>
      <w:tr w:rsidR="00203F23" w:rsidRPr="00EE0340" w14:paraId="4A1F6A0F" w14:textId="77777777" w:rsidTr="00E42B3A">
        <w:trPr>
          <w:trHeight w:val="300"/>
        </w:trPr>
        <w:tc>
          <w:tcPr>
            <w:tcW w:w="2252" w:type="dxa"/>
            <w:noWrap/>
          </w:tcPr>
          <w:p w14:paraId="46560B98" w14:textId="77777777" w:rsidR="00203F23" w:rsidRPr="00EE0340" w:rsidRDefault="00203F23" w:rsidP="0049254B">
            <w:pPr>
              <w:spacing w:line="480" w:lineRule="auto"/>
              <w:jc w:val="both"/>
              <w:rPr>
                <w:rFonts w:eastAsia="Calibri" w:cstheme="minorHAnsi"/>
              </w:rPr>
            </w:pPr>
            <w:r w:rsidRPr="00EE0340">
              <w:rPr>
                <w:rFonts w:eastAsia="Calibri" w:cstheme="minorHAnsi"/>
              </w:rPr>
              <w:t>TMRE</w:t>
            </w:r>
          </w:p>
        </w:tc>
        <w:tc>
          <w:tcPr>
            <w:tcW w:w="1439" w:type="dxa"/>
            <w:noWrap/>
          </w:tcPr>
          <w:p w14:paraId="6E07A440" w14:textId="77777777" w:rsidR="00203F23" w:rsidRPr="00EE0340" w:rsidRDefault="00203F23" w:rsidP="0049254B">
            <w:pPr>
              <w:spacing w:line="480" w:lineRule="auto"/>
              <w:jc w:val="both"/>
              <w:rPr>
                <w:rFonts w:eastAsia="Calibri" w:cstheme="minorHAnsi"/>
              </w:rPr>
            </w:pPr>
          </w:p>
        </w:tc>
        <w:tc>
          <w:tcPr>
            <w:tcW w:w="1342" w:type="dxa"/>
            <w:noWrap/>
          </w:tcPr>
          <w:p w14:paraId="363529E1" w14:textId="77777777" w:rsidR="00203F23" w:rsidRPr="00EE0340" w:rsidRDefault="00203F23" w:rsidP="0049254B">
            <w:pPr>
              <w:spacing w:line="480" w:lineRule="auto"/>
              <w:jc w:val="both"/>
              <w:rPr>
                <w:rFonts w:eastAsia="Calibri" w:cstheme="minorHAnsi"/>
              </w:rPr>
            </w:pPr>
          </w:p>
        </w:tc>
        <w:tc>
          <w:tcPr>
            <w:tcW w:w="1213" w:type="dxa"/>
            <w:noWrap/>
          </w:tcPr>
          <w:p w14:paraId="309475AE" w14:textId="77777777" w:rsidR="00203F23" w:rsidRPr="00EE0340" w:rsidRDefault="00203F23" w:rsidP="0049254B">
            <w:pPr>
              <w:spacing w:line="480" w:lineRule="auto"/>
              <w:jc w:val="both"/>
              <w:rPr>
                <w:rFonts w:eastAsia="Calibri" w:cstheme="minorHAnsi"/>
              </w:rPr>
            </w:pPr>
          </w:p>
        </w:tc>
        <w:tc>
          <w:tcPr>
            <w:tcW w:w="1601" w:type="dxa"/>
            <w:noWrap/>
          </w:tcPr>
          <w:p w14:paraId="4A735EFD" w14:textId="77777777" w:rsidR="00203F23" w:rsidRPr="00EE0340" w:rsidRDefault="00203F23" w:rsidP="0049254B">
            <w:pPr>
              <w:spacing w:line="480" w:lineRule="auto"/>
              <w:jc w:val="both"/>
              <w:rPr>
                <w:rFonts w:eastAsia="Calibri" w:cstheme="minorHAnsi"/>
              </w:rPr>
            </w:pPr>
            <w:r w:rsidRPr="00EE0340">
              <w:rPr>
                <w:rFonts w:eastAsia="Calibri" w:cstheme="minorHAnsi"/>
              </w:rPr>
              <w:t>Abcam</w:t>
            </w:r>
          </w:p>
        </w:tc>
        <w:tc>
          <w:tcPr>
            <w:tcW w:w="1169" w:type="dxa"/>
            <w:noWrap/>
          </w:tcPr>
          <w:p w14:paraId="470FF464" w14:textId="77777777" w:rsidR="00203F23" w:rsidRPr="00EE0340" w:rsidRDefault="00203F23" w:rsidP="0049254B">
            <w:pPr>
              <w:spacing w:line="480" w:lineRule="auto"/>
              <w:jc w:val="both"/>
              <w:rPr>
                <w:rFonts w:eastAsia="Calibri" w:cstheme="minorHAnsi"/>
              </w:rPr>
            </w:pPr>
            <w:r w:rsidRPr="00EE0340">
              <w:rPr>
                <w:rFonts w:eastAsia="Calibri" w:cstheme="minorHAnsi"/>
              </w:rPr>
              <w:t>Ab113852</w:t>
            </w:r>
          </w:p>
        </w:tc>
      </w:tr>
      <w:tr w:rsidR="00203F23" w:rsidRPr="00EE0340" w14:paraId="138E3D78" w14:textId="77777777" w:rsidTr="00E42B3A">
        <w:trPr>
          <w:trHeight w:val="300"/>
        </w:trPr>
        <w:tc>
          <w:tcPr>
            <w:tcW w:w="2252" w:type="dxa"/>
            <w:noWrap/>
          </w:tcPr>
          <w:p w14:paraId="32349119" w14:textId="77777777" w:rsidR="00203F23" w:rsidRPr="00EE0340" w:rsidRDefault="00203F23" w:rsidP="0049254B">
            <w:pPr>
              <w:spacing w:line="480" w:lineRule="auto"/>
              <w:jc w:val="both"/>
              <w:rPr>
                <w:rFonts w:eastAsia="Calibri" w:cstheme="minorHAnsi"/>
              </w:rPr>
            </w:pPr>
            <w:r w:rsidRPr="00EE0340">
              <w:rPr>
                <w:rFonts w:eastAsia="Calibri" w:cstheme="minorHAnsi"/>
              </w:rPr>
              <w:t>MitoTracker Green FM</w:t>
            </w:r>
          </w:p>
        </w:tc>
        <w:tc>
          <w:tcPr>
            <w:tcW w:w="1439" w:type="dxa"/>
            <w:noWrap/>
          </w:tcPr>
          <w:p w14:paraId="25AF4925" w14:textId="77777777" w:rsidR="00203F23" w:rsidRPr="00EE0340" w:rsidRDefault="00203F23" w:rsidP="0049254B">
            <w:pPr>
              <w:spacing w:line="480" w:lineRule="auto"/>
              <w:jc w:val="both"/>
              <w:rPr>
                <w:rFonts w:eastAsia="Calibri" w:cstheme="minorHAnsi"/>
              </w:rPr>
            </w:pPr>
          </w:p>
        </w:tc>
        <w:tc>
          <w:tcPr>
            <w:tcW w:w="1342" w:type="dxa"/>
            <w:noWrap/>
          </w:tcPr>
          <w:p w14:paraId="5095DAD8" w14:textId="77777777" w:rsidR="00203F23" w:rsidRPr="00EE0340" w:rsidRDefault="00203F23" w:rsidP="0049254B">
            <w:pPr>
              <w:spacing w:line="480" w:lineRule="auto"/>
              <w:jc w:val="both"/>
              <w:rPr>
                <w:rFonts w:eastAsia="Calibri" w:cstheme="minorHAnsi"/>
              </w:rPr>
            </w:pPr>
          </w:p>
        </w:tc>
        <w:tc>
          <w:tcPr>
            <w:tcW w:w="1213" w:type="dxa"/>
            <w:noWrap/>
          </w:tcPr>
          <w:p w14:paraId="1FF97879" w14:textId="77777777" w:rsidR="00203F23" w:rsidRPr="00EE0340" w:rsidRDefault="00203F23" w:rsidP="0049254B">
            <w:pPr>
              <w:spacing w:line="480" w:lineRule="auto"/>
              <w:jc w:val="both"/>
              <w:rPr>
                <w:rFonts w:eastAsia="Calibri" w:cstheme="minorHAnsi"/>
              </w:rPr>
            </w:pPr>
          </w:p>
        </w:tc>
        <w:tc>
          <w:tcPr>
            <w:tcW w:w="1601" w:type="dxa"/>
            <w:noWrap/>
          </w:tcPr>
          <w:p w14:paraId="408F71EE" w14:textId="77777777" w:rsidR="00203F23" w:rsidRPr="00EE0340" w:rsidRDefault="00203F23" w:rsidP="0049254B">
            <w:pPr>
              <w:spacing w:line="480" w:lineRule="auto"/>
              <w:jc w:val="both"/>
              <w:rPr>
                <w:rFonts w:eastAsia="Calibri" w:cstheme="minorHAnsi"/>
              </w:rPr>
            </w:pPr>
            <w:r w:rsidRPr="00EE0340">
              <w:rPr>
                <w:rFonts w:eastAsia="Calibri" w:cstheme="minorHAnsi"/>
              </w:rPr>
              <w:t>Cell Signaling Technology</w:t>
            </w:r>
          </w:p>
        </w:tc>
        <w:tc>
          <w:tcPr>
            <w:tcW w:w="1169" w:type="dxa"/>
            <w:noWrap/>
          </w:tcPr>
          <w:p w14:paraId="5A12853C" w14:textId="77777777" w:rsidR="00203F23" w:rsidRPr="00EE0340" w:rsidRDefault="00203F23" w:rsidP="0049254B">
            <w:pPr>
              <w:spacing w:line="480" w:lineRule="auto"/>
              <w:jc w:val="both"/>
              <w:rPr>
                <w:rFonts w:eastAsia="Calibri" w:cstheme="minorHAnsi"/>
              </w:rPr>
            </w:pPr>
            <w:r w:rsidRPr="00EE0340">
              <w:rPr>
                <w:rFonts w:eastAsia="Calibri" w:cstheme="minorHAnsi"/>
              </w:rPr>
              <w:t>9074</w:t>
            </w:r>
          </w:p>
        </w:tc>
      </w:tr>
      <w:tr w:rsidR="00203F23" w:rsidRPr="00EE0340" w14:paraId="30F0024B" w14:textId="77777777" w:rsidTr="00E42B3A">
        <w:trPr>
          <w:trHeight w:val="300"/>
        </w:trPr>
        <w:tc>
          <w:tcPr>
            <w:tcW w:w="2252" w:type="dxa"/>
            <w:noWrap/>
          </w:tcPr>
          <w:p w14:paraId="52D8E2EF" w14:textId="77777777" w:rsidR="00203F23" w:rsidRPr="00EE0340" w:rsidRDefault="00203F23" w:rsidP="0049254B">
            <w:pPr>
              <w:spacing w:line="480" w:lineRule="auto"/>
              <w:jc w:val="both"/>
              <w:rPr>
                <w:rFonts w:eastAsia="Calibri" w:cstheme="minorHAnsi"/>
              </w:rPr>
            </w:pPr>
            <w:r w:rsidRPr="00EE0340">
              <w:rPr>
                <w:rFonts w:eastAsia="Calibri" w:cstheme="minorHAnsi"/>
              </w:rPr>
              <w:t>Stem Cell Factor (SCF)</w:t>
            </w:r>
          </w:p>
        </w:tc>
        <w:tc>
          <w:tcPr>
            <w:tcW w:w="1439" w:type="dxa"/>
            <w:noWrap/>
          </w:tcPr>
          <w:p w14:paraId="6586C975" w14:textId="77777777" w:rsidR="00203F23" w:rsidRPr="00EE0340" w:rsidRDefault="00203F23" w:rsidP="0049254B">
            <w:pPr>
              <w:spacing w:line="480" w:lineRule="auto"/>
              <w:jc w:val="both"/>
              <w:rPr>
                <w:rFonts w:eastAsia="Calibri" w:cstheme="minorHAnsi"/>
              </w:rPr>
            </w:pPr>
          </w:p>
        </w:tc>
        <w:tc>
          <w:tcPr>
            <w:tcW w:w="1342" w:type="dxa"/>
            <w:noWrap/>
          </w:tcPr>
          <w:p w14:paraId="7EEB7726" w14:textId="77777777" w:rsidR="00203F23" w:rsidRPr="00EE0340" w:rsidRDefault="00203F23" w:rsidP="0049254B">
            <w:pPr>
              <w:spacing w:line="480" w:lineRule="auto"/>
              <w:jc w:val="both"/>
              <w:rPr>
                <w:rFonts w:eastAsia="Calibri" w:cstheme="minorHAnsi"/>
              </w:rPr>
            </w:pPr>
          </w:p>
        </w:tc>
        <w:tc>
          <w:tcPr>
            <w:tcW w:w="1213" w:type="dxa"/>
            <w:noWrap/>
          </w:tcPr>
          <w:p w14:paraId="2A46F15B" w14:textId="77777777" w:rsidR="00203F23" w:rsidRPr="00EE0340" w:rsidRDefault="00203F23" w:rsidP="0049254B">
            <w:pPr>
              <w:spacing w:line="480" w:lineRule="auto"/>
              <w:jc w:val="both"/>
              <w:rPr>
                <w:rFonts w:eastAsia="Calibri" w:cstheme="minorHAnsi"/>
              </w:rPr>
            </w:pPr>
          </w:p>
        </w:tc>
        <w:tc>
          <w:tcPr>
            <w:tcW w:w="1601" w:type="dxa"/>
            <w:noWrap/>
          </w:tcPr>
          <w:p w14:paraId="7EA5EFF8" w14:textId="77777777" w:rsidR="00203F23" w:rsidRPr="00EE0340" w:rsidRDefault="00203F23" w:rsidP="0049254B">
            <w:pPr>
              <w:spacing w:line="480" w:lineRule="auto"/>
              <w:jc w:val="both"/>
              <w:rPr>
                <w:rFonts w:eastAsia="Calibri" w:cstheme="minorHAnsi"/>
              </w:rPr>
            </w:pPr>
            <w:r w:rsidRPr="00EE0340">
              <w:rPr>
                <w:rFonts w:eastAsia="Calibri" w:cstheme="minorHAnsi"/>
              </w:rPr>
              <w:t>Peprotech</w:t>
            </w:r>
          </w:p>
        </w:tc>
        <w:tc>
          <w:tcPr>
            <w:tcW w:w="1169" w:type="dxa"/>
            <w:noWrap/>
          </w:tcPr>
          <w:p w14:paraId="3EF3FAF9" w14:textId="77777777" w:rsidR="00203F23" w:rsidRPr="00EE0340" w:rsidRDefault="00203F23" w:rsidP="0049254B">
            <w:pPr>
              <w:spacing w:line="480" w:lineRule="auto"/>
              <w:jc w:val="both"/>
              <w:rPr>
                <w:rFonts w:eastAsia="Calibri" w:cstheme="minorHAnsi"/>
              </w:rPr>
            </w:pPr>
            <w:r w:rsidRPr="00EE0340">
              <w:rPr>
                <w:rFonts w:eastAsia="Calibri" w:cstheme="minorHAnsi"/>
                <w:lang w:val="en-IN"/>
              </w:rPr>
              <w:t> 300-07-100UG</w:t>
            </w:r>
          </w:p>
        </w:tc>
      </w:tr>
      <w:tr w:rsidR="00203F23" w:rsidRPr="00EE0340" w14:paraId="27E58BBD" w14:textId="77777777" w:rsidTr="00E42B3A">
        <w:trPr>
          <w:trHeight w:val="300"/>
        </w:trPr>
        <w:tc>
          <w:tcPr>
            <w:tcW w:w="2252" w:type="dxa"/>
            <w:noWrap/>
          </w:tcPr>
          <w:p w14:paraId="0294B6F0" w14:textId="77777777" w:rsidR="00203F23" w:rsidRPr="00EE0340" w:rsidRDefault="00203F23" w:rsidP="0049254B">
            <w:pPr>
              <w:spacing w:line="480" w:lineRule="auto"/>
              <w:jc w:val="both"/>
              <w:rPr>
                <w:rFonts w:eastAsia="Calibri" w:cstheme="minorHAnsi"/>
              </w:rPr>
            </w:pPr>
            <w:r w:rsidRPr="00EE0340">
              <w:rPr>
                <w:rFonts w:eastAsia="Calibri" w:cstheme="minorHAnsi"/>
              </w:rPr>
              <w:t>FLT3 ligand (FLT3)</w:t>
            </w:r>
          </w:p>
        </w:tc>
        <w:tc>
          <w:tcPr>
            <w:tcW w:w="1439" w:type="dxa"/>
            <w:noWrap/>
          </w:tcPr>
          <w:p w14:paraId="1E3AD7CD" w14:textId="77777777" w:rsidR="00203F23" w:rsidRPr="00EE0340" w:rsidRDefault="00203F23" w:rsidP="0049254B">
            <w:pPr>
              <w:spacing w:line="480" w:lineRule="auto"/>
              <w:jc w:val="both"/>
              <w:rPr>
                <w:rFonts w:eastAsia="Calibri" w:cstheme="minorHAnsi"/>
              </w:rPr>
            </w:pPr>
          </w:p>
        </w:tc>
        <w:tc>
          <w:tcPr>
            <w:tcW w:w="1342" w:type="dxa"/>
            <w:noWrap/>
          </w:tcPr>
          <w:p w14:paraId="5275994F" w14:textId="77777777" w:rsidR="00203F23" w:rsidRPr="00EE0340" w:rsidRDefault="00203F23" w:rsidP="0049254B">
            <w:pPr>
              <w:spacing w:line="480" w:lineRule="auto"/>
              <w:jc w:val="both"/>
              <w:rPr>
                <w:rFonts w:eastAsia="Calibri" w:cstheme="minorHAnsi"/>
              </w:rPr>
            </w:pPr>
          </w:p>
        </w:tc>
        <w:tc>
          <w:tcPr>
            <w:tcW w:w="1213" w:type="dxa"/>
            <w:noWrap/>
          </w:tcPr>
          <w:p w14:paraId="04874145" w14:textId="77777777" w:rsidR="00203F23" w:rsidRPr="00EE0340" w:rsidRDefault="00203F23" w:rsidP="0049254B">
            <w:pPr>
              <w:spacing w:line="480" w:lineRule="auto"/>
              <w:jc w:val="both"/>
              <w:rPr>
                <w:rFonts w:eastAsia="Calibri" w:cstheme="minorHAnsi"/>
              </w:rPr>
            </w:pPr>
          </w:p>
        </w:tc>
        <w:tc>
          <w:tcPr>
            <w:tcW w:w="1601" w:type="dxa"/>
            <w:noWrap/>
          </w:tcPr>
          <w:p w14:paraId="53DFB82D" w14:textId="77777777" w:rsidR="00203F23" w:rsidRPr="00EE0340" w:rsidRDefault="00203F23" w:rsidP="0049254B">
            <w:pPr>
              <w:spacing w:line="480" w:lineRule="auto"/>
              <w:jc w:val="both"/>
              <w:rPr>
                <w:rFonts w:eastAsia="Calibri" w:cstheme="minorHAnsi"/>
              </w:rPr>
            </w:pPr>
            <w:r w:rsidRPr="00EE0340">
              <w:rPr>
                <w:rFonts w:eastAsia="Calibri" w:cstheme="minorHAnsi"/>
              </w:rPr>
              <w:t>Peprotech</w:t>
            </w:r>
          </w:p>
        </w:tc>
        <w:tc>
          <w:tcPr>
            <w:tcW w:w="1169" w:type="dxa"/>
            <w:noWrap/>
          </w:tcPr>
          <w:p w14:paraId="48A97475" w14:textId="77777777" w:rsidR="00203F23" w:rsidRPr="00EE0340" w:rsidRDefault="00203F23" w:rsidP="0049254B">
            <w:pPr>
              <w:spacing w:line="480" w:lineRule="auto"/>
              <w:jc w:val="both"/>
              <w:rPr>
                <w:rFonts w:eastAsia="Calibri" w:cstheme="minorHAnsi"/>
              </w:rPr>
            </w:pPr>
            <w:r w:rsidRPr="00EE0340">
              <w:rPr>
                <w:rFonts w:eastAsia="Calibri" w:cstheme="minorHAnsi"/>
                <w:lang w:val="en-IN"/>
              </w:rPr>
              <w:t>300-19-100UG</w:t>
            </w:r>
          </w:p>
        </w:tc>
      </w:tr>
      <w:tr w:rsidR="00203F23" w:rsidRPr="00EE0340" w14:paraId="54A1FD16" w14:textId="77777777" w:rsidTr="00E42B3A">
        <w:trPr>
          <w:trHeight w:val="300"/>
        </w:trPr>
        <w:tc>
          <w:tcPr>
            <w:tcW w:w="2252" w:type="dxa"/>
            <w:noWrap/>
          </w:tcPr>
          <w:p w14:paraId="2C2EA655" w14:textId="77777777" w:rsidR="00203F23" w:rsidRPr="00EE0340" w:rsidRDefault="00203F23" w:rsidP="0049254B">
            <w:pPr>
              <w:spacing w:line="480" w:lineRule="auto"/>
              <w:jc w:val="both"/>
              <w:rPr>
                <w:rFonts w:eastAsia="Calibri" w:cstheme="minorHAnsi"/>
              </w:rPr>
            </w:pPr>
            <w:r w:rsidRPr="00EE0340">
              <w:rPr>
                <w:rFonts w:eastAsia="Calibri" w:cstheme="minorHAnsi"/>
              </w:rPr>
              <w:t>Thrombopoietin (TPO)</w:t>
            </w:r>
          </w:p>
        </w:tc>
        <w:tc>
          <w:tcPr>
            <w:tcW w:w="1439" w:type="dxa"/>
            <w:noWrap/>
          </w:tcPr>
          <w:p w14:paraId="14AFC819" w14:textId="77777777" w:rsidR="00203F23" w:rsidRPr="00EE0340" w:rsidRDefault="00203F23" w:rsidP="0049254B">
            <w:pPr>
              <w:spacing w:line="480" w:lineRule="auto"/>
              <w:jc w:val="both"/>
              <w:rPr>
                <w:rFonts w:eastAsia="Calibri" w:cstheme="minorHAnsi"/>
              </w:rPr>
            </w:pPr>
          </w:p>
        </w:tc>
        <w:tc>
          <w:tcPr>
            <w:tcW w:w="1342" w:type="dxa"/>
            <w:noWrap/>
          </w:tcPr>
          <w:p w14:paraId="369C29EB" w14:textId="77777777" w:rsidR="00203F23" w:rsidRPr="00EE0340" w:rsidRDefault="00203F23" w:rsidP="0049254B">
            <w:pPr>
              <w:spacing w:line="480" w:lineRule="auto"/>
              <w:jc w:val="both"/>
              <w:rPr>
                <w:rFonts w:eastAsia="Calibri" w:cstheme="minorHAnsi"/>
              </w:rPr>
            </w:pPr>
          </w:p>
        </w:tc>
        <w:tc>
          <w:tcPr>
            <w:tcW w:w="1213" w:type="dxa"/>
            <w:noWrap/>
          </w:tcPr>
          <w:p w14:paraId="2000F71D" w14:textId="77777777" w:rsidR="00203F23" w:rsidRPr="00EE0340" w:rsidRDefault="00203F23" w:rsidP="0049254B">
            <w:pPr>
              <w:spacing w:line="480" w:lineRule="auto"/>
              <w:jc w:val="both"/>
              <w:rPr>
                <w:rFonts w:eastAsia="Calibri" w:cstheme="minorHAnsi"/>
              </w:rPr>
            </w:pPr>
          </w:p>
        </w:tc>
        <w:tc>
          <w:tcPr>
            <w:tcW w:w="1601" w:type="dxa"/>
            <w:noWrap/>
          </w:tcPr>
          <w:p w14:paraId="6014C5BC" w14:textId="77777777" w:rsidR="00203F23" w:rsidRPr="00EE0340" w:rsidRDefault="00203F23" w:rsidP="0049254B">
            <w:pPr>
              <w:spacing w:line="480" w:lineRule="auto"/>
              <w:jc w:val="both"/>
              <w:rPr>
                <w:rFonts w:eastAsia="Calibri" w:cstheme="minorHAnsi"/>
              </w:rPr>
            </w:pPr>
            <w:r w:rsidRPr="00EE0340">
              <w:rPr>
                <w:rFonts w:eastAsia="Calibri" w:cstheme="minorHAnsi"/>
              </w:rPr>
              <w:t>Peprotech</w:t>
            </w:r>
          </w:p>
        </w:tc>
        <w:tc>
          <w:tcPr>
            <w:tcW w:w="1169" w:type="dxa"/>
            <w:noWrap/>
          </w:tcPr>
          <w:p w14:paraId="17F2B1F7" w14:textId="77777777" w:rsidR="00203F23" w:rsidRPr="00EE0340" w:rsidRDefault="00203F23" w:rsidP="0049254B">
            <w:pPr>
              <w:spacing w:line="480" w:lineRule="auto"/>
              <w:jc w:val="both"/>
              <w:rPr>
                <w:rFonts w:eastAsia="Calibri" w:cstheme="minorHAnsi"/>
              </w:rPr>
            </w:pPr>
            <w:r w:rsidRPr="00EE0340">
              <w:rPr>
                <w:rFonts w:eastAsia="Calibri" w:cstheme="minorHAnsi"/>
                <w:lang w:val="en-IN"/>
              </w:rPr>
              <w:t> 300-18-50UG</w:t>
            </w:r>
          </w:p>
        </w:tc>
      </w:tr>
      <w:tr w:rsidR="00203F23" w:rsidRPr="00EE0340" w14:paraId="0735B510" w14:textId="77777777" w:rsidTr="00E42B3A">
        <w:trPr>
          <w:trHeight w:val="300"/>
        </w:trPr>
        <w:tc>
          <w:tcPr>
            <w:tcW w:w="2252" w:type="dxa"/>
            <w:noWrap/>
          </w:tcPr>
          <w:p w14:paraId="65772336" w14:textId="35ED6252" w:rsidR="00203F23" w:rsidRPr="00EE0340" w:rsidRDefault="0037525F" w:rsidP="0049254B">
            <w:pPr>
              <w:spacing w:line="480" w:lineRule="auto"/>
              <w:jc w:val="both"/>
              <w:rPr>
                <w:rFonts w:eastAsia="Calibri" w:cstheme="minorHAnsi"/>
              </w:rPr>
            </w:pPr>
            <w:r w:rsidRPr="00EE0340">
              <w:rPr>
                <w:rFonts w:eastAsia="Calibri" w:cstheme="minorHAnsi"/>
              </w:rPr>
              <w:t>Non-Targeting Control siRNA</w:t>
            </w:r>
          </w:p>
        </w:tc>
        <w:tc>
          <w:tcPr>
            <w:tcW w:w="1439" w:type="dxa"/>
            <w:noWrap/>
          </w:tcPr>
          <w:p w14:paraId="268EAFE0" w14:textId="77777777" w:rsidR="00203F23" w:rsidRPr="00EE0340" w:rsidRDefault="00203F23" w:rsidP="0049254B">
            <w:pPr>
              <w:spacing w:line="480" w:lineRule="auto"/>
              <w:jc w:val="both"/>
              <w:rPr>
                <w:rFonts w:eastAsia="Calibri" w:cstheme="minorHAnsi"/>
              </w:rPr>
            </w:pPr>
          </w:p>
        </w:tc>
        <w:tc>
          <w:tcPr>
            <w:tcW w:w="1342" w:type="dxa"/>
            <w:noWrap/>
          </w:tcPr>
          <w:p w14:paraId="4AFDF55F" w14:textId="77777777" w:rsidR="00203F23" w:rsidRPr="00EE0340" w:rsidRDefault="00203F23" w:rsidP="0049254B">
            <w:pPr>
              <w:spacing w:line="480" w:lineRule="auto"/>
              <w:jc w:val="both"/>
              <w:rPr>
                <w:rFonts w:eastAsia="Calibri" w:cstheme="minorHAnsi"/>
              </w:rPr>
            </w:pPr>
          </w:p>
        </w:tc>
        <w:tc>
          <w:tcPr>
            <w:tcW w:w="1213" w:type="dxa"/>
            <w:noWrap/>
          </w:tcPr>
          <w:p w14:paraId="0BBB24EB" w14:textId="77777777" w:rsidR="00203F23" w:rsidRPr="00EE0340" w:rsidRDefault="00203F23" w:rsidP="0049254B">
            <w:pPr>
              <w:spacing w:line="480" w:lineRule="auto"/>
              <w:jc w:val="both"/>
              <w:rPr>
                <w:rFonts w:eastAsia="Calibri" w:cstheme="minorHAnsi"/>
              </w:rPr>
            </w:pPr>
          </w:p>
        </w:tc>
        <w:tc>
          <w:tcPr>
            <w:tcW w:w="1601" w:type="dxa"/>
            <w:noWrap/>
          </w:tcPr>
          <w:p w14:paraId="2583F1F6" w14:textId="0BB1DA5A" w:rsidR="00203F23" w:rsidRPr="00EE0340" w:rsidRDefault="006634FA" w:rsidP="0049254B">
            <w:pPr>
              <w:spacing w:line="480" w:lineRule="auto"/>
              <w:jc w:val="both"/>
              <w:rPr>
                <w:rFonts w:eastAsia="Calibri" w:cstheme="minorHAnsi"/>
              </w:rPr>
            </w:pPr>
            <w:r w:rsidRPr="00EE0340">
              <w:rPr>
                <w:rFonts w:eastAsia="Calibri" w:cstheme="minorHAnsi"/>
              </w:rPr>
              <w:t>Lonza</w:t>
            </w:r>
          </w:p>
        </w:tc>
        <w:tc>
          <w:tcPr>
            <w:tcW w:w="1169" w:type="dxa"/>
            <w:noWrap/>
          </w:tcPr>
          <w:p w14:paraId="51E632BF" w14:textId="21C2D6C1" w:rsidR="00203F23" w:rsidRPr="00EE0340" w:rsidRDefault="006634FA" w:rsidP="0049254B">
            <w:pPr>
              <w:spacing w:line="480" w:lineRule="auto"/>
              <w:jc w:val="both"/>
              <w:rPr>
                <w:rFonts w:eastAsia="Calibri" w:cstheme="minorHAnsi"/>
              </w:rPr>
            </w:pPr>
            <w:r w:rsidRPr="00EE0340">
              <w:rPr>
                <w:rFonts w:eastAsia="Calibri" w:cstheme="minorHAnsi"/>
                <w:lang w:val="en-IN"/>
              </w:rPr>
              <w:t>D-001810-10-05</w:t>
            </w:r>
          </w:p>
        </w:tc>
      </w:tr>
      <w:tr w:rsidR="00203F23" w:rsidRPr="00EE0340" w14:paraId="2E483ADD" w14:textId="77777777" w:rsidTr="00E42B3A">
        <w:trPr>
          <w:trHeight w:val="300"/>
        </w:trPr>
        <w:tc>
          <w:tcPr>
            <w:tcW w:w="2252" w:type="dxa"/>
            <w:noWrap/>
          </w:tcPr>
          <w:p w14:paraId="326FDAF7" w14:textId="1579F45B" w:rsidR="00203F23" w:rsidRPr="00EE0340" w:rsidRDefault="0037525F" w:rsidP="0049254B">
            <w:pPr>
              <w:spacing w:line="480" w:lineRule="auto"/>
              <w:jc w:val="both"/>
              <w:rPr>
                <w:rFonts w:eastAsia="Calibri" w:cstheme="minorHAnsi"/>
              </w:rPr>
            </w:pPr>
            <w:r w:rsidRPr="00EE0340">
              <w:rPr>
                <w:rFonts w:eastAsia="Calibri" w:cstheme="minorHAnsi"/>
              </w:rPr>
              <w:t>BCL2 siRNA</w:t>
            </w:r>
          </w:p>
        </w:tc>
        <w:tc>
          <w:tcPr>
            <w:tcW w:w="1439" w:type="dxa"/>
            <w:noWrap/>
          </w:tcPr>
          <w:p w14:paraId="082FF965" w14:textId="77777777" w:rsidR="00203F23" w:rsidRPr="00EE0340" w:rsidRDefault="00203F23" w:rsidP="0049254B">
            <w:pPr>
              <w:spacing w:line="480" w:lineRule="auto"/>
              <w:jc w:val="both"/>
              <w:rPr>
                <w:rFonts w:eastAsia="Calibri" w:cstheme="minorHAnsi"/>
              </w:rPr>
            </w:pPr>
          </w:p>
        </w:tc>
        <w:tc>
          <w:tcPr>
            <w:tcW w:w="1342" w:type="dxa"/>
            <w:noWrap/>
          </w:tcPr>
          <w:p w14:paraId="337F4BFE" w14:textId="77777777" w:rsidR="00203F23" w:rsidRPr="00EE0340" w:rsidRDefault="00203F23" w:rsidP="0049254B">
            <w:pPr>
              <w:spacing w:line="480" w:lineRule="auto"/>
              <w:jc w:val="both"/>
              <w:rPr>
                <w:rFonts w:eastAsia="Calibri" w:cstheme="minorHAnsi"/>
              </w:rPr>
            </w:pPr>
          </w:p>
        </w:tc>
        <w:tc>
          <w:tcPr>
            <w:tcW w:w="1213" w:type="dxa"/>
            <w:noWrap/>
          </w:tcPr>
          <w:p w14:paraId="359320DF" w14:textId="77777777" w:rsidR="00203F23" w:rsidRPr="00EE0340" w:rsidRDefault="00203F23" w:rsidP="0049254B">
            <w:pPr>
              <w:spacing w:line="480" w:lineRule="auto"/>
              <w:jc w:val="both"/>
              <w:rPr>
                <w:rFonts w:eastAsia="Calibri" w:cstheme="minorHAnsi"/>
              </w:rPr>
            </w:pPr>
          </w:p>
        </w:tc>
        <w:tc>
          <w:tcPr>
            <w:tcW w:w="1601" w:type="dxa"/>
            <w:noWrap/>
          </w:tcPr>
          <w:p w14:paraId="6860DD6E" w14:textId="7C85D4A9" w:rsidR="00203F23" w:rsidRPr="00EE0340" w:rsidRDefault="006634FA" w:rsidP="0049254B">
            <w:pPr>
              <w:spacing w:line="480" w:lineRule="auto"/>
              <w:jc w:val="both"/>
              <w:rPr>
                <w:rFonts w:eastAsia="Calibri" w:cstheme="minorHAnsi"/>
              </w:rPr>
            </w:pPr>
            <w:r w:rsidRPr="00EE0340">
              <w:rPr>
                <w:rFonts w:eastAsia="Calibri" w:cstheme="minorHAnsi"/>
              </w:rPr>
              <w:t>Lonza</w:t>
            </w:r>
          </w:p>
        </w:tc>
        <w:tc>
          <w:tcPr>
            <w:tcW w:w="1169" w:type="dxa"/>
            <w:noWrap/>
          </w:tcPr>
          <w:p w14:paraId="671BBDAB" w14:textId="68FFF94B" w:rsidR="00203F23" w:rsidRPr="00EE0340" w:rsidRDefault="006634FA" w:rsidP="0049254B">
            <w:pPr>
              <w:spacing w:line="480" w:lineRule="auto"/>
              <w:jc w:val="both"/>
              <w:rPr>
                <w:rFonts w:eastAsia="Calibri" w:cstheme="minorHAnsi"/>
              </w:rPr>
            </w:pPr>
            <w:r w:rsidRPr="00EE0340">
              <w:rPr>
                <w:rFonts w:eastAsia="Calibri" w:cstheme="minorHAnsi"/>
              </w:rPr>
              <w:t>L-003307-00-0005</w:t>
            </w:r>
          </w:p>
        </w:tc>
      </w:tr>
      <w:tr w:rsidR="00203F23" w:rsidRPr="00EE0340" w14:paraId="522D700E" w14:textId="77777777" w:rsidTr="00E42B3A">
        <w:trPr>
          <w:trHeight w:val="300"/>
        </w:trPr>
        <w:tc>
          <w:tcPr>
            <w:tcW w:w="2252" w:type="dxa"/>
            <w:noWrap/>
          </w:tcPr>
          <w:p w14:paraId="2406FFC9" w14:textId="4C963A64" w:rsidR="00203F23" w:rsidRPr="00EE0340" w:rsidRDefault="006634FA" w:rsidP="0049254B">
            <w:pPr>
              <w:spacing w:line="480" w:lineRule="auto"/>
              <w:jc w:val="both"/>
              <w:rPr>
                <w:rFonts w:eastAsia="Calibri" w:cstheme="minorHAnsi"/>
              </w:rPr>
            </w:pPr>
            <w:r w:rsidRPr="00EE0340">
              <w:rPr>
                <w:rFonts w:eastAsia="Calibri" w:cstheme="minorHAnsi"/>
              </w:rPr>
              <w:t>BCL2L1 siRNA</w:t>
            </w:r>
          </w:p>
        </w:tc>
        <w:tc>
          <w:tcPr>
            <w:tcW w:w="1439" w:type="dxa"/>
            <w:noWrap/>
          </w:tcPr>
          <w:p w14:paraId="3B8F9125" w14:textId="77777777" w:rsidR="00203F23" w:rsidRPr="00EE0340" w:rsidRDefault="00203F23" w:rsidP="0049254B">
            <w:pPr>
              <w:spacing w:line="480" w:lineRule="auto"/>
              <w:jc w:val="both"/>
              <w:rPr>
                <w:rFonts w:eastAsia="Calibri" w:cstheme="minorHAnsi"/>
              </w:rPr>
            </w:pPr>
          </w:p>
        </w:tc>
        <w:tc>
          <w:tcPr>
            <w:tcW w:w="1342" w:type="dxa"/>
            <w:noWrap/>
          </w:tcPr>
          <w:p w14:paraId="0DC00B17" w14:textId="77777777" w:rsidR="00203F23" w:rsidRPr="00EE0340" w:rsidRDefault="00203F23" w:rsidP="0049254B">
            <w:pPr>
              <w:spacing w:line="480" w:lineRule="auto"/>
              <w:jc w:val="both"/>
              <w:rPr>
                <w:rFonts w:eastAsia="Calibri" w:cstheme="minorHAnsi"/>
              </w:rPr>
            </w:pPr>
          </w:p>
        </w:tc>
        <w:tc>
          <w:tcPr>
            <w:tcW w:w="1213" w:type="dxa"/>
            <w:noWrap/>
          </w:tcPr>
          <w:p w14:paraId="1B76323F" w14:textId="77777777" w:rsidR="00203F23" w:rsidRPr="00EE0340" w:rsidRDefault="00203F23" w:rsidP="0049254B">
            <w:pPr>
              <w:spacing w:line="480" w:lineRule="auto"/>
              <w:jc w:val="both"/>
              <w:rPr>
                <w:rFonts w:eastAsia="Calibri" w:cstheme="minorHAnsi"/>
              </w:rPr>
            </w:pPr>
          </w:p>
        </w:tc>
        <w:tc>
          <w:tcPr>
            <w:tcW w:w="1601" w:type="dxa"/>
            <w:noWrap/>
          </w:tcPr>
          <w:p w14:paraId="207259E7" w14:textId="474B6B70" w:rsidR="00203F23" w:rsidRPr="00EE0340" w:rsidRDefault="006634FA" w:rsidP="0049254B">
            <w:pPr>
              <w:spacing w:line="480" w:lineRule="auto"/>
              <w:jc w:val="both"/>
              <w:rPr>
                <w:rFonts w:eastAsia="Calibri" w:cstheme="minorHAnsi"/>
              </w:rPr>
            </w:pPr>
            <w:r w:rsidRPr="00EE0340">
              <w:rPr>
                <w:rFonts w:eastAsia="Calibri" w:cstheme="minorHAnsi"/>
              </w:rPr>
              <w:t>Lonza</w:t>
            </w:r>
          </w:p>
        </w:tc>
        <w:tc>
          <w:tcPr>
            <w:tcW w:w="1169" w:type="dxa"/>
            <w:noWrap/>
          </w:tcPr>
          <w:p w14:paraId="5DEFC38A" w14:textId="0133ED8D" w:rsidR="00203F23" w:rsidRPr="00EE0340" w:rsidRDefault="006634FA" w:rsidP="0049254B">
            <w:pPr>
              <w:spacing w:line="480" w:lineRule="auto"/>
              <w:jc w:val="both"/>
              <w:rPr>
                <w:rFonts w:eastAsia="Calibri" w:cstheme="minorHAnsi"/>
              </w:rPr>
            </w:pPr>
            <w:r w:rsidRPr="00EE0340">
              <w:rPr>
                <w:rFonts w:eastAsia="Calibri" w:cstheme="minorHAnsi"/>
              </w:rPr>
              <w:t>L-003458-00-0005</w:t>
            </w:r>
          </w:p>
        </w:tc>
      </w:tr>
      <w:tr w:rsidR="00203F23" w:rsidRPr="00EE0340" w14:paraId="4F6DD14C" w14:textId="77777777" w:rsidTr="00E42B3A">
        <w:trPr>
          <w:trHeight w:val="300"/>
        </w:trPr>
        <w:tc>
          <w:tcPr>
            <w:tcW w:w="2252" w:type="dxa"/>
            <w:noWrap/>
          </w:tcPr>
          <w:p w14:paraId="3430AAA5" w14:textId="2710F32A" w:rsidR="00203F23" w:rsidRPr="00EE0340" w:rsidRDefault="006634FA" w:rsidP="0049254B">
            <w:pPr>
              <w:spacing w:line="480" w:lineRule="auto"/>
              <w:jc w:val="both"/>
              <w:rPr>
                <w:rFonts w:eastAsia="Calibri" w:cstheme="minorHAnsi"/>
              </w:rPr>
            </w:pPr>
            <w:r w:rsidRPr="00EE0340">
              <w:rPr>
                <w:rFonts w:eastAsia="Calibri" w:cstheme="minorHAnsi"/>
              </w:rPr>
              <w:t>MCL1 siRNA</w:t>
            </w:r>
          </w:p>
        </w:tc>
        <w:tc>
          <w:tcPr>
            <w:tcW w:w="1439" w:type="dxa"/>
            <w:noWrap/>
          </w:tcPr>
          <w:p w14:paraId="4A0F4273" w14:textId="77777777" w:rsidR="00203F23" w:rsidRPr="00EE0340" w:rsidRDefault="00203F23" w:rsidP="0049254B">
            <w:pPr>
              <w:spacing w:line="480" w:lineRule="auto"/>
              <w:jc w:val="both"/>
              <w:rPr>
                <w:rFonts w:eastAsia="Calibri" w:cstheme="minorHAnsi"/>
              </w:rPr>
            </w:pPr>
          </w:p>
        </w:tc>
        <w:tc>
          <w:tcPr>
            <w:tcW w:w="1342" w:type="dxa"/>
            <w:noWrap/>
          </w:tcPr>
          <w:p w14:paraId="46750CB2" w14:textId="77777777" w:rsidR="00203F23" w:rsidRPr="00EE0340" w:rsidRDefault="00203F23" w:rsidP="0049254B">
            <w:pPr>
              <w:spacing w:line="480" w:lineRule="auto"/>
              <w:jc w:val="both"/>
              <w:rPr>
                <w:rFonts w:eastAsia="Calibri" w:cstheme="minorHAnsi"/>
              </w:rPr>
            </w:pPr>
          </w:p>
        </w:tc>
        <w:tc>
          <w:tcPr>
            <w:tcW w:w="1213" w:type="dxa"/>
            <w:noWrap/>
          </w:tcPr>
          <w:p w14:paraId="1374D71E" w14:textId="77777777" w:rsidR="00203F23" w:rsidRPr="00EE0340" w:rsidRDefault="00203F23" w:rsidP="0049254B">
            <w:pPr>
              <w:spacing w:line="480" w:lineRule="auto"/>
              <w:jc w:val="both"/>
              <w:rPr>
                <w:rFonts w:eastAsia="Calibri" w:cstheme="minorHAnsi"/>
              </w:rPr>
            </w:pPr>
          </w:p>
        </w:tc>
        <w:tc>
          <w:tcPr>
            <w:tcW w:w="1601" w:type="dxa"/>
            <w:noWrap/>
          </w:tcPr>
          <w:p w14:paraId="046D5432" w14:textId="429E0F70" w:rsidR="00203F23" w:rsidRPr="00EE0340" w:rsidRDefault="006634FA" w:rsidP="0049254B">
            <w:pPr>
              <w:spacing w:line="480" w:lineRule="auto"/>
              <w:jc w:val="both"/>
              <w:rPr>
                <w:rFonts w:eastAsia="Calibri" w:cstheme="minorHAnsi"/>
              </w:rPr>
            </w:pPr>
            <w:r w:rsidRPr="00EE0340">
              <w:rPr>
                <w:rFonts w:eastAsia="Calibri" w:cstheme="minorHAnsi"/>
              </w:rPr>
              <w:t>Lonza</w:t>
            </w:r>
          </w:p>
        </w:tc>
        <w:tc>
          <w:tcPr>
            <w:tcW w:w="1169" w:type="dxa"/>
            <w:noWrap/>
          </w:tcPr>
          <w:p w14:paraId="7143C1C7" w14:textId="3950A7A3" w:rsidR="00203F23" w:rsidRPr="00EE0340" w:rsidRDefault="006634FA" w:rsidP="0049254B">
            <w:pPr>
              <w:spacing w:line="480" w:lineRule="auto"/>
              <w:jc w:val="both"/>
              <w:rPr>
                <w:rFonts w:eastAsia="Calibri" w:cstheme="minorHAnsi"/>
              </w:rPr>
            </w:pPr>
            <w:r w:rsidRPr="00EE0340">
              <w:rPr>
                <w:rFonts w:eastAsia="Calibri" w:cstheme="minorHAnsi"/>
              </w:rPr>
              <w:t>L-004501-00-0005</w:t>
            </w:r>
          </w:p>
        </w:tc>
      </w:tr>
      <w:tr w:rsidR="00203F23" w:rsidRPr="00EE0340" w14:paraId="294285E9" w14:textId="77777777" w:rsidTr="00E42B3A">
        <w:trPr>
          <w:trHeight w:val="300"/>
        </w:trPr>
        <w:tc>
          <w:tcPr>
            <w:tcW w:w="2252" w:type="dxa"/>
            <w:noWrap/>
          </w:tcPr>
          <w:p w14:paraId="430340ED" w14:textId="42A938A9" w:rsidR="00203F23" w:rsidRPr="00EE0340" w:rsidRDefault="00E13A44" w:rsidP="0049254B">
            <w:pPr>
              <w:spacing w:line="480" w:lineRule="auto"/>
              <w:jc w:val="both"/>
              <w:rPr>
                <w:rFonts w:eastAsia="Calibri" w:cstheme="minorHAnsi"/>
              </w:rPr>
            </w:pPr>
            <w:r w:rsidRPr="00EE0340">
              <w:rPr>
                <w:rFonts w:eastAsia="Calibri" w:cstheme="minorHAnsi"/>
              </w:rPr>
              <w:t>ELISA MAX™ Deluxe Set Human IFN-γ</w:t>
            </w:r>
          </w:p>
        </w:tc>
        <w:tc>
          <w:tcPr>
            <w:tcW w:w="1439" w:type="dxa"/>
            <w:noWrap/>
          </w:tcPr>
          <w:p w14:paraId="6EDEA8A6" w14:textId="77777777" w:rsidR="00203F23" w:rsidRPr="00EE0340" w:rsidRDefault="00203F23" w:rsidP="0049254B">
            <w:pPr>
              <w:spacing w:line="480" w:lineRule="auto"/>
              <w:jc w:val="both"/>
              <w:rPr>
                <w:rFonts w:eastAsia="Calibri" w:cstheme="minorHAnsi"/>
              </w:rPr>
            </w:pPr>
          </w:p>
        </w:tc>
        <w:tc>
          <w:tcPr>
            <w:tcW w:w="1342" w:type="dxa"/>
            <w:noWrap/>
          </w:tcPr>
          <w:p w14:paraId="6EF8DF5D" w14:textId="77777777" w:rsidR="00203F23" w:rsidRPr="00EE0340" w:rsidRDefault="00203F23" w:rsidP="0049254B">
            <w:pPr>
              <w:spacing w:line="480" w:lineRule="auto"/>
              <w:jc w:val="both"/>
              <w:rPr>
                <w:rFonts w:eastAsia="Calibri" w:cstheme="minorHAnsi"/>
              </w:rPr>
            </w:pPr>
          </w:p>
        </w:tc>
        <w:tc>
          <w:tcPr>
            <w:tcW w:w="1213" w:type="dxa"/>
            <w:noWrap/>
          </w:tcPr>
          <w:p w14:paraId="5C9DE4C0" w14:textId="77777777" w:rsidR="00203F23" w:rsidRPr="00EE0340" w:rsidRDefault="00203F23" w:rsidP="0049254B">
            <w:pPr>
              <w:spacing w:line="480" w:lineRule="auto"/>
              <w:jc w:val="both"/>
              <w:rPr>
                <w:rFonts w:eastAsia="Calibri" w:cstheme="minorHAnsi"/>
              </w:rPr>
            </w:pPr>
          </w:p>
        </w:tc>
        <w:tc>
          <w:tcPr>
            <w:tcW w:w="1601" w:type="dxa"/>
            <w:noWrap/>
          </w:tcPr>
          <w:p w14:paraId="305D7E3B" w14:textId="0C155C6E" w:rsidR="00203F23" w:rsidRPr="00EE0340" w:rsidRDefault="00E13A44" w:rsidP="0049254B">
            <w:pPr>
              <w:spacing w:line="480" w:lineRule="auto"/>
              <w:jc w:val="both"/>
              <w:rPr>
                <w:rFonts w:eastAsia="Calibri" w:cstheme="minorHAnsi"/>
              </w:rPr>
            </w:pPr>
            <w:r w:rsidRPr="00EE0340">
              <w:rPr>
                <w:rFonts w:eastAsia="Calibri" w:cstheme="minorHAnsi"/>
              </w:rPr>
              <w:t>Biolegend</w:t>
            </w:r>
          </w:p>
        </w:tc>
        <w:tc>
          <w:tcPr>
            <w:tcW w:w="1169" w:type="dxa"/>
            <w:noWrap/>
          </w:tcPr>
          <w:p w14:paraId="64290B65" w14:textId="68EA063E" w:rsidR="00203F23" w:rsidRPr="00EE0340" w:rsidRDefault="00E13A44" w:rsidP="0049254B">
            <w:pPr>
              <w:spacing w:line="480" w:lineRule="auto"/>
              <w:jc w:val="both"/>
              <w:rPr>
                <w:rFonts w:eastAsia="Calibri" w:cstheme="minorHAnsi"/>
              </w:rPr>
            </w:pPr>
            <w:r w:rsidRPr="00EE0340">
              <w:rPr>
                <w:rFonts w:eastAsia="Calibri" w:cstheme="minorHAnsi"/>
                <w:lang w:val="en-IN"/>
              </w:rPr>
              <w:t>430115</w:t>
            </w:r>
          </w:p>
          <w:p w14:paraId="0DC0672B" w14:textId="77777777" w:rsidR="00E13A44" w:rsidRPr="00EE0340" w:rsidRDefault="00E13A44" w:rsidP="00E13A44">
            <w:pPr>
              <w:rPr>
                <w:rFonts w:eastAsia="Calibri" w:cstheme="minorHAnsi"/>
              </w:rPr>
            </w:pPr>
          </w:p>
        </w:tc>
      </w:tr>
      <w:tr w:rsidR="00E13A44" w:rsidRPr="00EE0340" w14:paraId="156D6A81" w14:textId="77777777" w:rsidTr="00E42B3A">
        <w:trPr>
          <w:trHeight w:val="300"/>
        </w:trPr>
        <w:tc>
          <w:tcPr>
            <w:tcW w:w="2252" w:type="dxa"/>
            <w:noWrap/>
          </w:tcPr>
          <w:p w14:paraId="2B023537" w14:textId="3402FFD0" w:rsidR="00E13A44" w:rsidRPr="00EE0340" w:rsidRDefault="00E13A44" w:rsidP="0049254B">
            <w:pPr>
              <w:spacing w:line="480" w:lineRule="auto"/>
              <w:jc w:val="both"/>
              <w:rPr>
                <w:rFonts w:eastAsia="Calibri" w:cstheme="minorHAnsi"/>
              </w:rPr>
            </w:pPr>
            <w:r w:rsidRPr="00EE0340">
              <w:rPr>
                <w:rFonts w:eastAsia="Calibri" w:cstheme="minorHAnsi"/>
              </w:rPr>
              <w:t>ELISA MAX™ Deluxe Set Human TNF-α</w:t>
            </w:r>
          </w:p>
        </w:tc>
        <w:tc>
          <w:tcPr>
            <w:tcW w:w="1439" w:type="dxa"/>
            <w:noWrap/>
          </w:tcPr>
          <w:p w14:paraId="0EC053F4" w14:textId="77777777" w:rsidR="00E13A44" w:rsidRPr="00EE0340" w:rsidRDefault="00E13A44" w:rsidP="0049254B">
            <w:pPr>
              <w:spacing w:line="480" w:lineRule="auto"/>
              <w:jc w:val="both"/>
              <w:rPr>
                <w:rFonts w:eastAsia="Calibri" w:cstheme="minorHAnsi"/>
              </w:rPr>
            </w:pPr>
          </w:p>
        </w:tc>
        <w:tc>
          <w:tcPr>
            <w:tcW w:w="1342" w:type="dxa"/>
            <w:noWrap/>
          </w:tcPr>
          <w:p w14:paraId="03616A5F" w14:textId="77777777" w:rsidR="00E13A44" w:rsidRPr="00EE0340" w:rsidRDefault="00E13A44" w:rsidP="0049254B">
            <w:pPr>
              <w:spacing w:line="480" w:lineRule="auto"/>
              <w:jc w:val="both"/>
              <w:rPr>
                <w:rFonts w:eastAsia="Calibri" w:cstheme="minorHAnsi"/>
              </w:rPr>
            </w:pPr>
          </w:p>
        </w:tc>
        <w:tc>
          <w:tcPr>
            <w:tcW w:w="1213" w:type="dxa"/>
            <w:noWrap/>
          </w:tcPr>
          <w:p w14:paraId="4B3A70DD" w14:textId="77777777" w:rsidR="00E13A44" w:rsidRPr="00EE0340" w:rsidRDefault="00E13A44" w:rsidP="0049254B">
            <w:pPr>
              <w:spacing w:line="480" w:lineRule="auto"/>
              <w:jc w:val="both"/>
              <w:rPr>
                <w:rFonts w:eastAsia="Calibri" w:cstheme="minorHAnsi"/>
              </w:rPr>
            </w:pPr>
          </w:p>
        </w:tc>
        <w:tc>
          <w:tcPr>
            <w:tcW w:w="1601" w:type="dxa"/>
            <w:noWrap/>
          </w:tcPr>
          <w:p w14:paraId="1C08AA86" w14:textId="492E4A19" w:rsidR="00E13A44" w:rsidRPr="00EE0340" w:rsidRDefault="00E13A44" w:rsidP="0049254B">
            <w:pPr>
              <w:spacing w:line="480" w:lineRule="auto"/>
              <w:jc w:val="both"/>
              <w:rPr>
                <w:rFonts w:eastAsia="Calibri" w:cstheme="minorHAnsi"/>
              </w:rPr>
            </w:pPr>
            <w:r w:rsidRPr="00EE0340">
              <w:rPr>
                <w:rFonts w:eastAsia="Calibri" w:cstheme="minorHAnsi"/>
              </w:rPr>
              <w:t>Biolegend</w:t>
            </w:r>
          </w:p>
        </w:tc>
        <w:tc>
          <w:tcPr>
            <w:tcW w:w="1169" w:type="dxa"/>
            <w:noWrap/>
          </w:tcPr>
          <w:p w14:paraId="1382A129" w14:textId="4BC96210" w:rsidR="00E13A44" w:rsidRPr="00EE0340" w:rsidRDefault="00E13A44" w:rsidP="0049254B">
            <w:pPr>
              <w:spacing w:line="480" w:lineRule="auto"/>
              <w:jc w:val="both"/>
              <w:rPr>
                <w:rFonts w:eastAsia="Calibri" w:cstheme="minorHAnsi"/>
              </w:rPr>
            </w:pPr>
            <w:r w:rsidRPr="00EE0340">
              <w:rPr>
                <w:rFonts w:eastAsia="Calibri" w:cstheme="minorHAnsi"/>
                <w:lang w:val="en-IN"/>
              </w:rPr>
              <w:t>430215</w:t>
            </w:r>
          </w:p>
        </w:tc>
      </w:tr>
    </w:tbl>
    <w:p w14:paraId="3C77D05C" w14:textId="77777777" w:rsidR="003C0F46" w:rsidRPr="00EE0340" w:rsidRDefault="003C0F46" w:rsidP="0049254B">
      <w:pPr>
        <w:spacing w:line="480" w:lineRule="auto"/>
        <w:rPr>
          <w:rFonts w:cstheme="minorHAnsi"/>
          <w:b/>
          <w:bCs/>
          <w:sz w:val="28"/>
          <w:szCs w:val="28"/>
          <w:lang w:val="en-US"/>
        </w:rPr>
      </w:pPr>
    </w:p>
    <w:p w14:paraId="551DF896" w14:textId="75576384" w:rsidR="00203F23" w:rsidRPr="00EE0340" w:rsidRDefault="00203F23" w:rsidP="0049254B">
      <w:pPr>
        <w:spacing w:line="480" w:lineRule="auto"/>
        <w:rPr>
          <w:rFonts w:cstheme="minorHAnsi"/>
          <w:b/>
          <w:bCs/>
          <w:sz w:val="28"/>
          <w:szCs w:val="28"/>
          <w:lang w:val="en-US"/>
        </w:rPr>
      </w:pPr>
      <w:r w:rsidRPr="00EE0340">
        <w:rPr>
          <w:rFonts w:cstheme="minorHAnsi"/>
          <w:b/>
          <w:bCs/>
          <w:sz w:val="28"/>
          <w:szCs w:val="28"/>
          <w:lang w:val="en-US"/>
        </w:rPr>
        <w:t>List of primers</w:t>
      </w:r>
    </w:p>
    <w:tbl>
      <w:tblPr>
        <w:tblStyle w:val="TableGrid"/>
        <w:tblW w:w="8254" w:type="dxa"/>
        <w:tblLook w:val="04A0" w:firstRow="1" w:lastRow="0" w:firstColumn="1" w:lastColumn="0" w:noHBand="0" w:noVBand="1"/>
      </w:tblPr>
      <w:tblGrid>
        <w:gridCol w:w="1399"/>
        <w:gridCol w:w="3304"/>
        <w:gridCol w:w="3551"/>
      </w:tblGrid>
      <w:tr w:rsidR="00203F23" w:rsidRPr="00EE0340" w14:paraId="6F801470" w14:textId="77777777" w:rsidTr="003C0F46">
        <w:trPr>
          <w:trHeight w:val="300"/>
        </w:trPr>
        <w:tc>
          <w:tcPr>
            <w:tcW w:w="1399" w:type="dxa"/>
            <w:noWrap/>
            <w:hideMark/>
          </w:tcPr>
          <w:p w14:paraId="33BE96C4" w14:textId="77777777" w:rsidR="00203F23" w:rsidRPr="00EE0340" w:rsidRDefault="00203F23" w:rsidP="0049254B">
            <w:pPr>
              <w:spacing w:line="480" w:lineRule="auto"/>
              <w:rPr>
                <w:rFonts w:cstheme="minorHAnsi"/>
                <w:sz w:val="20"/>
                <w:szCs w:val="20"/>
                <w:lang w:val="en-IN"/>
              </w:rPr>
            </w:pPr>
          </w:p>
        </w:tc>
        <w:tc>
          <w:tcPr>
            <w:tcW w:w="3304" w:type="dxa"/>
            <w:noWrap/>
            <w:hideMark/>
          </w:tcPr>
          <w:p w14:paraId="31AAA5F6" w14:textId="77777777" w:rsidR="00203F23" w:rsidRPr="00EE0340" w:rsidRDefault="00203F23" w:rsidP="0049254B">
            <w:pPr>
              <w:spacing w:line="480" w:lineRule="auto"/>
              <w:rPr>
                <w:rFonts w:cstheme="minorHAnsi"/>
                <w:sz w:val="20"/>
                <w:szCs w:val="20"/>
                <w:lang w:val="en-IN"/>
              </w:rPr>
            </w:pPr>
            <w:r w:rsidRPr="00EE0340">
              <w:rPr>
                <w:rFonts w:cstheme="minorHAnsi"/>
                <w:sz w:val="20"/>
                <w:szCs w:val="20"/>
                <w:lang w:val="en-IN"/>
              </w:rPr>
              <w:t>Forward</w:t>
            </w:r>
          </w:p>
        </w:tc>
        <w:tc>
          <w:tcPr>
            <w:tcW w:w="3551" w:type="dxa"/>
            <w:noWrap/>
            <w:hideMark/>
          </w:tcPr>
          <w:p w14:paraId="7AAD9027" w14:textId="77777777" w:rsidR="00203F23" w:rsidRPr="00EE0340" w:rsidRDefault="00203F23" w:rsidP="0049254B">
            <w:pPr>
              <w:spacing w:line="480" w:lineRule="auto"/>
              <w:rPr>
                <w:rFonts w:cstheme="minorHAnsi"/>
                <w:sz w:val="20"/>
                <w:szCs w:val="20"/>
                <w:lang w:val="en-IN"/>
              </w:rPr>
            </w:pPr>
            <w:r w:rsidRPr="00EE0340">
              <w:rPr>
                <w:rFonts w:cstheme="minorHAnsi"/>
                <w:sz w:val="20"/>
                <w:szCs w:val="20"/>
                <w:lang w:val="en-IN"/>
              </w:rPr>
              <w:t>Reverse</w:t>
            </w:r>
          </w:p>
        </w:tc>
      </w:tr>
      <w:tr w:rsidR="00203F23" w:rsidRPr="00EE0340" w14:paraId="6A066F32" w14:textId="77777777" w:rsidTr="003C0F46">
        <w:trPr>
          <w:trHeight w:val="300"/>
        </w:trPr>
        <w:tc>
          <w:tcPr>
            <w:tcW w:w="1399" w:type="dxa"/>
            <w:noWrap/>
            <w:hideMark/>
          </w:tcPr>
          <w:p w14:paraId="1F9CF8A9" w14:textId="77777777" w:rsidR="00203F23" w:rsidRPr="00EE0340" w:rsidRDefault="00203F23" w:rsidP="0049254B">
            <w:pPr>
              <w:spacing w:line="480" w:lineRule="auto"/>
              <w:rPr>
                <w:rFonts w:cstheme="minorHAnsi"/>
                <w:sz w:val="20"/>
                <w:szCs w:val="20"/>
                <w:lang w:val="en-IN"/>
              </w:rPr>
            </w:pPr>
            <w:r w:rsidRPr="00EE0340">
              <w:rPr>
                <w:rFonts w:cstheme="minorHAnsi"/>
                <w:sz w:val="20"/>
                <w:szCs w:val="20"/>
                <w:lang w:val="en-IN"/>
              </w:rPr>
              <w:t>GAPDH</w:t>
            </w:r>
          </w:p>
        </w:tc>
        <w:tc>
          <w:tcPr>
            <w:tcW w:w="3304" w:type="dxa"/>
            <w:noWrap/>
            <w:hideMark/>
          </w:tcPr>
          <w:p w14:paraId="63FC3B7E" w14:textId="77777777" w:rsidR="00203F23" w:rsidRPr="00EE0340" w:rsidRDefault="00203F23" w:rsidP="0049254B">
            <w:pPr>
              <w:spacing w:line="480" w:lineRule="auto"/>
              <w:rPr>
                <w:rFonts w:cstheme="minorHAnsi"/>
                <w:sz w:val="20"/>
                <w:szCs w:val="20"/>
                <w:lang w:val="en-IN"/>
              </w:rPr>
            </w:pPr>
            <w:r w:rsidRPr="00EE0340">
              <w:rPr>
                <w:rFonts w:cstheme="minorHAnsi"/>
                <w:sz w:val="20"/>
                <w:szCs w:val="20"/>
                <w:lang w:val="en-IN"/>
              </w:rPr>
              <w:t>TTC GTC ATG GGT GTG AAC CA</w:t>
            </w:r>
          </w:p>
        </w:tc>
        <w:tc>
          <w:tcPr>
            <w:tcW w:w="3551" w:type="dxa"/>
            <w:noWrap/>
            <w:hideMark/>
          </w:tcPr>
          <w:p w14:paraId="5E833148" w14:textId="77777777" w:rsidR="00203F23" w:rsidRPr="00EE0340" w:rsidRDefault="00203F23" w:rsidP="0049254B">
            <w:pPr>
              <w:spacing w:line="480" w:lineRule="auto"/>
              <w:rPr>
                <w:rFonts w:cstheme="minorHAnsi"/>
                <w:sz w:val="20"/>
                <w:szCs w:val="20"/>
                <w:lang w:val="en-IN"/>
              </w:rPr>
            </w:pPr>
            <w:r w:rsidRPr="00EE0340">
              <w:rPr>
                <w:rFonts w:cstheme="minorHAnsi"/>
                <w:sz w:val="20"/>
                <w:szCs w:val="20"/>
                <w:lang w:val="en-IN"/>
              </w:rPr>
              <w:t>CTG TGG TCA TGA GTC CTT CCA</w:t>
            </w:r>
          </w:p>
        </w:tc>
      </w:tr>
      <w:tr w:rsidR="00DE1660" w:rsidRPr="00EE0340" w14:paraId="2F58F707" w14:textId="77777777" w:rsidTr="003C0F46">
        <w:trPr>
          <w:trHeight w:val="300"/>
        </w:trPr>
        <w:tc>
          <w:tcPr>
            <w:tcW w:w="1399" w:type="dxa"/>
            <w:noWrap/>
          </w:tcPr>
          <w:p w14:paraId="13E4BB6A" w14:textId="72D3B040"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AREG</w:t>
            </w:r>
          </w:p>
        </w:tc>
        <w:tc>
          <w:tcPr>
            <w:tcW w:w="3304" w:type="dxa"/>
            <w:noWrap/>
          </w:tcPr>
          <w:p w14:paraId="48F69AB6" w14:textId="3E1D89DA"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TGA GAT GTC TTC AGG GAG TG</w:t>
            </w:r>
          </w:p>
        </w:tc>
        <w:tc>
          <w:tcPr>
            <w:tcW w:w="3551" w:type="dxa"/>
            <w:noWrap/>
          </w:tcPr>
          <w:p w14:paraId="379A23B7" w14:textId="0E3E3AC1"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AGC CAG GTA TTT GTG GTT CG</w:t>
            </w:r>
          </w:p>
        </w:tc>
      </w:tr>
      <w:tr w:rsidR="00DE1660" w:rsidRPr="00EE0340" w14:paraId="6C6088A6" w14:textId="77777777" w:rsidTr="003C0F46">
        <w:trPr>
          <w:trHeight w:val="300"/>
        </w:trPr>
        <w:tc>
          <w:tcPr>
            <w:tcW w:w="1399" w:type="dxa"/>
            <w:noWrap/>
          </w:tcPr>
          <w:p w14:paraId="03098F54" w14:textId="0460A754"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DUSP1</w:t>
            </w:r>
          </w:p>
        </w:tc>
        <w:tc>
          <w:tcPr>
            <w:tcW w:w="3304" w:type="dxa"/>
            <w:noWrap/>
          </w:tcPr>
          <w:p w14:paraId="20CC3D71" w14:textId="0AFFF140"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 xml:space="preserve">TTC </w:t>
            </w:r>
            <w:proofErr w:type="spellStart"/>
            <w:r w:rsidRPr="00EE0340">
              <w:rPr>
                <w:rFonts w:cstheme="minorHAnsi"/>
                <w:sz w:val="20"/>
                <w:szCs w:val="20"/>
                <w:lang w:val="en-IN"/>
              </w:rPr>
              <w:t>TTC</w:t>
            </w:r>
            <w:proofErr w:type="spellEnd"/>
            <w:r w:rsidRPr="00EE0340">
              <w:rPr>
                <w:rFonts w:cstheme="minorHAnsi"/>
                <w:sz w:val="20"/>
                <w:szCs w:val="20"/>
                <w:lang w:val="en-IN"/>
              </w:rPr>
              <w:t xml:space="preserve"> CTC AAA GGA </w:t>
            </w:r>
            <w:proofErr w:type="spellStart"/>
            <w:r w:rsidRPr="00EE0340">
              <w:rPr>
                <w:rFonts w:cstheme="minorHAnsi"/>
                <w:sz w:val="20"/>
                <w:szCs w:val="20"/>
                <w:lang w:val="en-IN"/>
              </w:rPr>
              <w:t>GGA</w:t>
            </w:r>
            <w:proofErr w:type="spellEnd"/>
            <w:r w:rsidRPr="00EE0340">
              <w:rPr>
                <w:rFonts w:cstheme="minorHAnsi"/>
                <w:sz w:val="20"/>
                <w:szCs w:val="20"/>
                <w:lang w:val="en-IN"/>
              </w:rPr>
              <w:t xml:space="preserve"> TAC G</w:t>
            </w:r>
          </w:p>
        </w:tc>
        <w:tc>
          <w:tcPr>
            <w:tcW w:w="3551" w:type="dxa"/>
            <w:noWrap/>
          </w:tcPr>
          <w:p w14:paraId="565DED2C" w14:textId="17D6CC6A"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GTG GGG TAC TGC AGG AAC TG</w:t>
            </w:r>
          </w:p>
        </w:tc>
      </w:tr>
      <w:tr w:rsidR="00DE1660" w:rsidRPr="00EE0340" w14:paraId="2CEE8E27" w14:textId="77777777" w:rsidTr="003C0F46">
        <w:trPr>
          <w:trHeight w:val="300"/>
        </w:trPr>
        <w:tc>
          <w:tcPr>
            <w:tcW w:w="1399" w:type="dxa"/>
            <w:noWrap/>
          </w:tcPr>
          <w:p w14:paraId="4E673613" w14:textId="266CBFC6"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FOS</w:t>
            </w:r>
          </w:p>
        </w:tc>
        <w:tc>
          <w:tcPr>
            <w:tcW w:w="3304" w:type="dxa"/>
            <w:noWrap/>
          </w:tcPr>
          <w:p w14:paraId="689254C9" w14:textId="3505CA6C"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CGT CTC CAG TGC CAA CTT CA</w:t>
            </w:r>
          </w:p>
        </w:tc>
        <w:tc>
          <w:tcPr>
            <w:tcW w:w="3551" w:type="dxa"/>
            <w:noWrap/>
          </w:tcPr>
          <w:p w14:paraId="50CB93B6" w14:textId="3A33739E"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GGT CCG GAC TGG TCG AGA T</w:t>
            </w:r>
          </w:p>
        </w:tc>
      </w:tr>
      <w:tr w:rsidR="00DE1660" w:rsidRPr="00EE0340" w14:paraId="14CDD325" w14:textId="77777777" w:rsidTr="003C0F46">
        <w:trPr>
          <w:trHeight w:val="300"/>
        </w:trPr>
        <w:tc>
          <w:tcPr>
            <w:tcW w:w="1399" w:type="dxa"/>
            <w:noWrap/>
          </w:tcPr>
          <w:p w14:paraId="56D02A42" w14:textId="5BC8CD53"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FOSB</w:t>
            </w:r>
          </w:p>
        </w:tc>
        <w:tc>
          <w:tcPr>
            <w:tcW w:w="3304" w:type="dxa"/>
            <w:noWrap/>
          </w:tcPr>
          <w:p w14:paraId="0AF219BF" w14:textId="4179E216"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TTG CAC CTT ACT TCC CCA AC</w:t>
            </w:r>
          </w:p>
        </w:tc>
        <w:tc>
          <w:tcPr>
            <w:tcW w:w="3551" w:type="dxa"/>
            <w:noWrap/>
          </w:tcPr>
          <w:p w14:paraId="04D259DB" w14:textId="7BE34646"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AGG AGT CCA CCG AAG ACA GA</w:t>
            </w:r>
          </w:p>
        </w:tc>
      </w:tr>
      <w:tr w:rsidR="00DE1660" w:rsidRPr="00EE0340" w14:paraId="2AEF8919" w14:textId="77777777" w:rsidTr="003C0F46">
        <w:trPr>
          <w:trHeight w:val="300"/>
        </w:trPr>
        <w:tc>
          <w:tcPr>
            <w:tcW w:w="1399" w:type="dxa"/>
            <w:noWrap/>
            <w:hideMark/>
          </w:tcPr>
          <w:p w14:paraId="3729E8D7" w14:textId="590BD4ED"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VEGFA</w:t>
            </w:r>
          </w:p>
        </w:tc>
        <w:tc>
          <w:tcPr>
            <w:tcW w:w="3304" w:type="dxa"/>
            <w:noWrap/>
            <w:hideMark/>
          </w:tcPr>
          <w:p w14:paraId="5DD654FF" w14:textId="35F47EB6"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CCA ATC GAG ACC CTG GTG</w:t>
            </w:r>
          </w:p>
        </w:tc>
        <w:tc>
          <w:tcPr>
            <w:tcW w:w="3551" w:type="dxa"/>
            <w:noWrap/>
            <w:hideMark/>
          </w:tcPr>
          <w:p w14:paraId="0287B320" w14:textId="7FADD432"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CAC ACA GGA TGG CTT GAA GA</w:t>
            </w:r>
          </w:p>
        </w:tc>
      </w:tr>
      <w:tr w:rsidR="00DE1660" w:rsidRPr="00EE0340" w14:paraId="14A7E31F" w14:textId="77777777" w:rsidTr="003C0F46">
        <w:trPr>
          <w:trHeight w:val="300"/>
        </w:trPr>
        <w:tc>
          <w:tcPr>
            <w:tcW w:w="1399" w:type="dxa"/>
            <w:noWrap/>
            <w:hideMark/>
          </w:tcPr>
          <w:p w14:paraId="426B5FF2" w14:textId="4AB27853"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CXCR4</w:t>
            </w:r>
          </w:p>
        </w:tc>
        <w:tc>
          <w:tcPr>
            <w:tcW w:w="3304" w:type="dxa"/>
            <w:noWrap/>
            <w:hideMark/>
          </w:tcPr>
          <w:p w14:paraId="2C4CABEB" w14:textId="3BBEF33A"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CCT ATG CAA GGC AGT CCA TGT</w:t>
            </w:r>
          </w:p>
        </w:tc>
        <w:tc>
          <w:tcPr>
            <w:tcW w:w="3551" w:type="dxa"/>
            <w:noWrap/>
            <w:hideMark/>
          </w:tcPr>
          <w:p w14:paraId="146C2A85" w14:textId="2785C134"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 xml:space="preserve">GGT AGC GGT CCA GAC TGA </w:t>
            </w:r>
            <w:proofErr w:type="spellStart"/>
            <w:r w:rsidRPr="00EE0340">
              <w:rPr>
                <w:rFonts w:cstheme="minorHAnsi"/>
                <w:sz w:val="20"/>
                <w:szCs w:val="20"/>
                <w:lang w:val="en-IN"/>
              </w:rPr>
              <w:t>TGA</w:t>
            </w:r>
            <w:proofErr w:type="spellEnd"/>
          </w:p>
        </w:tc>
      </w:tr>
      <w:tr w:rsidR="00DE1660" w:rsidRPr="00EE0340" w14:paraId="3544621C" w14:textId="77777777" w:rsidTr="003C0F46">
        <w:trPr>
          <w:trHeight w:val="300"/>
        </w:trPr>
        <w:tc>
          <w:tcPr>
            <w:tcW w:w="1399" w:type="dxa"/>
            <w:noWrap/>
            <w:hideMark/>
          </w:tcPr>
          <w:p w14:paraId="07C0D596" w14:textId="5151A628" w:rsidR="00DE1660" w:rsidRPr="00EE0340" w:rsidRDefault="00DE1660" w:rsidP="0049254B">
            <w:pPr>
              <w:spacing w:line="480" w:lineRule="auto"/>
              <w:rPr>
                <w:rFonts w:cstheme="minorHAnsi"/>
                <w:sz w:val="20"/>
                <w:szCs w:val="20"/>
                <w:lang w:val="en-IN"/>
              </w:rPr>
            </w:pPr>
            <w:proofErr w:type="spellStart"/>
            <w:r w:rsidRPr="00EE0340">
              <w:rPr>
                <w:rFonts w:cstheme="minorHAnsi"/>
                <w:sz w:val="20"/>
                <w:szCs w:val="20"/>
                <w:lang w:val="en-IN"/>
              </w:rPr>
              <w:t>cJUN</w:t>
            </w:r>
            <w:proofErr w:type="spellEnd"/>
          </w:p>
        </w:tc>
        <w:tc>
          <w:tcPr>
            <w:tcW w:w="3304" w:type="dxa"/>
            <w:noWrap/>
            <w:hideMark/>
          </w:tcPr>
          <w:p w14:paraId="0BCE8D40" w14:textId="44602433"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TCG ACA TGG AGT CCC AGG A</w:t>
            </w:r>
          </w:p>
        </w:tc>
        <w:tc>
          <w:tcPr>
            <w:tcW w:w="3551" w:type="dxa"/>
            <w:noWrap/>
            <w:hideMark/>
          </w:tcPr>
          <w:p w14:paraId="0E0D74BE" w14:textId="37597FEF"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GGC GAT TCT CTC CAG CTT CC</w:t>
            </w:r>
          </w:p>
        </w:tc>
      </w:tr>
      <w:tr w:rsidR="00DE1660" w:rsidRPr="00EE0340" w14:paraId="7F233AE9" w14:textId="77777777" w:rsidTr="003C0F46">
        <w:trPr>
          <w:trHeight w:val="300"/>
        </w:trPr>
        <w:tc>
          <w:tcPr>
            <w:tcW w:w="1399" w:type="dxa"/>
            <w:noWrap/>
            <w:hideMark/>
          </w:tcPr>
          <w:p w14:paraId="1B7491C8" w14:textId="7F8DD1A2"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EREG</w:t>
            </w:r>
          </w:p>
        </w:tc>
        <w:tc>
          <w:tcPr>
            <w:tcW w:w="3304" w:type="dxa"/>
            <w:noWrap/>
            <w:hideMark/>
          </w:tcPr>
          <w:p w14:paraId="620975AE" w14:textId="7EB01D92"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ATC ATG TAT CCC AGG AGA GTC CAG</w:t>
            </w:r>
          </w:p>
        </w:tc>
        <w:tc>
          <w:tcPr>
            <w:tcW w:w="3551" w:type="dxa"/>
            <w:noWrap/>
            <w:hideMark/>
          </w:tcPr>
          <w:p w14:paraId="1FF46DC1" w14:textId="456B75A1"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GAA TCA CGG TCA AAG CCA CAT AT</w:t>
            </w:r>
          </w:p>
        </w:tc>
      </w:tr>
      <w:tr w:rsidR="00DE1660" w:rsidRPr="00EE0340" w14:paraId="59FAC14E" w14:textId="77777777" w:rsidTr="003C0F46">
        <w:trPr>
          <w:trHeight w:val="300"/>
        </w:trPr>
        <w:tc>
          <w:tcPr>
            <w:tcW w:w="1399" w:type="dxa"/>
            <w:noWrap/>
            <w:hideMark/>
          </w:tcPr>
          <w:p w14:paraId="0597E686" w14:textId="468C8A9D"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INHBA</w:t>
            </w:r>
          </w:p>
        </w:tc>
        <w:tc>
          <w:tcPr>
            <w:tcW w:w="3304" w:type="dxa"/>
            <w:noWrap/>
            <w:hideMark/>
          </w:tcPr>
          <w:p w14:paraId="2F73491F" w14:textId="18AE7CCF"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TCA CGT TTG CCG AGT CAG GAA C</w:t>
            </w:r>
          </w:p>
        </w:tc>
        <w:tc>
          <w:tcPr>
            <w:tcW w:w="3551" w:type="dxa"/>
            <w:noWrap/>
            <w:hideMark/>
          </w:tcPr>
          <w:p w14:paraId="74C8E4B4" w14:textId="78F6C785"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TGA CAG GTC ACT GCC TTC CTT G</w:t>
            </w:r>
          </w:p>
        </w:tc>
      </w:tr>
      <w:tr w:rsidR="00DE1660" w:rsidRPr="00EE0340" w14:paraId="0210A77C" w14:textId="77777777" w:rsidTr="003C0F46">
        <w:trPr>
          <w:trHeight w:val="300"/>
        </w:trPr>
        <w:tc>
          <w:tcPr>
            <w:tcW w:w="1399" w:type="dxa"/>
            <w:noWrap/>
            <w:hideMark/>
          </w:tcPr>
          <w:p w14:paraId="03D6A72E" w14:textId="2E512D9B"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JOSD1</w:t>
            </w:r>
          </w:p>
        </w:tc>
        <w:tc>
          <w:tcPr>
            <w:tcW w:w="3304" w:type="dxa"/>
            <w:noWrap/>
            <w:hideMark/>
          </w:tcPr>
          <w:p w14:paraId="5CD83B05" w14:textId="7B4F698C"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TCC AGG ACA GCA ATG CCT TCA C</w:t>
            </w:r>
          </w:p>
        </w:tc>
        <w:tc>
          <w:tcPr>
            <w:tcW w:w="3551" w:type="dxa"/>
            <w:noWrap/>
            <w:hideMark/>
          </w:tcPr>
          <w:p w14:paraId="6E5D0834" w14:textId="309122AF"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CAT GGT GTT TGG AGA CAA CCT CTG</w:t>
            </w:r>
          </w:p>
        </w:tc>
      </w:tr>
      <w:tr w:rsidR="00DE1660" w:rsidRPr="00EE0340" w14:paraId="37153F65" w14:textId="77777777" w:rsidTr="003C0F46">
        <w:trPr>
          <w:trHeight w:val="300"/>
        </w:trPr>
        <w:tc>
          <w:tcPr>
            <w:tcW w:w="1399" w:type="dxa"/>
            <w:noWrap/>
            <w:hideMark/>
          </w:tcPr>
          <w:p w14:paraId="53F5E56F" w14:textId="4AEC731C"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PTGS2</w:t>
            </w:r>
          </w:p>
        </w:tc>
        <w:tc>
          <w:tcPr>
            <w:tcW w:w="3304" w:type="dxa"/>
            <w:noWrap/>
            <w:hideMark/>
          </w:tcPr>
          <w:p w14:paraId="1B6FC5AB" w14:textId="6C08C359"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CCC TTG GGT GTC AAA GGT AA</w:t>
            </w:r>
          </w:p>
        </w:tc>
        <w:tc>
          <w:tcPr>
            <w:tcW w:w="3551" w:type="dxa"/>
            <w:noWrap/>
            <w:hideMark/>
          </w:tcPr>
          <w:p w14:paraId="29FF02A5" w14:textId="273B26CB"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GCC CTC GCT TAT GAT CTG TC</w:t>
            </w:r>
          </w:p>
        </w:tc>
      </w:tr>
      <w:tr w:rsidR="00DE1660" w:rsidRPr="00EE0340" w14:paraId="0F62C023" w14:textId="77777777" w:rsidTr="003C0F46">
        <w:trPr>
          <w:trHeight w:val="300"/>
        </w:trPr>
        <w:tc>
          <w:tcPr>
            <w:tcW w:w="1399" w:type="dxa"/>
            <w:noWrap/>
            <w:hideMark/>
          </w:tcPr>
          <w:p w14:paraId="452DDC29" w14:textId="234BFE28"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S1PR1</w:t>
            </w:r>
          </w:p>
        </w:tc>
        <w:tc>
          <w:tcPr>
            <w:tcW w:w="3304" w:type="dxa"/>
            <w:noWrap/>
            <w:hideMark/>
          </w:tcPr>
          <w:p w14:paraId="0B63DBE7" w14:textId="35621827"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ACG TAG GCT GTG GGA AGA TGA AG</w:t>
            </w:r>
          </w:p>
        </w:tc>
        <w:tc>
          <w:tcPr>
            <w:tcW w:w="3551" w:type="dxa"/>
            <w:noWrap/>
            <w:hideMark/>
          </w:tcPr>
          <w:p w14:paraId="10F7D994" w14:textId="0F455EEC"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TGG AAA CTT TGG CCT CAG CGA AG</w:t>
            </w:r>
          </w:p>
        </w:tc>
      </w:tr>
      <w:tr w:rsidR="00DE1660" w:rsidRPr="00EE0340" w14:paraId="08ED1607" w14:textId="77777777" w:rsidTr="003C0F46">
        <w:trPr>
          <w:trHeight w:val="300"/>
        </w:trPr>
        <w:tc>
          <w:tcPr>
            <w:tcW w:w="1399" w:type="dxa"/>
            <w:noWrap/>
            <w:hideMark/>
          </w:tcPr>
          <w:p w14:paraId="5A71A91F" w14:textId="73573389"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ASPP1</w:t>
            </w:r>
          </w:p>
        </w:tc>
        <w:tc>
          <w:tcPr>
            <w:tcW w:w="3304" w:type="dxa"/>
            <w:noWrap/>
            <w:hideMark/>
          </w:tcPr>
          <w:p w14:paraId="5572031F" w14:textId="73610AA0"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TTGTCCTCTCATTGCACG</w:t>
            </w:r>
          </w:p>
        </w:tc>
        <w:tc>
          <w:tcPr>
            <w:tcW w:w="3551" w:type="dxa"/>
            <w:noWrap/>
            <w:hideMark/>
          </w:tcPr>
          <w:p w14:paraId="11EE9594" w14:textId="6CE17FB4"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AACTTACCCTCTCAGAGC</w:t>
            </w:r>
          </w:p>
        </w:tc>
      </w:tr>
      <w:tr w:rsidR="00DE1660" w:rsidRPr="00EE0340" w14:paraId="52582EBB" w14:textId="77777777" w:rsidTr="003C0F46">
        <w:trPr>
          <w:trHeight w:val="300"/>
        </w:trPr>
        <w:tc>
          <w:tcPr>
            <w:tcW w:w="1399" w:type="dxa"/>
            <w:noWrap/>
            <w:hideMark/>
          </w:tcPr>
          <w:p w14:paraId="0A72B40F" w14:textId="21ED05AB" w:rsidR="00DE1660" w:rsidRPr="00EE0340" w:rsidRDefault="00DE1660" w:rsidP="0049254B">
            <w:pPr>
              <w:spacing w:line="480" w:lineRule="auto"/>
              <w:rPr>
                <w:rFonts w:cstheme="minorHAnsi"/>
                <w:sz w:val="20"/>
                <w:szCs w:val="20"/>
                <w:lang w:val="en-IN"/>
              </w:rPr>
            </w:pPr>
            <w:r w:rsidRPr="00EE0340">
              <w:rPr>
                <w:rFonts w:cstheme="minorHAnsi"/>
                <w:sz w:val="20"/>
                <w:szCs w:val="20"/>
              </w:rPr>
              <w:t>MDM2</w:t>
            </w:r>
          </w:p>
        </w:tc>
        <w:tc>
          <w:tcPr>
            <w:tcW w:w="3304" w:type="dxa"/>
            <w:noWrap/>
            <w:hideMark/>
          </w:tcPr>
          <w:p w14:paraId="6D7248B0" w14:textId="1CFF2C8B"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ATCAGCAGGAATCATCGGAC</w:t>
            </w:r>
          </w:p>
        </w:tc>
        <w:tc>
          <w:tcPr>
            <w:tcW w:w="3551" w:type="dxa"/>
            <w:noWrap/>
            <w:hideMark/>
          </w:tcPr>
          <w:p w14:paraId="545B6C57" w14:textId="045C858D"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CCAGGCTTTCATCAAAGGAA</w:t>
            </w:r>
          </w:p>
        </w:tc>
      </w:tr>
      <w:tr w:rsidR="00DE1660" w:rsidRPr="00EE0340" w14:paraId="6E58780A" w14:textId="77777777" w:rsidTr="003C0F46">
        <w:trPr>
          <w:trHeight w:val="300"/>
        </w:trPr>
        <w:tc>
          <w:tcPr>
            <w:tcW w:w="1399" w:type="dxa"/>
            <w:noWrap/>
            <w:hideMark/>
          </w:tcPr>
          <w:p w14:paraId="1C058FB5" w14:textId="6C7C1669" w:rsidR="00DE1660" w:rsidRPr="00EE0340" w:rsidRDefault="00DE1660" w:rsidP="0049254B">
            <w:pPr>
              <w:spacing w:line="480" w:lineRule="auto"/>
              <w:rPr>
                <w:rFonts w:cstheme="minorHAnsi"/>
                <w:sz w:val="20"/>
                <w:szCs w:val="20"/>
                <w:lang w:val="en-IN"/>
              </w:rPr>
            </w:pPr>
            <w:r w:rsidRPr="00EE0340">
              <w:rPr>
                <w:rFonts w:cstheme="minorHAnsi"/>
                <w:sz w:val="20"/>
                <w:szCs w:val="20"/>
              </w:rPr>
              <w:t>PUMA</w:t>
            </w:r>
          </w:p>
        </w:tc>
        <w:tc>
          <w:tcPr>
            <w:tcW w:w="3304" w:type="dxa"/>
            <w:noWrap/>
            <w:hideMark/>
          </w:tcPr>
          <w:p w14:paraId="1C66C914" w14:textId="6F74B014"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CCTGGAGGGTCCTGTACAATCT</w:t>
            </w:r>
          </w:p>
        </w:tc>
        <w:tc>
          <w:tcPr>
            <w:tcW w:w="3551" w:type="dxa"/>
            <w:noWrap/>
            <w:hideMark/>
          </w:tcPr>
          <w:p w14:paraId="2E3CD231" w14:textId="6A93EBDE"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GGACACAAGAAGAAAACCTTAATGC</w:t>
            </w:r>
          </w:p>
        </w:tc>
      </w:tr>
      <w:tr w:rsidR="00DE1660" w:rsidRPr="00EE0340" w14:paraId="1534ADA9" w14:textId="77777777" w:rsidTr="003C0F46">
        <w:trPr>
          <w:trHeight w:val="300"/>
        </w:trPr>
        <w:tc>
          <w:tcPr>
            <w:tcW w:w="1399" w:type="dxa"/>
            <w:noWrap/>
            <w:hideMark/>
          </w:tcPr>
          <w:p w14:paraId="53021A75" w14:textId="47CCA68C" w:rsidR="00DE1660" w:rsidRPr="00EE0340" w:rsidRDefault="00DE1660" w:rsidP="0049254B">
            <w:pPr>
              <w:spacing w:line="480" w:lineRule="auto"/>
              <w:rPr>
                <w:rFonts w:cstheme="minorHAnsi"/>
                <w:sz w:val="20"/>
                <w:szCs w:val="20"/>
                <w:lang w:val="en-IN"/>
              </w:rPr>
            </w:pPr>
            <w:r w:rsidRPr="00EE0340">
              <w:rPr>
                <w:rFonts w:cstheme="minorHAnsi"/>
                <w:sz w:val="20"/>
                <w:szCs w:val="20"/>
              </w:rPr>
              <w:t>NOXA</w:t>
            </w:r>
          </w:p>
        </w:tc>
        <w:tc>
          <w:tcPr>
            <w:tcW w:w="3304" w:type="dxa"/>
            <w:noWrap/>
            <w:hideMark/>
          </w:tcPr>
          <w:p w14:paraId="12BDDA0A" w14:textId="111E2F37"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AGCTGGAAGTCGAGTGTGCT</w:t>
            </w:r>
          </w:p>
        </w:tc>
        <w:tc>
          <w:tcPr>
            <w:tcW w:w="3551" w:type="dxa"/>
            <w:noWrap/>
            <w:hideMark/>
          </w:tcPr>
          <w:p w14:paraId="18627BD1" w14:textId="4E06091A"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TCCTGAGCAGAAGAGTTTGGA</w:t>
            </w:r>
          </w:p>
        </w:tc>
      </w:tr>
      <w:tr w:rsidR="00DE1660" w:rsidRPr="00EE0340" w14:paraId="38C55094" w14:textId="77777777" w:rsidTr="003C0F46">
        <w:trPr>
          <w:trHeight w:val="300"/>
        </w:trPr>
        <w:tc>
          <w:tcPr>
            <w:tcW w:w="1399" w:type="dxa"/>
            <w:noWrap/>
          </w:tcPr>
          <w:p w14:paraId="20F6F0BB" w14:textId="58980628" w:rsidR="00DE1660" w:rsidRPr="00EE0340" w:rsidRDefault="00DE1660" w:rsidP="0049254B">
            <w:pPr>
              <w:spacing w:line="480" w:lineRule="auto"/>
              <w:rPr>
                <w:rFonts w:cstheme="minorHAnsi"/>
                <w:sz w:val="20"/>
                <w:szCs w:val="20"/>
                <w:lang w:val="en-IN"/>
              </w:rPr>
            </w:pPr>
            <w:r w:rsidRPr="00EE0340">
              <w:rPr>
                <w:rFonts w:cstheme="minorHAnsi"/>
                <w:sz w:val="20"/>
                <w:szCs w:val="20"/>
              </w:rPr>
              <w:t>CDKN1A</w:t>
            </w:r>
          </w:p>
        </w:tc>
        <w:tc>
          <w:tcPr>
            <w:tcW w:w="3304" w:type="dxa"/>
            <w:noWrap/>
          </w:tcPr>
          <w:p w14:paraId="3C7E0296" w14:textId="5B3112F5"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CGCGACTGTGATGCGCTAATG</w:t>
            </w:r>
          </w:p>
        </w:tc>
        <w:tc>
          <w:tcPr>
            <w:tcW w:w="3551" w:type="dxa"/>
            <w:noWrap/>
          </w:tcPr>
          <w:p w14:paraId="4936075D" w14:textId="6EF79A0F" w:rsidR="00DE1660" w:rsidRPr="00EE0340" w:rsidRDefault="00DE1660" w:rsidP="0049254B">
            <w:pPr>
              <w:spacing w:line="480" w:lineRule="auto"/>
              <w:rPr>
                <w:rFonts w:cstheme="minorHAnsi"/>
                <w:sz w:val="20"/>
                <w:szCs w:val="20"/>
                <w:lang w:val="en-IN"/>
              </w:rPr>
            </w:pPr>
            <w:r w:rsidRPr="00EE0340">
              <w:rPr>
                <w:rFonts w:cstheme="minorHAnsi"/>
                <w:sz w:val="20"/>
                <w:szCs w:val="20"/>
                <w:lang w:val="en-IN"/>
              </w:rPr>
              <w:t>GGAACCTCTCA</w:t>
            </w:r>
            <w:r w:rsidR="0030501C" w:rsidRPr="00EE0340">
              <w:rPr>
                <w:rFonts w:cstheme="minorHAnsi"/>
                <w:sz w:val="20"/>
                <w:szCs w:val="20"/>
                <w:lang w:val="en-IN"/>
              </w:rPr>
              <w:t>TT</w:t>
            </w:r>
            <w:r w:rsidRPr="00EE0340">
              <w:rPr>
                <w:rFonts w:cstheme="minorHAnsi"/>
                <w:sz w:val="20"/>
                <w:szCs w:val="20"/>
                <w:lang w:val="en-IN"/>
              </w:rPr>
              <w:t>CAACCGCC</w:t>
            </w:r>
          </w:p>
        </w:tc>
      </w:tr>
      <w:tr w:rsidR="00DE1660" w:rsidRPr="00EE0340" w14:paraId="5C8D5765" w14:textId="77777777" w:rsidTr="003C0F46">
        <w:trPr>
          <w:trHeight w:val="300"/>
        </w:trPr>
        <w:tc>
          <w:tcPr>
            <w:tcW w:w="1399" w:type="dxa"/>
            <w:noWrap/>
          </w:tcPr>
          <w:p w14:paraId="04B116C9" w14:textId="1B1D2E19" w:rsidR="00DE1660" w:rsidRPr="00EE0340" w:rsidRDefault="00DE1660" w:rsidP="0049254B">
            <w:pPr>
              <w:spacing w:line="480" w:lineRule="auto"/>
              <w:rPr>
                <w:rFonts w:cstheme="minorHAnsi"/>
                <w:sz w:val="20"/>
                <w:szCs w:val="20"/>
              </w:rPr>
            </w:pPr>
            <w:r w:rsidRPr="00EE0340">
              <w:rPr>
                <w:rFonts w:cstheme="minorHAnsi"/>
                <w:sz w:val="20"/>
                <w:szCs w:val="20"/>
              </w:rPr>
              <w:t xml:space="preserve">BCL2   </w:t>
            </w:r>
          </w:p>
        </w:tc>
        <w:tc>
          <w:tcPr>
            <w:tcW w:w="3304" w:type="dxa"/>
            <w:noWrap/>
          </w:tcPr>
          <w:p w14:paraId="18C3C868" w14:textId="497E3585" w:rsidR="00DE1660" w:rsidRPr="00EE0340" w:rsidRDefault="00DE1660" w:rsidP="0049254B">
            <w:pPr>
              <w:spacing w:line="480" w:lineRule="auto"/>
              <w:rPr>
                <w:rFonts w:cstheme="minorHAnsi"/>
                <w:sz w:val="20"/>
                <w:szCs w:val="20"/>
              </w:rPr>
            </w:pPr>
            <w:r w:rsidRPr="00EE0340">
              <w:rPr>
                <w:rFonts w:cstheme="minorHAnsi"/>
                <w:sz w:val="20"/>
                <w:szCs w:val="20"/>
                <w:lang w:val="en-IN"/>
              </w:rPr>
              <w:t xml:space="preserve">TGT GGA TGA CTG AGT ACC TGA ACC      </w:t>
            </w:r>
          </w:p>
        </w:tc>
        <w:tc>
          <w:tcPr>
            <w:tcW w:w="3551" w:type="dxa"/>
            <w:noWrap/>
          </w:tcPr>
          <w:p w14:paraId="29EBF7C7" w14:textId="09D81140" w:rsidR="00DE1660" w:rsidRPr="00EE0340" w:rsidRDefault="00DE1660" w:rsidP="0049254B">
            <w:pPr>
              <w:spacing w:line="480" w:lineRule="auto"/>
              <w:rPr>
                <w:rFonts w:cstheme="minorHAnsi"/>
                <w:sz w:val="20"/>
                <w:szCs w:val="20"/>
              </w:rPr>
            </w:pPr>
            <w:r w:rsidRPr="00EE0340">
              <w:rPr>
                <w:rFonts w:cstheme="minorHAnsi"/>
                <w:sz w:val="20"/>
                <w:szCs w:val="20"/>
                <w:lang w:val="en-IN"/>
              </w:rPr>
              <w:t>GGAGAAATCCAGAGGCCGCAT</w:t>
            </w:r>
          </w:p>
        </w:tc>
      </w:tr>
      <w:tr w:rsidR="00DE1660" w:rsidRPr="00EE0340" w14:paraId="499383F7" w14:textId="77777777" w:rsidTr="003C0F46">
        <w:trPr>
          <w:trHeight w:val="300"/>
        </w:trPr>
        <w:tc>
          <w:tcPr>
            <w:tcW w:w="1399" w:type="dxa"/>
            <w:noWrap/>
          </w:tcPr>
          <w:p w14:paraId="355EB02F" w14:textId="411A873C" w:rsidR="00DE1660" w:rsidRPr="00EE0340" w:rsidRDefault="00DE1660" w:rsidP="0049254B">
            <w:pPr>
              <w:spacing w:line="480" w:lineRule="auto"/>
              <w:rPr>
                <w:rFonts w:cstheme="minorHAnsi"/>
                <w:sz w:val="20"/>
                <w:szCs w:val="20"/>
              </w:rPr>
            </w:pPr>
            <w:r w:rsidRPr="00EE0340">
              <w:rPr>
                <w:rFonts w:cstheme="minorHAnsi"/>
                <w:sz w:val="20"/>
                <w:szCs w:val="20"/>
              </w:rPr>
              <w:t>BCL-XL</w:t>
            </w:r>
          </w:p>
        </w:tc>
        <w:tc>
          <w:tcPr>
            <w:tcW w:w="3304" w:type="dxa"/>
            <w:noWrap/>
          </w:tcPr>
          <w:p w14:paraId="0C99C389" w14:textId="31C2F179" w:rsidR="00DE1660" w:rsidRPr="00EE0340" w:rsidRDefault="00DE1660" w:rsidP="0049254B">
            <w:pPr>
              <w:spacing w:line="480" w:lineRule="auto"/>
              <w:rPr>
                <w:rFonts w:cstheme="minorHAnsi"/>
                <w:sz w:val="20"/>
                <w:szCs w:val="20"/>
              </w:rPr>
            </w:pPr>
            <w:r w:rsidRPr="00EE0340">
              <w:rPr>
                <w:rFonts w:cstheme="minorHAnsi"/>
                <w:sz w:val="20"/>
                <w:szCs w:val="20"/>
                <w:lang w:val="en-IN"/>
              </w:rPr>
              <w:t xml:space="preserve">GGA GAA CGG </w:t>
            </w:r>
            <w:proofErr w:type="spellStart"/>
            <w:r w:rsidRPr="00EE0340">
              <w:rPr>
                <w:rFonts w:cstheme="minorHAnsi"/>
                <w:sz w:val="20"/>
                <w:szCs w:val="20"/>
                <w:lang w:val="en-IN"/>
              </w:rPr>
              <w:t>CGG</w:t>
            </w:r>
            <w:proofErr w:type="spellEnd"/>
            <w:r w:rsidRPr="00EE0340">
              <w:rPr>
                <w:rFonts w:cstheme="minorHAnsi"/>
                <w:sz w:val="20"/>
                <w:szCs w:val="20"/>
                <w:lang w:val="en-IN"/>
              </w:rPr>
              <w:t xml:space="preserve"> CTG GGA TA</w:t>
            </w:r>
          </w:p>
        </w:tc>
        <w:tc>
          <w:tcPr>
            <w:tcW w:w="3551" w:type="dxa"/>
            <w:noWrap/>
          </w:tcPr>
          <w:p w14:paraId="01EF04B0" w14:textId="1EB67F48" w:rsidR="00DE1660" w:rsidRPr="00EE0340" w:rsidRDefault="00DE1660" w:rsidP="0049254B">
            <w:pPr>
              <w:spacing w:line="480" w:lineRule="auto"/>
              <w:rPr>
                <w:rFonts w:cstheme="minorHAnsi"/>
                <w:sz w:val="20"/>
                <w:szCs w:val="20"/>
              </w:rPr>
            </w:pPr>
            <w:r w:rsidRPr="00EE0340">
              <w:rPr>
                <w:rFonts w:cstheme="minorHAnsi"/>
                <w:sz w:val="20"/>
                <w:szCs w:val="20"/>
                <w:lang w:val="en-IN"/>
              </w:rPr>
              <w:t>GGC CAC AGT CAT GCC CGT CA</w:t>
            </w:r>
          </w:p>
        </w:tc>
      </w:tr>
      <w:tr w:rsidR="00DE1660" w:rsidRPr="00EE0340" w14:paraId="2D0BCBB3" w14:textId="77777777" w:rsidTr="003C0F46">
        <w:trPr>
          <w:trHeight w:val="300"/>
        </w:trPr>
        <w:tc>
          <w:tcPr>
            <w:tcW w:w="1399" w:type="dxa"/>
            <w:noWrap/>
          </w:tcPr>
          <w:p w14:paraId="3B3A8522" w14:textId="5A3DBC34" w:rsidR="00DE1660" w:rsidRPr="00EE0340" w:rsidRDefault="00DE1660" w:rsidP="0049254B">
            <w:pPr>
              <w:spacing w:line="480" w:lineRule="auto"/>
              <w:rPr>
                <w:rFonts w:cstheme="minorHAnsi"/>
                <w:sz w:val="20"/>
                <w:szCs w:val="20"/>
              </w:rPr>
            </w:pPr>
            <w:r w:rsidRPr="00EE0340">
              <w:rPr>
                <w:rFonts w:cstheme="minorHAnsi"/>
                <w:sz w:val="20"/>
                <w:szCs w:val="20"/>
              </w:rPr>
              <w:t>MCL1</w:t>
            </w:r>
          </w:p>
        </w:tc>
        <w:tc>
          <w:tcPr>
            <w:tcW w:w="3304" w:type="dxa"/>
            <w:noWrap/>
          </w:tcPr>
          <w:p w14:paraId="4F123122" w14:textId="0D6A08EF" w:rsidR="00DE1660" w:rsidRPr="00EE0340" w:rsidRDefault="00DE1660" w:rsidP="0049254B">
            <w:pPr>
              <w:spacing w:line="480" w:lineRule="auto"/>
              <w:rPr>
                <w:rFonts w:cstheme="minorHAnsi"/>
                <w:sz w:val="20"/>
                <w:szCs w:val="20"/>
              </w:rPr>
            </w:pPr>
            <w:r w:rsidRPr="00EE0340">
              <w:rPr>
                <w:rFonts w:cstheme="minorHAnsi"/>
                <w:sz w:val="20"/>
                <w:szCs w:val="20"/>
                <w:lang w:val="en-IN"/>
              </w:rPr>
              <w:t>CAT TCC TGA TGC CAC CTT CT</w:t>
            </w:r>
          </w:p>
        </w:tc>
        <w:tc>
          <w:tcPr>
            <w:tcW w:w="3551" w:type="dxa"/>
            <w:noWrap/>
          </w:tcPr>
          <w:p w14:paraId="07F3BFA5" w14:textId="37E57DD6" w:rsidR="00DE1660" w:rsidRPr="00EE0340" w:rsidRDefault="00DE1660" w:rsidP="0049254B">
            <w:pPr>
              <w:spacing w:line="480" w:lineRule="auto"/>
              <w:rPr>
                <w:rFonts w:cstheme="minorHAnsi"/>
                <w:sz w:val="20"/>
                <w:szCs w:val="20"/>
              </w:rPr>
            </w:pPr>
            <w:r w:rsidRPr="00EE0340">
              <w:rPr>
                <w:rFonts w:cstheme="minorHAnsi"/>
                <w:sz w:val="20"/>
                <w:szCs w:val="20"/>
                <w:lang w:val="en-IN"/>
              </w:rPr>
              <w:t>TCG TAA GGA CAA AAC GGG AC</w:t>
            </w:r>
          </w:p>
        </w:tc>
      </w:tr>
    </w:tbl>
    <w:p w14:paraId="243223EE" w14:textId="77777777" w:rsidR="00203F23" w:rsidRPr="00EE0340" w:rsidRDefault="00203F23" w:rsidP="0049254B">
      <w:pPr>
        <w:spacing w:line="480" w:lineRule="auto"/>
        <w:rPr>
          <w:rFonts w:cstheme="minorHAnsi"/>
          <w:sz w:val="20"/>
          <w:szCs w:val="20"/>
          <w:lang w:val="en-US"/>
        </w:rPr>
      </w:pPr>
    </w:p>
    <w:p w14:paraId="32991E74" w14:textId="7DB4A3DE" w:rsidR="00203F23" w:rsidRPr="00EE0340" w:rsidRDefault="00203F23" w:rsidP="0049254B">
      <w:pPr>
        <w:spacing w:line="480" w:lineRule="auto"/>
        <w:rPr>
          <w:rFonts w:cstheme="minorHAnsi"/>
          <w:b/>
          <w:bCs/>
          <w:sz w:val="28"/>
          <w:szCs w:val="28"/>
          <w:lang w:val="en-US"/>
        </w:rPr>
      </w:pPr>
      <w:r w:rsidRPr="00EE0340">
        <w:rPr>
          <w:rFonts w:cstheme="minorHAnsi"/>
          <w:b/>
          <w:bCs/>
          <w:sz w:val="28"/>
          <w:szCs w:val="28"/>
          <w:lang w:val="en-US"/>
        </w:rPr>
        <w:t>Additional references</w:t>
      </w:r>
    </w:p>
    <w:sdt>
      <w:sdtPr>
        <w:rPr>
          <w:rFonts w:ascii="Calibri" w:hAnsi="Calibri" w:cs="Calibri"/>
          <w:color w:val="000000"/>
        </w:rPr>
        <w:tag w:val="MENDELEY_BIBLIOGRAPHY"/>
        <w:id w:val="-269390579"/>
        <w:placeholder>
          <w:docPart w:val="DefaultPlaceholder_-1854013440"/>
        </w:placeholder>
      </w:sdtPr>
      <w:sdtContent>
        <w:p w14:paraId="31205B0D" w14:textId="77777777" w:rsidR="00EE0340" w:rsidRPr="00EE0340" w:rsidRDefault="00EE0340">
          <w:pPr>
            <w:autoSpaceDE w:val="0"/>
            <w:autoSpaceDN w:val="0"/>
            <w:ind w:hanging="640"/>
            <w:divId w:val="832455521"/>
            <w:rPr>
              <w:rFonts w:ascii="Calibri" w:eastAsia="Times New Roman" w:hAnsi="Calibri" w:cs="Calibri"/>
              <w:color w:val="000000"/>
              <w:kern w:val="0"/>
              <w14:ligatures w14:val="none"/>
            </w:rPr>
          </w:pPr>
          <w:r w:rsidRPr="00EE0340">
            <w:rPr>
              <w:rFonts w:ascii="Calibri" w:eastAsia="Times New Roman" w:hAnsi="Calibri" w:cs="Calibri"/>
              <w:color w:val="000000"/>
            </w:rPr>
            <w:t xml:space="preserve">1. </w:t>
          </w:r>
          <w:r w:rsidRPr="00EE0340">
            <w:rPr>
              <w:rFonts w:ascii="Calibri" w:eastAsia="Times New Roman" w:hAnsi="Calibri" w:cs="Calibri"/>
              <w:color w:val="000000"/>
            </w:rPr>
            <w:tab/>
            <w:t xml:space="preserve">Martin M. Cutadapt removes adapter sequences from high-throughput sequencing reads. </w:t>
          </w:r>
          <w:proofErr w:type="spellStart"/>
          <w:r w:rsidRPr="00EE0340">
            <w:rPr>
              <w:rFonts w:ascii="Calibri" w:eastAsia="Times New Roman" w:hAnsi="Calibri" w:cs="Calibri"/>
              <w:color w:val="000000"/>
            </w:rPr>
            <w:t>EMBnet</w:t>
          </w:r>
          <w:proofErr w:type="spellEnd"/>
          <w:r w:rsidRPr="00EE0340">
            <w:rPr>
              <w:rFonts w:ascii="Calibri" w:eastAsia="Times New Roman" w:hAnsi="Calibri" w:cs="Calibri"/>
              <w:color w:val="000000"/>
            </w:rPr>
            <w:t xml:space="preserve"> J. 2011;17(1):10. </w:t>
          </w:r>
        </w:p>
        <w:p w14:paraId="4151D1D2" w14:textId="77777777" w:rsidR="00EE0340" w:rsidRPr="00EE0340" w:rsidRDefault="00EE0340">
          <w:pPr>
            <w:autoSpaceDE w:val="0"/>
            <w:autoSpaceDN w:val="0"/>
            <w:ind w:hanging="640"/>
            <w:divId w:val="1972202798"/>
            <w:rPr>
              <w:rFonts w:ascii="Calibri" w:eastAsia="Times New Roman" w:hAnsi="Calibri" w:cs="Calibri"/>
              <w:color w:val="000000"/>
            </w:rPr>
          </w:pPr>
          <w:r w:rsidRPr="00EE0340">
            <w:rPr>
              <w:rFonts w:ascii="Calibri" w:eastAsia="Times New Roman" w:hAnsi="Calibri" w:cs="Calibri"/>
              <w:color w:val="000000"/>
            </w:rPr>
            <w:t xml:space="preserve">2. </w:t>
          </w:r>
          <w:r w:rsidRPr="00EE0340">
            <w:rPr>
              <w:rFonts w:ascii="Calibri" w:eastAsia="Times New Roman" w:hAnsi="Calibri" w:cs="Calibri"/>
              <w:color w:val="000000"/>
            </w:rPr>
            <w:tab/>
            <w:t xml:space="preserve">Dobin A, Davis CA, Schlesinger F, </w:t>
          </w:r>
          <w:proofErr w:type="spellStart"/>
          <w:r w:rsidRPr="00EE0340">
            <w:rPr>
              <w:rFonts w:ascii="Calibri" w:eastAsia="Times New Roman" w:hAnsi="Calibri" w:cs="Calibri"/>
              <w:color w:val="000000"/>
            </w:rPr>
            <w:t>Drenkow</w:t>
          </w:r>
          <w:proofErr w:type="spellEnd"/>
          <w:r w:rsidRPr="00EE0340">
            <w:rPr>
              <w:rFonts w:ascii="Calibri" w:eastAsia="Times New Roman" w:hAnsi="Calibri" w:cs="Calibri"/>
              <w:color w:val="000000"/>
            </w:rPr>
            <w:t xml:space="preserve"> J, Zaleski C, Jha S, et al. STAR: Ultrafast universal RNA-seq aligner. Bioinformatics. 2013;29(1):15–21. </w:t>
          </w:r>
        </w:p>
        <w:p w14:paraId="7AEB45CB" w14:textId="77777777" w:rsidR="00EE0340" w:rsidRPr="00EE0340" w:rsidRDefault="00EE0340">
          <w:pPr>
            <w:autoSpaceDE w:val="0"/>
            <w:autoSpaceDN w:val="0"/>
            <w:ind w:hanging="640"/>
            <w:divId w:val="692800847"/>
            <w:rPr>
              <w:rFonts w:ascii="Calibri" w:eastAsia="Times New Roman" w:hAnsi="Calibri" w:cs="Calibri"/>
              <w:color w:val="000000"/>
            </w:rPr>
          </w:pPr>
          <w:r w:rsidRPr="00EE0340">
            <w:rPr>
              <w:rFonts w:ascii="Calibri" w:eastAsia="Times New Roman" w:hAnsi="Calibri" w:cs="Calibri"/>
              <w:color w:val="000000"/>
            </w:rPr>
            <w:t xml:space="preserve">3. </w:t>
          </w:r>
          <w:r w:rsidRPr="00EE0340">
            <w:rPr>
              <w:rFonts w:ascii="Calibri" w:eastAsia="Times New Roman" w:hAnsi="Calibri" w:cs="Calibri"/>
              <w:color w:val="000000"/>
            </w:rPr>
            <w:tab/>
            <w:t xml:space="preserve">Anders S, </w:t>
          </w:r>
          <w:proofErr w:type="spellStart"/>
          <w:r w:rsidRPr="00EE0340">
            <w:rPr>
              <w:rFonts w:ascii="Calibri" w:eastAsia="Times New Roman" w:hAnsi="Calibri" w:cs="Calibri"/>
              <w:color w:val="000000"/>
            </w:rPr>
            <w:t>Pyl</w:t>
          </w:r>
          <w:proofErr w:type="spellEnd"/>
          <w:r w:rsidRPr="00EE0340">
            <w:rPr>
              <w:rFonts w:ascii="Calibri" w:eastAsia="Times New Roman" w:hAnsi="Calibri" w:cs="Calibri"/>
              <w:color w:val="000000"/>
            </w:rPr>
            <w:t xml:space="preserve"> PT, Huber W. </w:t>
          </w:r>
          <w:proofErr w:type="spellStart"/>
          <w:r w:rsidRPr="00EE0340">
            <w:rPr>
              <w:rFonts w:ascii="Calibri" w:eastAsia="Times New Roman" w:hAnsi="Calibri" w:cs="Calibri"/>
              <w:color w:val="000000"/>
            </w:rPr>
            <w:t>HTSeq</w:t>
          </w:r>
          <w:proofErr w:type="spellEnd"/>
          <w:r w:rsidRPr="00EE0340">
            <w:rPr>
              <w:rFonts w:ascii="Calibri" w:eastAsia="Times New Roman" w:hAnsi="Calibri" w:cs="Calibri"/>
              <w:color w:val="000000"/>
            </w:rPr>
            <w:t xml:space="preserve">-A Python framework to work with high-throughput sequencing data. Bioinformatics. 2015;31(2):166–9. </w:t>
          </w:r>
        </w:p>
        <w:p w14:paraId="2EE17B27" w14:textId="77777777" w:rsidR="00EE0340" w:rsidRPr="00EE0340" w:rsidRDefault="00EE0340">
          <w:pPr>
            <w:autoSpaceDE w:val="0"/>
            <w:autoSpaceDN w:val="0"/>
            <w:ind w:hanging="640"/>
            <w:divId w:val="1349991010"/>
            <w:rPr>
              <w:rFonts w:ascii="Calibri" w:eastAsia="Times New Roman" w:hAnsi="Calibri" w:cs="Calibri"/>
              <w:color w:val="000000"/>
            </w:rPr>
          </w:pPr>
          <w:r w:rsidRPr="00EE0340">
            <w:rPr>
              <w:rFonts w:ascii="Calibri" w:eastAsia="Times New Roman" w:hAnsi="Calibri" w:cs="Calibri"/>
              <w:color w:val="000000"/>
            </w:rPr>
            <w:lastRenderedPageBreak/>
            <w:t xml:space="preserve">4. </w:t>
          </w:r>
          <w:r w:rsidRPr="00EE0340">
            <w:rPr>
              <w:rFonts w:ascii="Calibri" w:eastAsia="Times New Roman" w:hAnsi="Calibri" w:cs="Calibri"/>
              <w:color w:val="000000"/>
            </w:rPr>
            <w:tab/>
            <w:t xml:space="preserve">Love MI, Huber W, Anders S. Moderated estimation of fold change and dispersion for RNA-seq data with DESeq2. Genome Biol. 2014;15(12):1–21. </w:t>
          </w:r>
        </w:p>
        <w:p w14:paraId="1B3E4B21" w14:textId="77777777" w:rsidR="00EE0340" w:rsidRPr="00EE0340" w:rsidRDefault="00EE0340">
          <w:pPr>
            <w:autoSpaceDE w:val="0"/>
            <w:autoSpaceDN w:val="0"/>
            <w:ind w:hanging="640"/>
            <w:divId w:val="134034381"/>
            <w:rPr>
              <w:rFonts w:ascii="Calibri" w:eastAsia="Times New Roman" w:hAnsi="Calibri" w:cs="Calibri"/>
              <w:color w:val="000000"/>
            </w:rPr>
          </w:pPr>
          <w:r w:rsidRPr="00EE0340">
            <w:rPr>
              <w:rFonts w:ascii="Calibri" w:eastAsia="Times New Roman" w:hAnsi="Calibri" w:cs="Calibri"/>
              <w:color w:val="000000"/>
            </w:rPr>
            <w:t xml:space="preserve">5. </w:t>
          </w:r>
          <w:r w:rsidRPr="00EE0340">
            <w:rPr>
              <w:rFonts w:ascii="Calibri" w:eastAsia="Times New Roman" w:hAnsi="Calibri" w:cs="Calibri"/>
              <w:color w:val="000000"/>
            </w:rPr>
            <w:tab/>
            <w:t xml:space="preserve">Köster J, </w:t>
          </w:r>
          <w:proofErr w:type="spellStart"/>
          <w:r w:rsidRPr="00EE0340">
            <w:rPr>
              <w:rFonts w:ascii="Calibri" w:eastAsia="Times New Roman" w:hAnsi="Calibri" w:cs="Calibri"/>
              <w:color w:val="000000"/>
            </w:rPr>
            <w:t>Rahmann</w:t>
          </w:r>
          <w:proofErr w:type="spellEnd"/>
          <w:r w:rsidRPr="00EE0340">
            <w:rPr>
              <w:rFonts w:ascii="Calibri" w:eastAsia="Times New Roman" w:hAnsi="Calibri" w:cs="Calibri"/>
              <w:color w:val="000000"/>
            </w:rPr>
            <w:t xml:space="preserve"> S. Snakemake-a scalable bioinformatics workflow engine. Bioinformatics. 2012;28(19):2520–2. </w:t>
          </w:r>
        </w:p>
        <w:p w14:paraId="3FD50129" w14:textId="77777777" w:rsidR="00EE0340" w:rsidRPr="00EE0340" w:rsidRDefault="00EE0340">
          <w:pPr>
            <w:autoSpaceDE w:val="0"/>
            <w:autoSpaceDN w:val="0"/>
            <w:ind w:hanging="640"/>
            <w:divId w:val="307368048"/>
            <w:rPr>
              <w:rFonts w:ascii="Calibri" w:eastAsia="Times New Roman" w:hAnsi="Calibri" w:cs="Calibri"/>
              <w:color w:val="000000"/>
            </w:rPr>
          </w:pPr>
          <w:r w:rsidRPr="00EE0340">
            <w:rPr>
              <w:rFonts w:ascii="Calibri" w:eastAsia="Times New Roman" w:hAnsi="Calibri" w:cs="Calibri"/>
              <w:color w:val="000000"/>
            </w:rPr>
            <w:t xml:space="preserve">6. </w:t>
          </w:r>
          <w:r w:rsidRPr="00EE0340">
            <w:rPr>
              <w:rFonts w:ascii="Calibri" w:eastAsia="Times New Roman" w:hAnsi="Calibri" w:cs="Calibri"/>
              <w:color w:val="000000"/>
            </w:rPr>
            <w:tab/>
            <w:t xml:space="preserve">Heinz S, Benner C, Spann N, Bertolino E, Lin YC, Laslo P, et al. Simple Combinations of Lineage-Determining Transcription Factors Prime </w:t>
          </w:r>
          <w:proofErr w:type="gramStart"/>
          <w:r w:rsidRPr="00EE0340">
            <w:rPr>
              <w:rFonts w:ascii="Calibri" w:eastAsia="Times New Roman" w:hAnsi="Calibri" w:cs="Calibri"/>
              <w:color w:val="000000"/>
            </w:rPr>
            <w:t>cis</w:t>
          </w:r>
          <w:proofErr w:type="gramEnd"/>
          <w:r w:rsidRPr="00EE0340">
            <w:rPr>
              <w:rFonts w:ascii="Calibri" w:eastAsia="Times New Roman" w:hAnsi="Calibri" w:cs="Calibri"/>
              <w:color w:val="000000"/>
            </w:rPr>
            <w:t>-Regulatory Elements Required for Macrophage and B Cell Identities. Mol Cell [Internet]. 2010 May 28 [cited 2025 Nov 25];38(4):576–89. Available from: https://www.sciencedirect.com/science/article/pii/S1097276510003667?via%3Dihub</w:t>
          </w:r>
        </w:p>
        <w:p w14:paraId="699A695E" w14:textId="77777777" w:rsidR="00EE0340" w:rsidRPr="00EE0340" w:rsidRDefault="00EE0340">
          <w:pPr>
            <w:autoSpaceDE w:val="0"/>
            <w:autoSpaceDN w:val="0"/>
            <w:ind w:hanging="640"/>
            <w:divId w:val="1881623269"/>
            <w:rPr>
              <w:rFonts w:ascii="Calibri" w:eastAsia="Times New Roman" w:hAnsi="Calibri" w:cs="Calibri"/>
              <w:color w:val="000000"/>
            </w:rPr>
          </w:pPr>
          <w:r w:rsidRPr="00EE0340">
            <w:rPr>
              <w:rFonts w:ascii="Calibri" w:eastAsia="Times New Roman" w:hAnsi="Calibri" w:cs="Calibri"/>
              <w:color w:val="000000"/>
            </w:rPr>
            <w:t xml:space="preserve">7. </w:t>
          </w:r>
          <w:r w:rsidRPr="00EE0340">
            <w:rPr>
              <w:rFonts w:ascii="Calibri" w:eastAsia="Times New Roman" w:hAnsi="Calibri" w:cs="Calibri"/>
              <w:color w:val="000000"/>
            </w:rPr>
            <w:tab/>
            <w:t xml:space="preserve">Subramanian A, Tamayo P, Mootha VK, Mukherjee S, Ebert BL, Gillette MA, et al. Gene set enrichment analysis: A knowledge-based approach for interpreting genome-wide expression profiles. Proc Natl </w:t>
          </w:r>
          <w:proofErr w:type="spellStart"/>
          <w:r w:rsidRPr="00EE0340">
            <w:rPr>
              <w:rFonts w:ascii="Calibri" w:eastAsia="Times New Roman" w:hAnsi="Calibri" w:cs="Calibri"/>
              <w:color w:val="000000"/>
            </w:rPr>
            <w:t>Acad</w:t>
          </w:r>
          <w:proofErr w:type="spellEnd"/>
          <w:r w:rsidRPr="00EE0340">
            <w:rPr>
              <w:rFonts w:ascii="Calibri" w:eastAsia="Times New Roman" w:hAnsi="Calibri" w:cs="Calibri"/>
              <w:color w:val="000000"/>
            </w:rPr>
            <w:t xml:space="preserve"> Sci U S A. 2005;102(43):15545–50. </w:t>
          </w:r>
        </w:p>
        <w:p w14:paraId="37321C70" w14:textId="63C9356E" w:rsidR="00203F23" w:rsidRDefault="00EE0340">
          <w:r w:rsidRPr="00EE0340">
            <w:rPr>
              <w:rFonts w:ascii="Calibri" w:eastAsia="Times New Roman" w:hAnsi="Calibri" w:cs="Calibri"/>
              <w:color w:val="000000"/>
            </w:rPr>
            <w:t> </w:t>
          </w:r>
        </w:p>
      </w:sdtContent>
    </w:sdt>
    <w:sectPr w:rsidR="00203F23" w:rsidSect="0049254B">
      <w:footerReference w:type="default" r:id="rId8"/>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3A9FC" w14:textId="77777777" w:rsidR="00355655" w:rsidRDefault="00355655" w:rsidP="00E07065">
      <w:r>
        <w:separator/>
      </w:r>
    </w:p>
  </w:endnote>
  <w:endnote w:type="continuationSeparator" w:id="0">
    <w:p w14:paraId="06A69A9A" w14:textId="77777777" w:rsidR="00355655" w:rsidRDefault="00355655" w:rsidP="00E07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3228304"/>
      <w:docPartObj>
        <w:docPartGallery w:val="Page Numbers (Bottom of Page)"/>
        <w:docPartUnique/>
      </w:docPartObj>
    </w:sdtPr>
    <w:sdtEndPr>
      <w:rPr>
        <w:noProof/>
      </w:rPr>
    </w:sdtEndPr>
    <w:sdtContent>
      <w:p w14:paraId="7CEEDCBE" w14:textId="215FA5F0" w:rsidR="0049254B" w:rsidRDefault="0049254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28FD5B" w14:textId="77777777" w:rsidR="0049254B" w:rsidRDefault="004925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984B4" w14:textId="77777777" w:rsidR="00355655" w:rsidRDefault="00355655" w:rsidP="00E07065">
      <w:r>
        <w:separator/>
      </w:r>
    </w:p>
  </w:footnote>
  <w:footnote w:type="continuationSeparator" w:id="0">
    <w:p w14:paraId="368B92AF" w14:textId="77777777" w:rsidR="00355655" w:rsidRDefault="00355655" w:rsidP="00E070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81805"/>
    <w:multiLevelType w:val="hybridMultilevel"/>
    <w:tmpl w:val="00C61774"/>
    <w:lvl w:ilvl="0" w:tplc="A6D2379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25D31"/>
    <w:multiLevelType w:val="hybridMultilevel"/>
    <w:tmpl w:val="9F18FA14"/>
    <w:lvl w:ilvl="0" w:tplc="79145064">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59A33E1"/>
    <w:multiLevelType w:val="hybridMultilevel"/>
    <w:tmpl w:val="18CCBA00"/>
    <w:lvl w:ilvl="0" w:tplc="6878416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B6C2EAC"/>
    <w:multiLevelType w:val="hybridMultilevel"/>
    <w:tmpl w:val="C4AA3C24"/>
    <w:lvl w:ilvl="0" w:tplc="5C7A2E5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8B0770"/>
    <w:multiLevelType w:val="hybridMultilevel"/>
    <w:tmpl w:val="61208594"/>
    <w:lvl w:ilvl="0" w:tplc="7B64313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3A520E"/>
    <w:multiLevelType w:val="hybridMultilevel"/>
    <w:tmpl w:val="C3564C32"/>
    <w:lvl w:ilvl="0" w:tplc="FB883D58">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8292542">
    <w:abstractNumId w:val="5"/>
  </w:num>
  <w:num w:numId="2" w16cid:durableId="1255280608">
    <w:abstractNumId w:val="3"/>
  </w:num>
  <w:num w:numId="3" w16cid:durableId="1102607826">
    <w:abstractNumId w:val="4"/>
  </w:num>
  <w:num w:numId="4" w16cid:durableId="2061901393">
    <w:abstractNumId w:val="0"/>
  </w:num>
  <w:num w:numId="5" w16cid:durableId="1480227876">
    <w:abstractNumId w:val="2"/>
  </w:num>
  <w:num w:numId="6" w16cid:durableId="4761489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659"/>
    <w:rsid w:val="00006EB7"/>
    <w:rsid w:val="00050ADA"/>
    <w:rsid w:val="00054BDA"/>
    <w:rsid w:val="00076950"/>
    <w:rsid w:val="0008491D"/>
    <w:rsid w:val="00097679"/>
    <w:rsid w:val="000A01D8"/>
    <w:rsid w:val="000B7646"/>
    <w:rsid w:val="00131A27"/>
    <w:rsid w:val="0015476A"/>
    <w:rsid w:val="00164A04"/>
    <w:rsid w:val="00176CE1"/>
    <w:rsid w:val="001A71B9"/>
    <w:rsid w:val="001B5A40"/>
    <w:rsid w:val="001B637B"/>
    <w:rsid w:val="00203F23"/>
    <w:rsid w:val="002151FD"/>
    <w:rsid w:val="00216BB8"/>
    <w:rsid w:val="002521DE"/>
    <w:rsid w:val="00283835"/>
    <w:rsid w:val="002963CC"/>
    <w:rsid w:val="002C6EFF"/>
    <w:rsid w:val="002F0AF4"/>
    <w:rsid w:val="002F3C46"/>
    <w:rsid w:val="0030501C"/>
    <w:rsid w:val="0031051B"/>
    <w:rsid w:val="00337659"/>
    <w:rsid w:val="003451DF"/>
    <w:rsid w:val="0034768E"/>
    <w:rsid w:val="00355655"/>
    <w:rsid w:val="00360397"/>
    <w:rsid w:val="0037525F"/>
    <w:rsid w:val="00383F30"/>
    <w:rsid w:val="00392376"/>
    <w:rsid w:val="00393B2D"/>
    <w:rsid w:val="003B30A0"/>
    <w:rsid w:val="003B494C"/>
    <w:rsid w:val="003C0F46"/>
    <w:rsid w:val="004045DF"/>
    <w:rsid w:val="0041485B"/>
    <w:rsid w:val="0042398B"/>
    <w:rsid w:val="00433D7F"/>
    <w:rsid w:val="00455A1E"/>
    <w:rsid w:val="0046317F"/>
    <w:rsid w:val="00467D6D"/>
    <w:rsid w:val="0049254B"/>
    <w:rsid w:val="004960B1"/>
    <w:rsid w:val="004A3EF5"/>
    <w:rsid w:val="004F58A6"/>
    <w:rsid w:val="00512935"/>
    <w:rsid w:val="005338DA"/>
    <w:rsid w:val="00550A61"/>
    <w:rsid w:val="00560823"/>
    <w:rsid w:val="005C0442"/>
    <w:rsid w:val="005C5C80"/>
    <w:rsid w:val="005C5F87"/>
    <w:rsid w:val="006005DB"/>
    <w:rsid w:val="00620104"/>
    <w:rsid w:val="00620F0A"/>
    <w:rsid w:val="00622824"/>
    <w:rsid w:val="006634FA"/>
    <w:rsid w:val="0068209D"/>
    <w:rsid w:val="006C5209"/>
    <w:rsid w:val="006E0910"/>
    <w:rsid w:val="006F7563"/>
    <w:rsid w:val="007078AE"/>
    <w:rsid w:val="0071184C"/>
    <w:rsid w:val="00721403"/>
    <w:rsid w:val="00757063"/>
    <w:rsid w:val="00765051"/>
    <w:rsid w:val="0076653B"/>
    <w:rsid w:val="00774CB1"/>
    <w:rsid w:val="00791AF2"/>
    <w:rsid w:val="007B3217"/>
    <w:rsid w:val="007C5F5D"/>
    <w:rsid w:val="007E0E61"/>
    <w:rsid w:val="007F5B09"/>
    <w:rsid w:val="0082359B"/>
    <w:rsid w:val="008775C9"/>
    <w:rsid w:val="008825B1"/>
    <w:rsid w:val="00892E3B"/>
    <w:rsid w:val="008A6C20"/>
    <w:rsid w:val="008B73B2"/>
    <w:rsid w:val="008B7872"/>
    <w:rsid w:val="008E7C52"/>
    <w:rsid w:val="00907FEB"/>
    <w:rsid w:val="009D32C1"/>
    <w:rsid w:val="009E5F72"/>
    <w:rsid w:val="009E7790"/>
    <w:rsid w:val="00A219BB"/>
    <w:rsid w:val="00A21CC0"/>
    <w:rsid w:val="00A25D83"/>
    <w:rsid w:val="00A57466"/>
    <w:rsid w:val="00A72033"/>
    <w:rsid w:val="00A87193"/>
    <w:rsid w:val="00AC2097"/>
    <w:rsid w:val="00AD2384"/>
    <w:rsid w:val="00B13E58"/>
    <w:rsid w:val="00B5243D"/>
    <w:rsid w:val="00BA5A28"/>
    <w:rsid w:val="00BB5974"/>
    <w:rsid w:val="00BC6B38"/>
    <w:rsid w:val="00BD1513"/>
    <w:rsid w:val="00BD314C"/>
    <w:rsid w:val="00BD3EDD"/>
    <w:rsid w:val="00BF4FBC"/>
    <w:rsid w:val="00C11BC0"/>
    <w:rsid w:val="00C61CCA"/>
    <w:rsid w:val="00C6204A"/>
    <w:rsid w:val="00C765A6"/>
    <w:rsid w:val="00C95B98"/>
    <w:rsid w:val="00CA597A"/>
    <w:rsid w:val="00CC3A32"/>
    <w:rsid w:val="00CD6EFA"/>
    <w:rsid w:val="00CF4DC0"/>
    <w:rsid w:val="00CF7E15"/>
    <w:rsid w:val="00D01E07"/>
    <w:rsid w:val="00D17588"/>
    <w:rsid w:val="00D3601B"/>
    <w:rsid w:val="00D41B75"/>
    <w:rsid w:val="00D46D06"/>
    <w:rsid w:val="00D73DA2"/>
    <w:rsid w:val="00D76EE6"/>
    <w:rsid w:val="00D908A8"/>
    <w:rsid w:val="00DC36E1"/>
    <w:rsid w:val="00DC4F90"/>
    <w:rsid w:val="00DE1660"/>
    <w:rsid w:val="00DE391E"/>
    <w:rsid w:val="00DE7B6A"/>
    <w:rsid w:val="00E00B82"/>
    <w:rsid w:val="00E02D60"/>
    <w:rsid w:val="00E07065"/>
    <w:rsid w:val="00E11D59"/>
    <w:rsid w:val="00E13A44"/>
    <w:rsid w:val="00E41BA3"/>
    <w:rsid w:val="00E42B3A"/>
    <w:rsid w:val="00E4529B"/>
    <w:rsid w:val="00E70171"/>
    <w:rsid w:val="00E701B3"/>
    <w:rsid w:val="00E76AAD"/>
    <w:rsid w:val="00ED43D7"/>
    <w:rsid w:val="00EE0340"/>
    <w:rsid w:val="00EE7517"/>
    <w:rsid w:val="00F153D9"/>
    <w:rsid w:val="00F26A3E"/>
    <w:rsid w:val="00F548A7"/>
    <w:rsid w:val="00F65931"/>
    <w:rsid w:val="00F81591"/>
    <w:rsid w:val="00F96095"/>
    <w:rsid w:val="00F974D9"/>
    <w:rsid w:val="00FA18E4"/>
    <w:rsid w:val="00FA45D0"/>
    <w:rsid w:val="00FB5DEA"/>
    <w:rsid w:val="00FD0A5C"/>
    <w:rsid w:val="00FD504A"/>
    <w:rsid w:val="00FE15A3"/>
  </w:rsids>
  <m:mathPr>
    <m:mathFont m:val="Cambria Math"/>
    <m:brkBin m:val="before"/>
    <m:brkBinSub m:val="--"/>
    <m:smallFrac m:val="0"/>
    <m:dispDef/>
    <m:lMargin m:val="0"/>
    <m:rMargin m:val="0"/>
    <m:defJc m:val="centerGroup"/>
    <m:wrapIndent m:val="1440"/>
    <m:intLim m:val="subSup"/>
    <m:naryLim m:val="undOvr"/>
  </m:mathPr>
  <w:themeFontLang w:val="en-I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FC977E"/>
  <w15:chartTrackingRefBased/>
  <w15:docId w15:val="{59A49F15-AC03-034E-B4D6-E490D3BD8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0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A3EF5"/>
    <w:rPr>
      <w:sz w:val="22"/>
      <w:szCs w:val="22"/>
      <w:lang w:val="en-US"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A3EF5"/>
    <w:pPr>
      <w:ind w:left="720"/>
      <w:contextualSpacing/>
    </w:pPr>
  </w:style>
  <w:style w:type="character" w:styleId="CommentReference">
    <w:name w:val="annotation reference"/>
    <w:basedOn w:val="DefaultParagraphFont"/>
    <w:uiPriority w:val="99"/>
    <w:semiHidden/>
    <w:unhideWhenUsed/>
    <w:rsid w:val="006C5209"/>
    <w:rPr>
      <w:sz w:val="16"/>
      <w:szCs w:val="16"/>
    </w:rPr>
  </w:style>
  <w:style w:type="paragraph" w:styleId="CommentText">
    <w:name w:val="annotation text"/>
    <w:basedOn w:val="Normal"/>
    <w:link w:val="CommentTextChar"/>
    <w:uiPriority w:val="99"/>
    <w:semiHidden/>
    <w:unhideWhenUsed/>
    <w:rsid w:val="006C5209"/>
    <w:pPr>
      <w:spacing w:after="160"/>
    </w:pPr>
    <w:rPr>
      <w:sz w:val="20"/>
      <w:szCs w:val="20"/>
      <w:lang w:val="en-US" w:bidi="he-IL"/>
    </w:rPr>
  </w:style>
  <w:style w:type="character" w:customStyle="1" w:styleId="CommentTextChar">
    <w:name w:val="Comment Text Char"/>
    <w:basedOn w:val="DefaultParagraphFont"/>
    <w:link w:val="CommentText"/>
    <w:uiPriority w:val="99"/>
    <w:semiHidden/>
    <w:rsid w:val="006C5209"/>
    <w:rPr>
      <w:sz w:val="20"/>
      <w:szCs w:val="20"/>
      <w:lang w:val="en-US" w:bidi="he-IL"/>
    </w:rPr>
  </w:style>
  <w:style w:type="paragraph" w:styleId="Header">
    <w:name w:val="header"/>
    <w:basedOn w:val="Normal"/>
    <w:link w:val="HeaderChar"/>
    <w:uiPriority w:val="99"/>
    <w:unhideWhenUsed/>
    <w:rsid w:val="00E07065"/>
    <w:pPr>
      <w:tabs>
        <w:tab w:val="center" w:pos="4153"/>
        <w:tab w:val="right" w:pos="8306"/>
      </w:tabs>
    </w:pPr>
  </w:style>
  <w:style w:type="character" w:customStyle="1" w:styleId="HeaderChar">
    <w:name w:val="Header Char"/>
    <w:basedOn w:val="DefaultParagraphFont"/>
    <w:link w:val="Header"/>
    <w:uiPriority w:val="99"/>
    <w:rsid w:val="00E07065"/>
  </w:style>
  <w:style w:type="paragraph" w:styleId="Footer">
    <w:name w:val="footer"/>
    <w:basedOn w:val="Normal"/>
    <w:link w:val="FooterChar"/>
    <w:uiPriority w:val="99"/>
    <w:unhideWhenUsed/>
    <w:rsid w:val="00E07065"/>
    <w:pPr>
      <w:tabs>
        <w:tab w:val="center" w:pos="4153"/>
        <w:tab w:val="right" w:pos="8306"/>
      </w:tabs>
    </w:pPr>
  </w:style>
  <w:style w:type="character" w:customStyle="1" w:styleId="FooterChar">
    <w:name w:val="Footer Char"/>
    <w:basedOn w:val="DefaultParagraphFont"/>
    <w:link w:val="Footer"/>
    <w:uiPriority w:val="99"/>
    <w:rsid w:val="00E07065"/>
  </w:style>
  <w:style w:type="paragraph" w:styleId="CommentSubject">
    <w:name w:val="annotation subject"/>
    <w:basedOn w:val="CommentText"/>
    <w:next w:val="CommentText"/>
    <w:link w:val="CommentSubjectChar"/>
    <w:uiPriority w:val="99"/>
    <w:semiHidden/>
    <w:unhideWhenUsed/>
    <w:rsid w:val="0034768E"/>
    <w:pPr>
      <w:spacing w:after="0"/>
    </w:pPr>
    <w:rPr>
      <w:b/>
      <w:bCs/>
      <w:lang w:val="en-IN" w:bidi="ar-SA"/>
    </w:rPr>
  </w:style>
  <w:style w:type="character" w:customStyle="1" w:styleId="CommentSubjectChar">
    <w:name w:val="Comment Subject Char"/>
    <w:basedOn w:val="CommentTextChar"/>
    <w:link w:val="CommentSubject"/>
    <w:uiPriority w:val="99"/>
    <w:semiHidden/>
    <w:rsid w:val="0034768E"/>
    <w:rPr>
      <w:b/>
      <w:bCs/>
      <w:sz w:val="20"/>
      <w:szCs w:val="20"/>
      <w:lang w:val="en-US" w:bidi="he-IL"/>
    </w:rPr>
  </w:style>
  <w:style w:type="character" w:styleId="LineNumber">
    <w:name w:val="line number"/>
    <w:basedOn w:val="DefaultParagraphFont"/>
    <w:uiPriority w:val="99"/>
    <w:semiHidden/>
    <w:unhideWhenUsed/>
    <w:rsid w:val="0049254B"/>
  </w:style>
  <w:style w:type="character" w:styleId="PlaceholderText">
    <w:name w:val="Placeholder Text"/>
    <w:basedOn w:val="DefaultParagraphFont"/>
    <w:uiPriority w:val="99"/>
    <w:semiHidden/>
    <w:rsid w:val="00203F23"/>
    <w:rPr>
      <w:color w:val="666666"/>
    </w:rPr>
  </w:style>
  <w:style w:type="paragraph" w:styleId="NormalWeb">
    <w:name w:val="Normal (Web)"/>
    <w:basedOn w:val="Normal"/>
    <w:uiPriority w:val="99"/>
    <w:semiHidden/>
    <w:unhideWhenUsed/>
    <w:rsid w:val="00467D6D"/>
    <w:rPr>
      <w:rFonts w:ascii="Times New Roman" w:hAnsi="Times New Roman" w:cs="Times New Roman"/>
    </w:rPr>
  </w:style>
  <w:style w:type="paragraph" w:styleId="Revision">
    <w:name w:val="Revision"/>
    <w:hidden/>
    <w:uiPriority w:val="99"/>
    <w:semiHidden/>
    <w:rsid w:val="000B76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39467">
      <w:marLeft w:val="640"/>
      <w:marRight w:val="0"/>
      <w:marTop w:val="0"/>
      <w:marBottom w:val="0"/>
      <w:divBdr>
        <w:top w:val="none" w:sz="0" w:space="0" w:color="auto"/>
        <w:left w:val="none" w:sz="0" w:space="0" w:color="auto"/>
        <w:bottom w:val="none" w:sz="0" w:space="0" w:color="auto"/>
        <w:right w:val="none" w:sz="0" w:space="0" w:color="auto"/>
      </w:divBdr>
    </w:div>
    <w:div w:id="38210901">
      <w:marLeft w:val="640"/>
      <w:marRight w:val="0"/>
      <w:marTop w:val="0"/>
      <w:marBottom w:val="0"/>
      <w:divBdr>
        <w:top w:val="none" w:sz="0" w:space="0" w:color="auto"/>
        <w:left w:val="none" w:sz="0" w:space="0" w:color="auto"/>
        <w:bottom w:val="none" w:sz="0" w:space="0" w:color="auto"/>
        <w:right w:val="none" w:sz="0" w:space="0" w:color="auto"/>
      </w:divBdr>
    </w:div>
    <w:div w:id="38477812">
      <w:marLeft w:val="640"/>
      <w:marRight w:val="0"/>
      <w:marTop w:val="0"/>
      <w:marBottom w:val="0"/>
      <w:divBdr>
        <w:top w:val="none" w:sz="0" w:space="0" w:color="auto"/>
        <w:left w:val="none" w:sz="0" w:space="0" w:color="auto"/>
        <w:bottom w:val="none" w:sz="0" w:space="0" w:color="auto"/>
        <w:right w:val="none" w:sz="0" w:space="0" w:color="auto"/>
      </w:divBdr>
    </w:div>
    <w:div w:id="58746401">
      <w:marLeft w:val="640"/>
      <w:marRight w:val="0"/>
      <w:marTop w:val="0"/>
      <w:marBottom w:val="0"/>
      <w:divBdr>
        <w:top w:val="none" w:sz="0" w:space="0" w:color="auto"/>
        <w:left w:val="none" w:sz="0" w:space="0" w:color="auto"/>
        <w:bottom w:val="none" w:sz="0" w:space="0" w:color="auto"/>
        <w:right w:val="none" w:sz="0" w:space="0" w:color="auto"/>
      </w:divBdr>
    </w:div>
    <w:div w:id="78212816">
      <w:marLeft w:val="640"/>
      <w:marRight w:val="0"/>
      <w:marTop w:val="0"/>
      <w:marBottom w:val="0"/>
      <w:divBdr>
        <w:top w:val="none" w:sz="0" w:space="0" w:color="auto"/>
        <w:left w:val="none" w:sz="0" w:space="0" w:color="auto"/>
        <w:bottom w:val="none" w:sz="0" w:space="0" w:color="auto"/>
        <w:right w:val="none" w:sz="0" w:space="0" w:color="auto"/>
      </w:divBdr>
    </w:div>
    <w:div w:id="82146701">
      <w:marLeft w:val="640"/>
      <w:marRight w:val="0"/>
      <w:marTop w:val="0"/>
      <w:marBottom w:val="0"/>
      <w:divBdr>
        <w:top w:val="none" w:sz="0" w:space="0" w:color="auto"/>
        <w:left w:val="none" w:sz="0" w:space="0" w:color="auto"/>
        <w:bottom w:val="none" w:sz="0" w:space="0" w:color="auto"/>
        <w:right w:val="none" w:sz="0" w:space="0" w:color="auto"/>
      </w:divBdr>
    </w:div>
    <w:div w:id="114831849">
      <w:marLeft w:val="640"/>
      <w:marRight w:val="0"/>
      <w:marTop w:val="0"/>
      <w:marBottom w:val="0"/>
      <w:divBdr>
        <w:top w:val="none" w:sz="0" w:space="0" w:color="auto"/>
        <w:left w:val="none" w:sz="0" w:space="0" w:color="auto"/>
        <w:bottom w:val="none" w:sz="0" w:space="0" w:color="auto"/>
        <w:right w:val="none" w:sz="0" w:space="0" w:color="auto"/>
      </w:divBdr>
    </w:div>
    <w:div w:id="117576171">
      <w:marLeft w:val="640"/>
      <w:marRight w:val="0"/>
      <w:marTop w:val="0"/>
      <w:marBottom w:val="0"/>
      <w:divBdr>
        <w:top w:val="none" w:sz="0" w:space="0" w:color="auto"/>
        <w:left w:val="none" w:sz="0" w:space="0" w:color="auto"/>
        <w:bottom w:val="none" w:sz="0" w:space="0" w:color="auto"/>
        <w:right w:val="none" w:sz="0" w:space="0" w:color="auto"/>
      </w:divBdr>
    </w:div>
    <w:div w:id="119879916">
      <w:marLeft w:val="640"/>
      <w:marRight w:val="0"/>
      <w:marTop w:val="0"/>
      <w:marBottom w:val="0"/>
      <w:divBdr>
        <w:top w:val="none" w:sz="0" w:space="0" w:color="auto"/>
        <w:left w:val="none" w:sz="0" w:space="0" w:color="auto"/>
        <w:bottom w:val="none" w:sz="0" w:space="0" w:color="auto"/>
        <w:right w:val="none" w:sz="0" w:space="0" w:color="auto"/>
      </w:divBdr>
    </w:div>
    <w:div w:id="130178487">
      <w:bodyDiv w:val="1"/>
      <w:marLeft w:val="0"/>
      <w:marRight w:val="0"/>
      <w:marTop w:val="0"/>
      <w:marBottom w:val="0"/>
      <w:divBdr>
        <w:top w:val="none" w:sz="0" w:space="0" w:color="auto"/>
        <w:left w:val="none" w:sz="0" w:space="0" w:color="auto"/>
        <w:bottom w:val="none" w:sz="0" w:space="0" w:color="auto"/>
        <w:right w:val="none" w:sz="0" w:space="0" w:color="auto"/>
      </w:divBdr>
    </w:div>
    <w:div w:id="134034381">
      <w:marLeft w:val="640"/>
      <w:marRight w:val="0"/>
      <w:marTop w:val="0"/>
      <w:marBottom w:val="0"/>
      <w:divBdr>
        <w:top w:val="none" w:sz="0" w:space="0" w:color="auto"/>
        <w:left w:val="none" w:sz="0" w:space="0" w:color="auto"/>
        <w:bottom w:val="none" w:sz="0" w:space="0" w:color="auto"/>
        <w:right w:val="none" w:sz="0" w:space="0" w:color="auto"/>
      </w:divBdr>
    </w:div>
    <w:div w:id="147744054">
      <w:marLeft w:val="640"/>
      <w:marRight w:val="0"/>
      <w:marTop w:val="0"/>
      <w:marBottom w:val="0"/>
      <w:divBdr>
        <w:top w:val="none" w:sz="0" w:space="0" w:color="auto"/>
        <w:left w:val="none" w:sz="0" w:space="0" w:color="auto"/>
        <w:bottom w:val="none" w:sz="0" w:space="0" w:color="auto"/>
        <w:right w:val="none" w:sz="0" w:space="0" w:color="auto"/>
      </w:divBdr>
    </w:div>
    <w:div w:id="149753357">
      <w:marLeft w:val="640"/>
      <w:marRight w:val="0"/>
      <w:marTop w:val="0"/>
      <w:marBottom w:val="0"/>
      <w:divBdr>
        <w:top w:val="none" w:sz="0" w:space="0" w:color="auto"/>
        <w:left w:val="none" w:sz="0" w:space="0" w:color="auto"/>
        <w:bottom w:val="none" w:sz="0" w:space="0" w:color="auto"/>
        <w:right w:val="none" w:sz="0" w:space="0" w:color="auto"/>
      </w:divBdr>
    </w:div>
    <w:div w:id="161089195">
      <w:marLeft w:val="640"/>
      <w:marRight w:val="0"/>
      <w:marTop w:val="0"/>
      <w:marBottom w:val="0"/>
      <w:divBdr>
        <w:top w:val="none" w:sz="0" w:space="0" w:color="auto"/>
        <w:left w:val="none" w:sz="0" w:space="0" w:color="auto"/>
        <w:bottom w:val="none" w:sz="0" w:space="0" w:color="auto"/>
        <w:right w:val="none" w:sz="0" w:space="0" w:color="auto"/>
      </w:divBdr>
    </w:div>
    <w:div w:id="175076581">
      <w:marLeft w:val="640"/>
      <w:marRight w:val="0"/>
      <w:marTop w:val="0"/>
      <w:marBottom w:val="0"/>
      <w:divBdr>
        <w:top w:val="none" w:sz="0" w:space="0" w:color="auto"/>
        <w:left w:val="none" w:sz="0" w:space="0" w:color="auto"/>
        <w:bottom w:val="none" w:sz="0" w:space="0" w:color="auto"/>
        <w:right w:val="none" w:sz="0" w:space="0" w:color="auto"/>
      </w:divBdr>
    </w:div>
    <w:div w:id="193276636">
      <w:marLeft w:val="640"/>
      <w:marRight w:val="0"/>
      <w:marTop w:val="0"/>
      <w:marBottom w:val="0"/>
      <w:divBdr>
        <w:top w:val="none" w:sz="0" w:space="0" w:color="auto"/>
        <w:left w:val="none" w:sz="0" w:space="0" w:color="auto"/>
        <w:bottom w:val="none" w:sz="0" w:space="0" w:color="auto"/>
        <w:right w:val="none" w:sz="0" w:space="0" w:color="auto"/>
      </w:divBdr>
    </w:div>
    <w:div w:id="223415519">
      <w:marLeft w:val="640"/>
      <w:marRight w:val="0"/>
      <w:marTop w:val="0"/>
      <w:marBottom w:val="0"/>
      <w:divBdr>
        <w:top w:val="none" w:sz="0" w:space="0" w:color="auto"/>
        <w:left w:val="none" w:sz="0" w:space="0" w:color="auto"/>
        <w:bottom w:val="none" w:sz="0" w:space="0" w:color="auto"/>
        <w:right w:val="none" w:sz="0" w:space="0" w:color="auto"/>
      </w:divBdr>
    </w:div>
    <w:div w:id="260184970">
      <w:marLeft w:val="640"/>
      <w:marRight w:val="0"/>
      <w:marTop w:val="0"/>
      <w:marBottom w:val="0"/>
      <w:divBdr>
        <w:top w:val="none" w:sz="0" w:space="0" w:color="auto"/>
        <w:left w:val="none" w:sz="0" w:space="0" w:color="auto"/>
        <w:bottom w:val="none" w:sz="0" w:space="0" w:color="auto"/>
        <w:right w:val="none" w:sz="0" w:space="0" w:color="auto"/>
      </w:divBdr>
    </w:div>
    <w:div w:id="264000037">
      <w:marLeft w:val="640"/>
      <w:marRight w:val="0"/>
      <w:marTop w:val="0"/>
      <w:marBottom w:val="0"/>
      <w:divBdr>
        <w:top w:val="none" w:sz="0" w:space="0" w:color="auto"/>
        <w:left w:val="none" w:sz="0" w:space="0" w:color="auto"/>
        <w:bottom w:val="none" w:sz="0" w:space="0" w:color="auto"/>
        <w:right w:val="none" w:sz="0" w:space="0" w:color="auto"/>
      </w:divBdr>
    </w:div>
    <w:div w:id="275479829">
      <w:marLeft w:val="640"/>
      <w:marRight w:val="0"/>
      <w:marTop w:val="0"/>
      <w:marBottom w:val="0"/>
      <w:divBdr>
        <w:top w:val="none" w:sz="0" w:space="0" w:color="auto"/>
        <w:left w:val="none" w:sz="0" w:space="0" w:color="auto"/>
        <w:bottom w:val="none" w:sz="0" w:space="0" w:color="auto"/>
        <w:right w:val="none" w:sz="0" w:space="0" w:color="auto"/>
      </w:divBdr>
    </w:div>
    <w:div w:id="290746136">
      <w:marLeft w:val="640"/>
      <w:marRight w:val="0"/>
      <w:marTop w:val="0"/>
      <w:marBottom w:val="0"/>
      <w:divBdr>
        <w:top w:val="none" w:sz="0" w:space="0" w:color="auto"/>
        <w:left w:val="none" w:sz="0" w:space="0" w:color="auto"/>
        <w:bottom w:val="none" w:sz="0" w:space="0" w:color="auto"/>
        <w:right w:val="none" w:sz="0" w:space="0" w:color="auto"/>
      </w:divBdr>
    </w:div>
    <w:div w:id="300770233">
      <w:marLeft w:val="640"/>
      <w:marRight w:val="0"/>
      <w:marTop w:val="0"/>
      <w:marBottom w:val="0"/>
      <w:divBdr>
        <w:top w:val="none" w:sz="0" w:space="0" w:color="auto"/>
        <w:left w:val="none" w:sz="0" w:space="0" w:color="auto"/>
        <w:bottom w:val="none" w:sz="0" w:space="0" w:color="auto"/>
        <w:right w:val="none" w:sz="0" w:space="0" w:color="auto"/>
      </w:divBdr>
    </w:div>
    <w:div w:id="307368048">
      <w:marLeft w:val="640"/>
      <w:marRight w:val="0"/>
      <w:marTop w:val="0"/>
      <w:marBottom w:val="0"/>
      <w:divBdr>
        <w:top w:val="none" w:sz="0" w:space="0" w:color="auto"/>
        <w:left w:val="none" w:sz="0" w:space="0" w:color="auto"/>
        <w:bottom w:val="none" w:sz="0" w:space="0" w:color="auto"/>
        <w:right w:val="none" w:sz="0" w:space="0" w:color="auto"/>
      </w:divBdr>
    </w:div>
    <w:div w:id="311520511">
      <w:marLeft w:val="640"/>
      <w:marRight w:val="0"/>
      <w:marTop w:val="0"/>
      <w:marBottom w:val="0"/>
      <w:divBdr>
        <w:top w:val="none" w:sz="0" w:space="0" w:color="auto"/>
        <w:left w:val="none" w:sz="0" w:space="0" w:color="auto"/>
        <w:bottom w:val="none" w:sz="0" w:space="0" w:color="auto"/>
        <w:right w:val="none" w:sz="0" w:space="0" w:color="auto"/>
      </w:divBdr>
    </w:div>
    <w:div w:id="339048389">
      <w:marLeft w:val="640"/>
      <w:marRight w:val="0"/>
      <w:marTop w:val="0"/>
      <w:marBottom w:val="0"/>
      <w:divBdr>
        <w:top w:val="none" w:sz="0" w:space="0" w:color="auto"/>
        <w:left w:val="none" w:sz="0" w:space="0" w:color="auto"/>
        <w:bottom w:val="none" w:sz="0" w:space="0" w:color="auto"/>
        <w:right w:val="none" w:sz="0" w:space="0" w:color="auto"/>
      </w:divBdr>
    </w:div>
    <w:div w:id="342513325">
      <w:marLeft w:val="640"/>
      <w:marRight w:val="0"/>
      <w:marTop w:val="0"/>
      <w:marBottom w:val="0"/>
      <w:divBdr>
        <w:top w:val="none" w:sz="0" w:space="0" w:color="auto"/>
        <w:left w:val="none" w:sz="0" w:space="0" w:color="auto"/>
        <w:bottom w:val="none" w:sz="0" w:space="0" w:color="auto"/>
        <w:right w:val="none" w:sz="0" w:space="0" w:color="auto"/>
      </w:divBdr>
    </w:div>
    <w:div w:id="376468558">
      <w:marLeft w:val="640"/>
      <w:marRight w:val="0"/>
      <w:marTop w:val="0"/>
      <w:marBottom w:val="0"/>
      <w:divBdr>
        <w:top w:val="none" w:sz="0" w:space="0" w:color="auto"/>
        <w:left w:val="none" w:sz="0" w:space="0" w:color="auto"/>
        <w:bottom w:val="none" w:sz="0" w:space="0" w:color="auto"/>
        <w:right w:val="none" w:sz="0" w:space="0" w:color="auto"/>
      </w:divBdr>
    </w:div>
    <w:div w:id="387463771">
      <w:bodyDiv w:val="1"/>
      <w:marLeft w:val="0"/>
      <w:marRight w:val="0"/>
      <w:marTop w:val="0"/>
      <w:marBottom w:val="0"/>
      <w:divBdr>
        <w:top w:val="none" w:sz="0" w:space="0" w:color="auto"/>
        <w:left w:val="none" w:sz="0" w:space="0" w:color="auto"/>
        <w:bottom w:val="none" w:sz="0" w:space="0" w:color="auto"/>
        <w:right w:val="none" w:sz="0" w:space="0" w:color="auto"/>
      </w:divBdr>
    </w:div>
    <w:div w:id="388112245">
      <w:marLeft w:val="640"/>
      <w:marRight w:val="0"/>
      <w:marTop w:val="0"/>
      <w:marBottom w:val="0"/>
      <w:divBdr>
        <w:top w:val="none" w:sz="0" w:space="0" w:color="auto"/>
        <w:left w:val="none" w:sz="0" w:space="0" w:color="auto"/>
        <w:bottom w:val="none" w:sz="0" w:space="0" w:color="auto"/>
        <w:right w:val="none" w:sz="0" w:space="0" w:color="auto"/>
      </w:divBdr>
    </w:div>
    <w:div w:id="393115914">
      <w:marLeft w:val="640"/>
      <w:marRight w:val="0"/>
      <w:marTop w:val="0"/>
      <w:marBottom w:val="0"/>
      <w:divBdr>
        <w:top w:val="none" w:sz="0" w:space="0" w:color="auto"/>
        <w:left w:val="none" w:sz="0" w:space="0" w:color="auto"/>
        <w:bottom w:val="none" w:sz="0" w:space="0" w:color="auto"/>
        <w:right w:val="none" w:sz="0" w:space="0" w:color="auto"/>
      </w:divBdr>
    </w:div>
    <w:div w:id="397899731">
      <w:marLeft w:val="640"/>
      <w:marRight w:val="0"/>
      <w:marTop w:val="0"/>
      <w:marBottom w:val="0"/>
      <w:divBdr>
        <w:top w:val="none" w:sz="0" w:space="0" w:color="auto"/>
        <w:left w:val="none" w:sz="0" w:space="0" w:color="auto"/>
        <w:bottom w:val="none" w:sz="0" w:space="0" w:color="auto"/>
        <w:right w:val="none" w:sz="0" w:space="0" w:color="auto"/>
      </w:divBdr>
    </w:div>
    <w:div w:id="452134492">
      <w:marLeft w:val="640"/>
      <w:marRight w:val="0"/>
      <w:marTop w:val="0"/>
      <w:marBottom w:val="0"/>
      <w:divBdr>
        <w:top w:val="none" w:sz="0" w:space="0" w:color="auto"/>
        <w:left w:val="none" w:sz="0" w:space="0" w:color="auto"/>
        <w:bottom w:val="none" w:sz="0" w:space="0" w:color="auto"/>
        <w:right w:val="none" w:sz="0" w:space="0" w:color="auto"/>
      </w:divBdr>
    </w:div>
    <w:div w:id="461701212">
      <w:marLeft w:val="640"/>
      <w:marRight w:val="0"/>
      <w:marTop w:val="0"/>
      <w:marBottom w:val="0"/>
      <w:divBdr>
        <w:top w:val="none" w:sz="0" w:space="0" w:color="auto"/>
        <w:left w:val="none" w:sz="0" w:space="0" w:color="auto"/>
        <w:bottom w:val="none" w:sz="0" w:space="0" w:color="auto"/>
        <w:right w:val="none" w:sz="0" w:space="0" w:color="auto"/>
      </w:divBdr>
    </w:div>
    <w:div w:id="462700105">
      <w:marLeft w:val="640"/>
      <w:marRight w:val="0"/>
      <w:marTop w:val="0"/>
      <w:marBottom w:val="0"/>
      <w:divBdr>
        <w:top w:val="none" w:sz="0" w:space="0" w:color="auto"/>
        <w:left w:val="none" w:sz="0" w:space="0" w:color="auto"/>
        <w:bottom w:val="none" w:sz="0" w:space="0" w:color="auto"/>
        <w:right w:val="none" w:sz="0" w:space="0" w:color="auto"/>
      </w:divBdr>
    </w:div>
    <w:div w:id="475336022">
      <w:marLeft w:val="640"/>
      <w:marRight w:val="0"/>
      <w:marTop w:val="0"/>
      <w:marBottom w:val="0"/>
      <w:divBdr>
        <w:top w:val="none" w:sz="0" w:space="0" w:color="auto"/>
        <w:left w:val="none" w:sz="0" w:space="0" w:color="auto"/>
        <w:bottom w:val="none" w:sz="0" w:space="0" w:color="auto"/>
        <w:right w:val="none" w:sz="0" w:space="0" w:color="auto"/>
      </w:divBdr>
    </w:div>
    <w:div w:id="483548794">
      <w:marLeft w:val="640"/>
      <w:marRight w:val="0"/>
      <w:marTop w:val="0"/>
      <w:marBottom w:val="0"/>
      <w:divBdr>
        <w:top w:val="none" w:sz="0" w:space="0" w:color="auto"/>
        <w:left w:val="none" w:sz="0" w:space="0" w:color="auto"/>
        <w:bottom w:val="none" w:sz="0" w:space="0" w:color="auto"/>
        <w:right w:val="none" w:sz="0" w:space="0" w:color="auto"/>
      </w:divBdr>
    </w:div>
    <w:div w:id="500240543">
      <w:marLeft w:val="640"/>
      <w:marRight w:val="0"/>
      <w:marTop w:val="0"/>
      <w:marBottom w:val="0"/>
      <w:divBdr>
        <w:top w:val="none" w:sz="0" w:space="0" w:color="auto"/>
        <w:left w:val="none" w:sz="0" w:space="0" w:color="auto"/>
        <w:bottom w:val="none" w:sz="0" w:space="0" w:color="auto"/>
        <w:right w:val="none" w:sz="0" w:space="0" w:color="auto"/>
      </w:divBdr>
    </w:div>
    <w:div w:id="502858928">
      <w:marLeft w:val="640"/>
      <w:marRight w:val="0"/>
      <w:marTop w:val="0"/>
      <w:marBottom w:val="0"/>
      <w:divBdr>
        <w:top w:val="none" w:sz="0" w:space="0" w:color="auto"/>
        <w:left w:val="none" w:sz="0" w:space="0" w:color="auto"/>
        <w:bottom w:val="none" w:sz="0" w:space="0" w:color="auto"/>
        <w:right w:val="none" w:sz="0" w:space="0" w:color="auto"/>
      </w:divBdr>
    </w:div>
    <w:div w:id="525871514">
      <w:marLeft w:val="640"/>
      <w:marRight w:val="0"/>
      <w:marTop w:val="0"/>
      <w:marBottom w:val="0"/>
      <w:divBdr>
        <w:top w:val="none" w:sz="0" w:space="0" w:color="auto"/>
        <w:left w:val="none" w:sz="0" w:space="0" w:color="auto"/>
        <w:bottom w:val="none" w:sz="0" w:space="0" w:color="auto"/>
        <w:right w:val="none" w:sz="0" w:space="0" w:color="auto"/>
      </w:divBdr>
    </w:div>
    <w:div w:id="581790898">
      <w:marLeft w:val="640"/>
      <w:marRight w:val="0"/>
      <w:marTop w:val="0"/>
      <w:marBottom w:val="0"/>
      <w:divBdr>
        <w:top w:val="none" w:sz="0" w:space="0" w:color="auto"/>
        <w:left w:val="none" w:sz="0" w:space="0" w:color="auto"/>
        <w:bottom w:val="none" w:sz="0" w:space="0" w:color="auto"/>
        <w:right w:val="none" w:sz="0" w:space="0" w:color="auto"/>
      </w:divBdr>
    </w:div>
    <w:div w:id="599410526">
      <w:marLeft w:val="640"/>
      <w:marRight w:val="0"/>
      <w:marTop w:val="0"/>
      <w:marBottom w:val="0"/>
      <w:divBdr>
        <w:top w:val="none" w:sz="0" w:space="0" w:color="auto"/>
        <w:left w:val="none" w:sz="0" w:space="0" w:color="auto"/>
        <w:bottom w:val="none" w:sz="0" w:space="0" w:color="auto"/>
        <w:right w:val="none" w:sz="0" w:space="0" w:color="auto"/>
      </w:divBdr>
    </w:div>
    <w:div w:id="637033450">
      <w:marLeft w:val="640"/>
      <w:marRight w:val="0"/>
      <w:marTop w:val="0"/>
      <w:marBottom w:val="0"/>
      <w:divBdr>
        <w:top w:val="none" w:sz="0" w:space="0" w:color="auto"/>
        <w:left w:val="none" w:sz="0" w:space="0" w:color="auto"/>
        <w:bottom w:val="none" w:sz="0" w:space="0" w:color="auto"/>
        <w:right w:val="none" w:sz="0" w:space="0" w:color="auto"/>
      </w:divBdr>
    </w:div>
    <w:div w:id="682128947">
      <w:marLeft w:val="640"/>
      <w:marRight w:val="0"/>
      <w:marTop w:val="0"/>
      <w:marBottom w:val="0"/>
      <w:divBdr>
        <w:top w:val="none" w:sz="0" w:space="0" w:color="auto"/>
        <w:left w:val="none" w:sz="0" w:space="0" w:color="auto"/>
        <w:bottom w:val="none" w:sz="0" w:space="0" w:color="auto"/>
        <w:right w:val="none" w:sz="0" w:space="0" w:color="auto"/>
      </w:divBdr>
    </w:div>
    <w:div w:id="684787142">
      <w:marLeft w:val="640"/>
      <w:marRight w:val="0"/>
      <w:marTop w:val="0"/>
      <w:marBottom w:val="0"/>
      <w:divBdr>
        <w:top w:val="none" w:sz="0" w:space="0" w:color="auto"/>
        <w:left w:val="none" w:sz="0" w:space="0" w:color="auto"/>
        <w:bottom w:val="none" w:sz="0" w:space="0" w:color="auto"/>
        <w:right w:val="none" w:sz="0" w:space="0" w:color="auto"/>
      </w:divBdr>
    </w:div>
    <w:div w:id="692800847">
      <w:marLeft w:val="640"/>
      <w:marRight w:val="0"/>
      <w:marTop w:val="0"/>
      <w:marBottom w:val="0"/>
      <w:divBdr>
        <w:top w:val="none" w:sz="0" w:space="0" w:color="auto"/>
        <w:left w:val="none" w:sz="0" w:space="0" w:color="auto"/>
        <w:bottom w:val="none" w:sz="0" w:space="0" w:color="auto"/>
        <w:right w:val="none" w:sz="0" w:space="0" w:color="auto"/>
      </w:divBdr>
    </w:div>
    <w:div w:id="726760875">
      <w:marLeft w:val="640"/>
      <w:marRight w:val="0"/>
      <w:marTop w:val="0"/>
      <w:marBottom w:val="0"/>
      <w:divBdr>
        <w:top w:val="none" w:sz="0" w:space="0" w:color="auto"/>
        <w:left w:val="none" w:sz="0" w:space="0" w:color="auto"/>
        <w:bottom w:val="none" w:sz="0" w:space="0" w:color="auto"/>
        <w:right w:val="none" w:sz="0" w:space="0" w:color="auto"/>
      </w:divBdr>
    </w:div>
    <w:div w:id="733695415">
      <w:marLeft w:val="640"/>
      <w:marRight w:val="0"/>
      <w:marTop w:val="0"/>
      <w:marBottom w:val="0"/>
      <w:divBdr>
        <w:top w:val="none" w:sz="0" w:space="0" w:color="auto"/>
        <w:left w:val="none" w:sz="0" w:space="0" w:color="auto"/>
        <w:bottom w:val="none" w:sz="0" w:space="0" w:color="auto"/>
        <w:right w:val="none" w:sz="0" w:space="0" w:color="auto"/>
      </w:divBdr>
    </w:div>
    <w:div w:id="760299006">
      <w:marLeft w:val="640"/>
      <w:marRight w:val="0"/>
      <w:marTop w:val="0"/>
      <w:marBottom w:val="0"/>
      <w:divBdr>
        <w:top w:val="none" w:sz="0" w:space="0" w:color="auto"/>
        <w:left w:val="none" w:sz="0" w:space="0" w:color="auto"/>
        <w:bottom w:val="none" w:sz="0" w:space="0" w:color="auto"/>
        <w:right w:val="none" w:sz="0" w:space="0" w:color="auto"/>
      </w:divBdr>
    </w:div>
    <w:div w:id="787940480">
      <w:marLeft w:val="640"/>
      <w:marRight w:val="0"/>
      <w:marTop w:val="0"/>
      <w:marBottom w:val="0"/>
      <w:divBdr>
        <w:top w:val="none" w:sz="0" w:space="0" w:color="auto"/>
        <w:left w:val="none" w:sz="0" w:space="0" w:color="auto"/>
        <w:bottom w:val="none" w:sz="0" w:space="0" w:color="auto"/>
        <w:right w:val="none" w:sz="0" w:space="0" w:color="auto"/>
      </w:divBdr>
    </w:div>
    <w:div w:id="832455521">
      <w:marLeft w:val="640"/>
      <w:marRight w:val="0"/>
      <w:marTop w:val="0"/>
      <w:marBottom w:val="0"/>
      <w:divBdr>
        <w:top w:val="none" w:sz="0" w:space="0" w:color="auto"/>
        <w:left w:val="none" w:sz="0" w:space="0" w:color="auto"/>
        <w:bottom w:val="none" w:sz="0" w:space="0" w:color="auto"/>
        <w:right w:val="none" w:sz="0" w:space="0" w:color="auto"/>
      </w:divBdr>
    </w:div>
    <w:div w:id="873620368">
      <w:marLeft w:val="640"/>
      <w:marRight w:val="0"/>
      <w:marTop w:val="0"/>
      <w:marBottom w:val="0"/>
      <w:divBdr>
        <w:top w:val="none" w:sz="0" w:space="0" w:color="auto"/>
        <w:left w:val="none" w:sz="0" w:space="0" w:color="auto"/>
        <w:bottom w:val="none" w:sz="0" w:space="0" w:color="auto"/>
        <w:right w:val="none" w:sz="0" w:space="0" w:color="auto"/>
      </w:divBdr>
    </w:div>
    <w:div w:id="913734669">
      <w:marLeft w:val="640"/>
      <w:marRight w:val="0"/>
      <w:marTop w:val="0"/>
      <w:marBottom w:val="0"/>
      <w:divBdr>
        <w:top w:val="none" w:sz="0" w:space="0" w:color="auto"/>
        <w:left w:val="none" w:sz="0" w:space="0" w:color="auto"/>
        <w:bottom w:val="none" w:sz="0" w:space="0" w:color="auto"/>
        <w:right w:val="none" w:sz="0" w:space="0" w:color="auto"/>
      </w:divBdr>
    </w:div>
    <w:div w:id="936980023">
      <w:marLeft w:val="640"/>
      <w:marRight w:val="0"/>
      <w:marTop w:val="0"/>
      <w:marBottom w:val="0"/>
      <w:divBdr>
        <w:top w:val="none" w:sz="0" w:space="0" w:color="auto"/>
        <w:left w:val="none" w:sz="0" w:space="0" w:color="auto"/>
        <w:bottom w:val="none" w:sz="0" w:space="0" w:color="auto"/>
        <w:right w:val="none" w:sz="0" w:space="0" w:color="auto"/>
      </w:divBdr>
    </w:div>
    <w:div w:id="938950103">
      <w:marLeft w:val="640"/>
      <w:marRight w:val="0"/>
      <w:marTop w:val="0"/>
      <w:marBottom w:val="0"/>
      <w:divBdr>
        <w:top w:val="none" w:sz="0" w:space="0" w:color="auto"/>
        <w:left w:val="none" w:sz="0" w:space="0" w:color="auto"/>
        <w:bottom w:val="none" w:sz="0" w:space="0" w:color="auto"/>
        <w:right w:val="none" w:sz="0" w:space="0" w:color="auto"/>
      </w:divBdr>
    </w:div>
    <w:div w:id="945502645">
      <w:marLeft w:val="640"/>
      <w:marRight w:val="0"/>
      <w:marTop w:val="0"/>
      <w:marBottom w:val="0"/>
      <w:divBdr>
        <w:top w:val="none" w:sz="0" w:space="0" w:color="auto"/>
        <w:left w:val="none" w:sz="0" w:space="0" w:color="auto"/>
        <w:bottom w:val="none" w:sz="0" w:space="0" w:color="auto"/>
        <w:right w:val="none" w:sz="0" w:space="0" w:color="auto"/>
      </w:divBdr>
    </w:div>
    <w:div w:id="1009529146">
      <w:marLeft w:val="640"/>
      <w:marRight w:val="0"/>
      <w:marTop w:val="0"/>
      <w:marBottom w:val="0"/>
      <w:divBdr>
        <w:top w:val="none" w:sz="0" w:space="0" w:color="auto"/>
        <w:left w:val="none" w:sz="0" w:space="0" w:color="auto"/>
        <w:bottom w:val="none" w:sz="0" w:space="0" w:color="auto"/>
        <w:right w:val="none" w:sz="0" w:space="0" w:color="auto"/>
      </w:divBdr>
    </w:div>
    <w:div w:id="1012681563">
      <w:marLeft w:val="640"/>
      <w:marRight w:val="0"/>
      <w:marTop w:val="0"/>
      <w:marBottom w:val="0"/>
      <w:divBdr>
        <w:top w:val="none" w:sz="0" w:space="0" w:color="auto"/>
        <w:left w:val="none" w:sz="0" w:space="0" w:color="auto"/>
        <w:bottom w:val="none" w:sz="0" w:space="0" w:color="auto"/>
        <w:right w:val="none" w:sz="0" w:space="0" w:color="auto"/>
      </w:divBdr>
    </w:div>
    <w:div w:id="1013920367">
      <w:marLeft w:val="640"/>
      <w:marRight w:val="0"/>
      <w:marTop w:val="0"/>
      <w:marBottom w:val="0"/>
      <w:divBdr>
        <w:top w:val="none" w:sz="0" w:space="0" w:color="auto"/>
        <w:left w:val="none" w:sz="0" w:space="0" w:color="auto"/>
        <w:bottom w:val="none" w:sz="0" w:space="0" w:color="auto"/>
        <w:right w:val="none" w:sz="0" w:space="0" w:color="auto"/>
      </w:divBdr>
    </w:div>
    <w:div w:id="1019819330">
      <w:marLeft w:val="640"/>
      <w:marRight w:val="0"/>
      <w:marTop w:val="0"/>
      <w:marBottom w:val="0"/>
      <w:divBdr>
        <w:top w:val="none" w:sz="0" w:space="0" w:color="auto"/>
        <w:left w:val="none" w:sz="0" w:space="0" w:color="auto"/>
        <w:bottom w:val="none" w:sz="0" w:space="0" w:color="auto"/>
        <w:right w:val="none" w:sz="0" w:space="0" w:color="auto"/>
      </w:divBdr>
    </w:div>
    <w:div w:id="1057511610">
      <w:marLeft w:val="640"/>
      <w:marRight w:val="0"/>
      <w:marTop w:val="0"/>
      <w:marBottom w:val="0"/>
      <w:divBdr>
        <w:top w:val="none" w:sz="0" w:space="0" w:color="auto"/>
        <w:left w:val="none" w:sz="0" w:space="0" w:color="auto"/>
        <w:bottom w:val="none" w:sz="0" w:space="0" w:color="auto"/>
        <w:right w:val="none" w:sz="0" w:space="0" w:color="auto"/>
      </w:divBdr>
    </w:div>
    <w:div w:id="1063483351">
      <w:marLeft w:val="640"/>
      <w:marRight w:val="0"/>
      <w:marTop w:val="0"/>
      <w:marBottom w:val="0"/>
      <w:divBdr>
        <w:top w:val="none" w:sz="0" w:space="0" w:color="auto"/>
        <w:left w:val="none" w:sz="0" w:space="0" w:color="auto"/>
        <w:bottom w:val="none" w:sz="0" w:space="0" w:color="auto"/>
        <w:right w:val="none" w:sz="0" w:space="0" w:color="auto"/>
      </w:divBdr>
    </w:div>
    <w:div w:id="1103768440">
      <w:marLeft w:val="640"/>
      <w:marRight w:val="0"/>
      <w:marTop w:val="0"/>
      <w:marBottom w:val="0"/>
      <w:divBdr>
        <w:top w:val="none" w:sz="0" w:space="0" w:color="auto"/>
        <w:left w:val="none" w:sz="0" w:space="0" w:color="auto"/>
        <w:bottom w:val="none" w:sz="0" w:space="0" w:color="auto"/>
        <w:right w:val="none" w:sz="0" w:space="0" w:color="auto"/>
      </w:divBdr>
    </w:div>
    <w:div w:id="1113328213">
      <w:marLeft w:val="640"/>
      <w:marRight w:val="0"/>
      <w:marTop w:val="0"/>
      <w:marBottom w:val="0"/>
      <w:divBdr>
        <w:top w:val="none" w:sz="0" w:space="0" w:color="auto"/>
        <w:left w:val="none" w:sz="0" w:space="0" w:color="auto"/>
        <w:bottom w:val="none" w:sz="0" w:space="0" w:color="auto"/>
        <w:right w:val="none" w:sz="0" w:space="0" w:color="auto"/>
      </w:divBdr>
    </w:div>
    <w:div w:id="1127237972">
      <w:marLeft w:val="640"/>
      <w:marRight w:val="0"/>
      <w:marTop w:val="0"/>
      <w:marBottom w:val="0"/>
      <w:divBdr>
        <w:top w:val="none" w:sz="0" w:space="0" w:color="auto"/>
        <w:left w:val="none" w:sz="0" w:space="0" w:color="auto"/>
        <w:bottom w:val="none" w:sz="0" w:space="0" w:color="auto"/>
        <w:right w:val="none" w:sz="0" w:space="0" w:color="auto"/>
      </w:divBdr>
    </w:div>
    <w:div w:id="1132089711">
      <w:marLeft w:val="640"/>
      <w:marRight w:val="0"/>
      <w:marTop w:val="0"/>
      <w:marBottom w:val="0"/>
      <w:divBdr>
        <w:top w:val="none" w:sz="0" w:space="0" w:color="auto"/>
        <w:left w:val="none" w:sz="0" w:space="0" w:color="auto"/>
        <w:bottom w:val="none" w:sz="0" w:space="0" w:color="auto"/>
        <w:right w:val="none" w:sz="0" w:space="0" w:color="auto"/>
      </w:divBdr>
    </w:div>
    <w:div w:id="1155219495">
      <w:marLeft w:val="640"/>
      <w:marRight w:val="0"/>
      <w:marTop w:val="0"/>
      <w:marBottom w:val="0"/>
      <w:divBdr>
        <w:top w:val="none" w:sz="0" w:space="0" w:color="auto"/>
        <w:left w:val="none" w:sz="0" w:space="0" w:color="auto"/>
        <w:bottom w:val="none" w:sz="0" w:space="0" w:color="auto"/>
        <w:right w:val="none" w:sz="0" w:space="0" w:color="auto"/>
      </w:divBdr>
    </w:div>
    <w:div w:id="1189444692">
      <w:marLeft w:val="640"/>
      <w:marRight w:val="0"/>
      <w:marTop w:val="0"/>
      <w:marBottom w:val="0"/>
      <w:divBdr>
        <w:top w:val="none" w:sz="0" w:space="0" w:color="auto"/>
        <w:left w:val="none" w:sz="0" w:space="0" w:color="auto"/>
        <w:bottom w:val="none" w:sz="0" w:space="0" w:color="auto"/>
        <w:right w:val="none" w:sz="0" w:space="0" w:color="auto"/>
      </w:divBdr>
    </w:div>
    <w:div w:id="1225872743">
      <w:marLeft w:val="640"/>
      <w:marRight w:val="0"/>
      <w:marTop w:val="0"/>
      <w:marBottom w:val="0"/>
      <w:divBdr>
        <w:top w:val="none" w:sz="0" w:space="0" w:color="auto"/>
        <w:left w:val="none" w:sz="0" w:space="0" w:color="auto"/>
        <w:bottom w:val="none" w:sz="0" w:space="0" w:color="auto"/>
        <w:right w:val="none" w:sz="0" w:space="0" w:color="auto"/>
      </w:divBdr>
    </w:div>
    <w:div w:id="1238326107">
      <w:marLeft w:val="640"/>
      <w:marRight w:val="0"/>
      <w:marTop w:val="0"/>
      <w:marBottom w:val="0"/>
      <w:divBdr>
        <w:top w:val="none" w:sz="0" w:space="0" w:color="auto"/>
        <w:left w:val="none" w:sz="0" w:space="0" w:color="auto"/>
        <w:bottom w:val="none" w:sz="0" w:space="0" w:color="auto"/>
        <w:right w:val="none" w:sz="0" w:space="0" w:color="auto"/>
      </w:divBdr>
    </w:div>
    <w:div w:id="1244872256">
      <w:marLeft w:val="640"/>
      <w:marRight w:val="0"/>
      <w:marTop w:val="0"/>
      <w:marBottom w:val="0"/>
      <w:divBdr>
        <w:top w:val="none" w:sz="0" w:space="0" w:color="auto"/>
        <w:left w:val="none" w:sz="0" w:space="0" w:color="auto"/>
        <w:bottom w:val="none" w:sz="0" w:space="0" w:color="auto"/>
        <w:right w:val="none" w:sz="0" w:space="0" w:color="auto"/>
      </w:divBdr>
    </w:div>
    <w:div w:id="1255626488">
      <w:marLeft w:val="640"/>
      <w:marRight w:val="0"/>
      <w:marTop w:val="0"/>
      <w:marBottom w:val="0"/>
      <w:divBdr>
        <w:top w:val="none" w:sz="0" w:space="0" w:color="auto"/>
        <w:left w:val="none" w:sz="0" w:space="0" w:color="auto"/>
        <w:bottom w:val="none" w:sz="0" w:space="0" w:color="auto"/>
        <w:right w:val="none" w:sz="0" w:space="0" w:color="auto"/>
      </w:divBdr>
    </w:div>
    <w:div w:id="1262571353">
      <w:marLeft w:val="640"/>
      <w:marRight w:val="0"/>
      <w:marTop w:val="0"/>
      <w:marBottom w:val="0"/>
      <w:divBdr>
        <w:top w:val="none" w:sz="0" w:space="0" w:color="auto"/>
        <w:left w:val="none" w:sz="0" w:space="0" w:color="auto"/>
        <w:bottom w:val="none" w:sz="0" w:space="0" w:color="auto"/>
        <w:right w:val="none" w:sz="0" w:space="0" w:color="auto"/>
      </w:divBdr>
    </w:div>
    <w:div w:id="1273707976">
      <w:marLeft w:val="640"/>
      <w:marRight w:val="0"/>
      <w:marTop w:val="0"/>
      <w:marBottom w:val="0"/>
      <w:divBdr>
        <w:top w:val="none" w:sz="0" w:space="0" w:color="auto"/>
        <w:left w:val="none" w:sz="0" w:space="0" w:color="auto"/>
        <w:bottom w:val="none" w:sz="0" w:space="0" w:color="auto"/>
        <w:right w:val="none" w:sz="0" w:space="0" w:color="auto"/>
      </w:divBdr>
    </w:div>
    <w:div w:id="1288700327">
      <w:marLeft w:val="640"/>
      <w:marRight w:val="0"/>
      <w:marTop w:val="0"/>
      <w:marBottom w:val="0"/>
      <w:divBdr>
        <w:top w:val="none" w:sz="0" w:space="0" w:color="auto"/>
        <w:left w:val="none" w:sz="0" w:space="0" w:color="auto"/>
        <w:bottom w:val="none" w:sz="0" w:space="0" w:color="auto"/>
        <w:right w:val="none" w:sz="0" w:space="0" w:color="auto"/>
      </w:divBdr>
    </w:div>
    <w:div w:id="1337070745">
      <w:marLeft w:val="640"/>
      <w:marRight w:val="0"/>
      <w:marTop w:val="0"/>
      <w:marBottom w:val="0"/>
      <w:divBdr>
        <w:top w:val="none" w:sz="0" w:space="0" w:color="auto"/>
        <w:left w:val="none" w:sz="0" w:space="0" w:color="auto"/>
        <w:bottom w:val="none" w:sz="0" w:space="0" w:color="auto"/>
        <w:right w:val="none" w:sz="0" w:space="0" w:color="auto"/>
      </w:divBdr>
    </w:div>
    <w:div w:id="1340818232">
      <w:bodyDiv w:val="1"/>
      <w:marLeft w:val="0"/>
      <w:marRight w:val="0"/>
      <w:marTop w:val="0"/>
      <w:marBottom w:val="0"/>
      <w:divBdr>
        <w:top w:val="none" w:sz="0" w:space="0" w:color="auto"/>
        <w:left w:val="none" w:sz="0" w:space="0" w:color="auto"/>
        <w:bottom w:val="none" w:sz="0" w:space="0" w:color="auto"/>
        <w:right w:val="none" w:sz="0" w:space="0" w:color="auto"/>
      </w:divBdr>
    </w:div>
    <w:div w:id="1349991010">
      <w:marLeft w:val="640"/>
      <w:marRight w:val="0"/>
      <w:marTop w:val="0"/>
      <w:marBottom w:val="0"/>
      <w:divBdr>
        <w:top w:val="none" w:sz="0" w:space="0" w:color="auto"/>
        <w:left w:val="none" w:sz="0" w:space="0" w:color="auto"/>
        <w:bottom w:val="none" w:sz="0" w:space="0" w:color="auto"/>
        <w:right w:val="none" w:sz="0" w:space="0" w:color="auto"/>
      </w:divBdr>
    </w:div>
    <w:div w:id="1367680804">
      <w:marLeft w:val="640"/>
      <w:marRight w:val="0"/>
      <w:marTop w:val="0"/>
      <w:marBottom w:val="0"/>
      <w:divBdr>
        <w:top w:val="none" w:sz="0" w:space="0" w:color="auto"/>
        <w:left w:val="none" w:sz="0" w:space="0" w:color="auto"/>
        <w:bottom w:val="none" w:sz="0" w:space="0" w:color="auto"/>
        <w:right w:val="none" w:sz="0" w:space="0" w:color="auto"/>
      </w:divBdr>
    </w:div>
    <w:div w:id="1375732462">
      <w:marLeft w:val="640"/>
      <w:marRight w:val="0"/>
      <w:marTop w:val="0"/>
      <w:marBottom w:val="0"/>
      <w:divBdr>
        <w:top w:val="none" w:sz="0" w:space="0" w:color="auto"/>
        <w:left w:val="none" w:sz="0" w:space="0" w:color="auto"/>
        <w:bottom w:val="none" w:sz="0" w:space="0" w:color="auto"/>
        <w:right w:val="none" w:sz="0" w:space="0" w:color="auto"/>
      </w:divBdr>
    </w:div>
    <w:div w:id="1383553962">
      <w:bodyDiv w:val="1"/>
      <w:marLeft w:val="0"/>
      <w:marRight w:val="0"/>
      <w:marTop w:val="0"/>
      <w:marBottom w:val="0"/>
      <w:divBdr>
        <w:top w:val="none" w:sz="0" w:space="0" w:color="auto"/>
        <w:left w:val="none" w:sz="0" w:space="0" w:color="auto"/>
        <w:bottom w:val="none" w:sz="0" w:space="0" w:color="auto"/>
        <w:right w:val="none" w:sz="0" w:space="0" w:color="auto"/>
      </w:divBdr>
    </w:div>
    <w:div w:id="1386683284">
      <w:marLeft w:val="640"/>
      <w:marRight w:val="0"/>
      <w:marTop w:val="0"/>
      <w:marBottom w:val="0"/>
      <w:divBdr>
        <w:top w:val="none" w:sz="0" w:space="0" w:color="auto"/>
        <w:left w:val="none" w:sz="0" w:space="0" w:color="auto"/>
        <w:bottom w:val="none" w:sz="0" w:space="0" w:color="auto"/>
        <w:right w:val="none" w:sz="0" w:space="0" w:color="auto"/>
      </w:divBdr>
    </w:div>
    <w:div w:id="1400902831">
      <w:marLeft w:val="640"/>
      <w:marRight w:val="0"/>
      <w:marTop w:val="0"/>
      <w:marBottom w:val="0"/>
      <w:divBdr>
        <w:top w:val="none" w:sz="0" w:space="0" w:color="auto"/>
        <w:left w:val="none" w:sz="0" w:space="0" w:color="auto"/>
        <w:bottom w:val="none" w:sz="0" w:space="0" w:color="auto"/>
        <w:right w:val="none" w:sz="0" w:space="0" w:color="auto"/>
      </w:divBdr>
    </w:div>
    <w:div w:id="1409419135">
      <w:marLeft w:val="640"/>
      <w:marRight w:val="0"/>
      <w:marTop w:val="0"/>
      <w:marBottom w:val="0"/>
      <w:divBdr>
        <w:top w:val="none" w:sz="0" w:space="0" w:color="auto"/>
        <w:left w:val="none" w:sz="0" w:space="0" w:color="auto"/>
        <w:bottom w:val="none" w:sz="0" w:space="0" w:color="auto"/>
        <w:right w:val="none" w:sz="0" w:space="0" w:color="auto"/>
      </w:divBdr>
    </w:div>
    <w:div w:id="1410613726">
      <w:marLeft w:val="640"/>
      <w:marRight w:val="0"/>
      <w:marTop w:val="0"/>
      <w:marBottom w:val="0"/>
      <w:divBdr>
        <w:top w:val="none" w:sz="0" w:space="0" w:color="auto"/>
        <w:left w:val="none" w:sz="0" w:space="0" w:color="auto"/>
        <w:bottom w:val="none" w:sz="0" w:space="0" w:color="auto"/>
        <w:right w:val="none" w:sz="0" w:space="0" w:color="auto"/>
      </w:divBdr>
    </w:div>
    <w:div w:id="1422599803">
      <w:marLeft w:val="640"/>
      <w:marRight w:val="0"/>
      <w:marTop w:val="0"/>
      <w:marBottom w:val="0"/>
      <w:divBdr>
        <w:top w:val="none" w:sz="0" w:space="0" w:color="auto"/>
        <w:left w:val="none" w:sz="0" w:space="0" w:color="auto"/>
        <w:bottom w:val="none" w:sz="0" w:space="0" w:color="auto"/>
        <w:right w:val="none" w:sz="0" w:space="0" w:color="auto"/>
      </w:divBdr>
    </w:div>
    <w:div w:id="1445886012">
      <w:marLeft w:val="640"/>
      <w:marRight w:val="0"/>
      <w:marTop w:val="0"/>
      <w:marBottom w:val="0"/>
      <w:divBdr>
        <w:top w:val="none" w:sz="0" w:space="0" w:color="auto"/>
        <w:left w:val="none" w:sz="0" w:space="0" w:color="auto"/>
        <w:bottom w:val="none" w:sz="0" w:space="0" w:color="auto"/>
        <w:right w:val="none" w:sz="0" w:space="0" w:color="auto"/>
      </w:divBdr>
    </w:div>
    <w:div w:id="1447314649">
      <w:marLeft w:val="640"/>
      <w:marRight w:val="0"/>
      <w:marTop w:val="0"/>
      <w:marBottom w:val="0"/>
      <w:divBdr>
        <w:top w:val="none" w:sz="0" w:space="0" w:color="auto"/>
        <w:left w:val="none" w:sz="0" w:space="0" w:color="auto"/>
        <w:bottom w:val="none" w:sz="0" w:space="0" w:color="auto"/>
        <w:right w:val="none" w:sz="0" w:space="0" w:color="auto"/>
      </w:divBdr>
    </w:div>
    <w:div w:id="1470710115">
      <w:marLeft w:val="640"/>
      <w:marRight w:val="0"/>
      <w:marTop w:val="0"/>
      <w:marBottom w:val="0"/>
      <w:divBdr>
        <w:top w:val="none" w:sz="0" w:space="0" w:color="auto"/>
        <w:left w:val="none" w:sz="0" w:space="0" w:color="auto"/>
        <w:bottom w:val="none" w:sz="0" w:space="0" w:color="auto"/>
        <w:right w:val="none" w:sz="0" w:space="0" w:color="auto"/>
      </w:divBdr>
    </w:div>
    <w:div w:id="1481114065">
      <w:marLeft w:val="640"/>
      <w:marRight w:val="0"/>
      <w:marTop w:val="0"/>
      <w:marBottom w:val="0"/>
      <w:divBdr>
        <w:top w:val="none" w:sz="0" w:space="0" w:color="auto"/>
        <w:left w:val="none" w:sz="0" w:space="0" w:color="auto"/>
        <w:bottom w:val="none" w:sz="0" w:space="0" w:color="auto"/>
        <w:right w:val="none" w:sz="0" w:space="0" w:color="auto"/>
      </w:divBdr>
    </w:div>
    <w:div w:id="1500273205">
      <w:marLeft w:val="640"/>
      <w:marRight w:val="0"/>
      <w:marTop w:val="0"/>
      <w:marBottom w:val="0"/>
      <w:divBdr>
        <w:top w:val="none" w:sz="0" w:space="0" w:color="auto"/>
        <w:left w:val="none" w:sz="0" w:space="0" w:color="auto"/>
        <w:bottom w:val="none" w:sz="0" w:space="0" w:color="auto"/>
        <w:right w:val="none" w:sz="0" w:space="0" w:color="auto"/>
      </w:divBdr>
    </w:div>
    <w:div w:id="1504322479">
      <w:marLeft w:val="640"/>
      <w:marRight w:val="0"/>
      <w:marTop w:val="0"/>
      <w:marBottom w:val="0"/>
      <w:divBdr>
        <w:top w:val="none" w:sz="0" w:space="0" w:color="auto"/>
        <w:left w:val="none" w:sz="0" w:space="0" w:color="auto"/>
        <w:bottom w:val="none" w:sz="0" w:space="0" w:color="auto"/>
        <w:right w:val="none" w:sz="0" w:space="0" w:color="auto"/>
      </w:divBdr>
    </w:div>
    <w:div w:id="1516460696">
      <w:marLeft w:val="640"/>
      <w:marRight w:val="0"/>
      <w:marTop w:val="0"/>
      <w:marBottom w:val="0"/>
      <w:divBdr>
        <w:top w:val="none" w:sz="0" w:space="0" w:color="auto"/>
        <w:left w:val="none" w:sz="0" w:space="0" w:color="auto"/>
        <w:bottom w:val="none" w:sz="0" w:space="0" w:color="auto"/>
        <w:right w:val="none" w:sz="0" w:space="0" w:color="auto"/>
      </w:divBdr>
    </w:div>
    <w:div w:id="1522477385">
      <w:marLeft w:val="640"/>
      <w:marRight w:val="0"/>
      <w:marTop w:val="0"/>
      <w:marBottom w:val="0"/>
      <w:divBdr>
        <w:top w:val="none" w:sz="0" w:space="0" w:color="auto"/>
        <w:left w:val="none" w:sz="0" w:space="0" w:color="auto"/>
        <w:bottom w:val="none" w:sz="0" w:space="0" w:color="auto"/>
        <w:right w:val="none" w:sz="0" w:space="0" w:color="auto"/>
      </w:divBdr>
    </w:div>
    <w:div w:id="1525438908">
      <w:marLeft w:val="640"/>
      <w:marRight w:val="0"/>
      <w:marTop w:val="0"/>
      <w:marBottom w:val="0"/>
      <w:divBdr>
        <w:top w:val="none" w:sz="0" w:space="0" w:color="auto"/>
        <w:left w:val="none" w:sz="0" w:space="0" w:color="auto"/>
        <w:bottom w:val="none" w:sz="0" w:space="0" w:color="auto"/>
        <w:right w:val="none" w:sz="0" w:space="0" w:color="auto"/>
      </w:divBdr>
    </w:div>
    <w:div w:id="1540704419">
      <w:marLeft w:val="640"/>
      <w:marRight w:val="0"/>
      <w:marTop w:val="0"/>
      <w:marBottom w:val="0"/>
      <w:divBdr>
        <w:top w:val="none" w:sz="0" w:space="0" w:color="auto"/>
        <w:left w:val="none" w:sz="0" w:space="0" w:color="auto"/>
        <w:bottom w:val="none" w:sz="0" w:space="0" w:color="auto"/>
        <w:right w:val="none" w:sz="0" w:space="0" w:color="auto"/>
      </w:divBdr>
    </w:div>
    <w:div w:id="1541942022">
      <w:marLeft w:val="640"/>
      <w:marRight w:val="0"/>
      <w:marTop w:val="0"/>
      <w:marBottom w:val="0"/>
      <w:divBdr>
        <w:top w:val="none" w:sz="0" w:space="0" w:color="auto"/>
        <w:left w:val="none" w:sz="0" w:space="0" w:color="auto"/>
        <w:bottom w:val="none" w:sz="0" w:space="0" w:color="auto"/>
        <w:right w:val="none" w:sz="0" w:space="0" w:color="auto"/>
      </w:divBdr>
    </w:div>
    <w:div w:id="1580552086">
      <w:marLeft w:val="640"/>
      <w:marRight w:val="0"/>
      <w:marTop w:val="0"/>
      <w:marBottom w:val="0"/>
      <w:divBdr>
        <w:top w:val="none" w:sz="0" w:space="0" w:color="auto"/>
        <w:left w:val="none" w:sz="0" w:space="0" w:color="auto"/>
        <w:bottom w:val="none" w:sz="0" w:space="0" w:color="auto"/>
        <w:right w:val="none" w:sz="0" w:space="0" w:color="auto"/>
      </w:divBdr>
    </w:div>
    <w:div w:id="1594972459">
      <w:marLeft w:val="640"/>
      <w:marRight w:val="0"/>
      <w:marTop w:val="0"/>
      <w:marBottom w:val="0"/>
      <w:divBdr>
        <w:top w:val="none" w:sz="0" w:space="0" w:color="auto"/>
        <w:left w:val="none" w:sz="0" w:space="0" w:color="auto"/>
        <w:bottom w:val="none" w:sz="0" w:space="0" w:color="auto"/>
        <w:right w:val="none" w:sz="0" w:space="0" w:color="auto"/>
      </w:divBdr>
    </w:div>
    <w:div w:id="1597472419">
      <w:marLeft w:val="640"/>
      <w:marRight w:val="0"/>
      <w:marTop w:val="0"/>
      <w:marBottom w:val="0"/>
      <w:divBdr>
        <w:top w:val="none" w:sz="0" w:space="0" w:color="auto"/>
        <w:left w:val="none" w:sz="0" w:space="0" w:color="auto"/>
        <w:bottom w:val="none" w:sz="0" w:space="0" w:color="auto"/>
        <w:right w:val="none" w:sz="0" w:space="0" w:color="auto"/>
      </w:divBdr>
    </w:div>
    <w:div w:id="1646929108">
      <w:marLeft w:val="640"/>
      <w:marRight w:val="0"/>
      <w:marTop w:val="0"/>
      <w:marBottom w:val="0"/>
      <w:divBdr>
        <w:top w:val="none" w:sz="0" w:space="0" w:color="auto"/>
        <w:left w:val="none" w:sz="0" w:space="0" w:color="auto"/>
        <w:bottom w:val="none" w:sz="0" w:space="0" w:color="auto"/>
        <w:right w:val="none" w:sz="0" w:space="0" w:color="auto"/>
      </w:divBdr>
    </w:div>
    <w:div w:id="1647780163">
      <w:marLeft w:val="640"/>
      <w:marRight w:val="0"/>
      <w:marTop w:val="0"/>
      <w:marBottom w:val="0"/>
      <w:divBdr>
        <w:top w:val="none" w:sz="0" w:space="0" w:color="auto"/>
        <w:left w:val="none" w:sz="0" w:space="0" w:color="auto"/>
        <w:bottom w:val="none" w:sz="0" w:space="0" w:color="auto"/>
        <w:right w:val="none" w:sz="0" w:space="0" w:color="auto"/>
      </w:divBdr>
    </w:div>
    <w:div w:id="1649358908">
      <w:marLeft w:val="640"/>
      <w:marRight w:val="0"/>
      <w:marTop w:val="0"/>
      <w:marBottom w:val="0"/>
      <w:divBdr>
        <w:top w:val="none" w:sz="0" w:space="0" w:color="auto"/>
        <w:left w:val="none" w:sz="0" w:space="0" w:color="auto"/>
        <w:bottom w:val="none" w:sz="0" w:space="0" w:color="auto"/>
        <w:right w:val="none" w:sz="0" w:space="0" w:color="auto"/>
      </w:divBdr>
    </w:div>
    <w:div w:id="1654945433">
      <w:bodyDiv w:val="1"/>
      <w:marLeft w:val="0"/>
      <w:marRight w:val="0"/>
      <w:marTop w:val="0"/>
      <w:marBottom w:val="0"/>
      <w:divBdr>
        <w:top w:val="none" w:sz="0" w:space="0" w:color="auto"/>
        <w:left w:val="none" w:sz="0" w:space="0" w:color="auto"/>
        <w:bottom w:val="none" w:sz="0" w:space="0" w:color="auto"/>
        <w:right w:val="none" w:sz="0" w:space="0" w:color="auto"/>
      </w:divBdr>
    </w:div>
    <w:div w:id="1714309138">
      <w:marLeft w:val="640"/>
      <w:marRight w:val="0"/>
      <w:marTop w:val="0"/>
      <w:marBottom w:val="0"/>
      <w:divBdr>
        <w:top w:val="none" w:sz="0" w:space="0" w:color="auto"/>
        <w:left w:val="none" w:sz="0" w:space="0" w:color="auto"/>
        <w:bottom w:val="none" w:sz="0" w:space="0" w:color="auto"/>
        <w:right w:val="none" w:sz="0" w:space="0" w:color="auto"/>
      </w:divBdr>
    </w:div>
    <w:div w:id="1755593691">
      <w:marLeft w:val="640"/>
      <w:marRight w:val="0"/>
      <w:marTop w:val="0"/>
      <w:marBottom w:val="0"/>
      <w:divBdr>
        <w:top w:val="none" w:sz="0" w:space="0" w:color="auto"/>
        <w:left w:val="none" w:sz="0" w:space="0" w:color="auto"/>
        <w:bottom w:val="none" w:sz="0" w:space="0" w:color="auto"/>
        <w:right w:val="none" w:sz="0" w:space="0" w:color="auto"/>
      </w:divBdr>
    </w:div>
    <w:div w:id="1761100744">
      <w:marLeft w:val="640"/>
      <w:marRight w:val="0"/>
      <w:marTop w:val="0"/>
      <w:marBottom w:val="0"/>
      <w:divBdr>
        <w:top w:val="none" w:sz="0" w:space="0" w:color="auto"/>
        <w:left w:val="none" w:sz="0" w:space="0" w:color="auto"/>
        <w:bottom w:val="none" w:sz="0" w:space="0" w:color="auto"/>
        <w:right w:val="none" w:sz="0" w:space="0" w:color="auto"/>
      </w:divBdr>
    </w:div>
    <w:div w:id="1774088136">
      <w:marLeft w:val="640"/>
      <w:marRight w:val="0"/>
      <w:marTop w:val="0"/>
      <w:marBottom w:val="0"/>
      <w:divBdr>
        <w:top w:val="none" w:sz="0" w:space="0" w:color="auto"/>
        <w:left w:val="none" w:sz="0" w:space="0" w:color="auto"/>
        <w:bottom w:val="none" w:sz="0" w:space="0" w:color="auto"/>
        <w:right w:val="none" w:sz="0" w:space="0" w:color="auto"/>
      </w:divBdr>
    </w:div>
    <w:div w:id="1797215777">
      <w:marLeft w:val="640"/>
      <w:marRight w:val="0"/>
      <w:marTop w:val="0"/>
      <w:marBottom w:val="0"/>
      <w:divBdr>
        <w:top w:val="none" w:sz="0" w:space="0" w:color="auto"/>
        <w:left w:val="none" w:sz="0" w:space="0" w:color="auto"/>
        <w:bottom w:val="none" w:sz="0" w:space="0" w:color="auto"/>
        <w:right w:val="none" w:sz="0" w:space="0" w:color="auto"/>
      </w:divBdr>
    </w:div>
    <w:div w:id="1857423525">
      <w:marLeft w:val="640"/>
      <w:marRight w:val="0"/>
      <w:marTop w:val="0"/>
      <w:marBottom w:val="0"/>
      <w:divBdr>
        <w:top w:val="none" w:sz="0" w:space="0" w:color="auto"/>
        <w:left w:val="none" w:sz="0" w:space="0" w:color="auto"/>
        <w:bottom w:val="none" w:sz="0" w:space="0" w:color="auto"/>
        <w:right w:val="none" w:sz="0" w:space="0" w:color="auto"/>
      </w:divBdr>
    </w:div>
    <w:div w:id="1881623269">
      <w:marLeft w:val="640"/>
      <w:marRight w:val="0"/>
      <w:marTop w:val="0"/>
      <w:marBottom w:val="0"/>
      <w:divBdr>
        <w:top w:val="none" w:sz="0" w:space="0" w:color="auto"/>
        <w:left w:val="none" w:sz="0" w:space="0" w:color="auto"/>
        <w:bottom w:val="none" w:sz="0" w:space="0" w:color="auto"/>
        <w:right w:val="none" w:sz="0" w:space="0" w:color="auto"/>
      </w:divBdr>
    </w:div>
    <w:div w:id="1886796854">
      <w:marLeft w:val="640"/>
      <w:marRight w:val="0"/>
      <w:marTop w:val="0"/>
      <w:marBottom w:val="0"/>
      <w:divBdr>
        <w:top w:val="none" w:sz="0" w:space="0" w:color="auto"/>
        <w:left w:val="none" w:sz="0" w:space="0" w:color="auto"/>
        <w:bottom w:val="none" w:sz="0" w:space="0" w:color="auto"/>
        <w:right w:val="none" w:sz="0" w:space="0" w:color="auto"/>
      </w:divBdr>
    </w:div>
    <w:div w:id="1905874719">
      <w:marLeft w:val="640"/>
      <w:marRight w:val="0"/>
      <w:marTop w:val="0"/>
      <w:marBottom w:val="0"/>
      <w:divBdr>
        <w:top w:val="none" w:sz="0" w:space="0" w:color="auto"/>
        <w:left w:val="none" w:sz="0" w:space="0" w:color="auto"/>
        <w:bottom w:val="none" w:sz="0" w:space="0" w:color="auto"/>
        <w:right w:val="none" w:sz="0" w:space="0" w:color="auto"/>
      </w:divBdr>
    </w:div>
    <w:div w:id="1931813265">
      <w:marLeft w:val="640"/>
      <w:marRight w:val="0"/>
      <w:marTop w:val="0"/>
      <w:marBottom w:val="0"/>
      <w:divBdr>
        <w:top w:val="none" w:sz="0" w:space="0" w:color="auto"/>
        <w:left w:val="none" w:sz="0" w:space="0" w:color="auto"/>
        <w:bottom w:val="none" w:sz="0" w:space="0" w:color="auto"/>
        <w:right w:val="none" w:sz="0" w:space="0" w:color="auto"/>
      </w:divBdr>
    </w:div>
    <w:div w:id="1936326853">
      <w:marLeft w:val="640"/>
      <w:marRight w:val="0"/>
      <w:marTop w:val="0"/>
      <w:marBottom w:val="0"/>
      <w:divBdr>
        <w:top w:val="none" w:sz="0" w:space="0" w:color="auto"/>
        <w:left w:val="none" w:sz="0" w:space="0" w:color="auto"/>
        <w:bottom w:val="none" w:sz="0" w:space="0" w:color="auto"/>
        <w:right w:val="none" w:sz="0" w:space="0" w:color="auto"/>
      </w:divBdr>
    </w:div>
    <w:div w:id="1965184994">
      <w:marLeft w:val="640"/>
      <w:marRight w:val="0"/>
      <w:marTop w:val="0"/>
      <w:marBottom w:val="0"/>
      <w:divBdr>
        <w:top w:val="none" w:sz="0" w:space="0" w:color="auto"/>
        <w:left w:val="none" w:sz="0" w:space="0" w:color="auto"/>
        <w:bottom w:val="none" w:sz="0" w:space="0" w:color="auto"/>
        <w:right w:val="none" w:sz="0" w:space="0" w:color="auto"/>
      </w:divBdr>
    </w:div>
    <w:div w:id="1972202798">
      <w:marLeft w:val="640"/>
      <w:marRight w:val="0"/>
      <w:marTop w:val="0"/>
      <w:marBottom w:val="0"/>
      <w:divBdr>
        <w:top w:val="none" w:sz="0" w:space="0" w:color="auto"/>
        <w:left w:val="none" w:sz="0" w:space="0" w:color="auto"/>
        <w:bottom w:val="none" w:sz="0" w:space="0" w:color="auto"/>
        <w:right w:val="none" w:sz="0" w:space="0" w:color="auto"/>
      </w:divBdr>
    </w:div>
    <w:div w:id="2061703313">
      <w:marLeft w:val="640"/>
      <w:marRight w:val="0"/>
      <w:marTop w:val="0"/>
      <w:marBottom w:val="0"/>
      <w:divBdr>
        <w:top w:val="none" w:sz="0" w:space="0" w:color="auto"/>
        <w:left w:val="none" w:sz="0" w:space="0" w:color="auto"/>
        <w:bottom w:val="none" w:sz="0" w:space="0" w:color="auto"/>
        <w:right w:val="none" w:sz="0" w:space="0" w:color="auto"/>
      </w:divBdr>
    </w:div>
    <w:div w:id="2069108791">
      <w:marLeft w:val="640"/>
      <w:marRight w:val="0"/>
      <w:marTop w:val="0"/>
      <w:marBottom w:val="0"/>
      <w:divBdr>
        <w:top w:val="none" w:sz="0" w:space="0" w:color="auto"/>
        <w:left w:val="none" w:sz="0" w:space="0" w:color="auto"/>
        <w:bottom w:val="none" w:sz="0" w:space="0" w:color="auto"/>
        <w:right w:val="none" w:sz="0" w:space="0" w:color="auto"/>
      </w:divBdr>
    </w:div>
    <w:div w:id="2083063848">
      <w:marLeft w:val="640"/>
      <w:marRight w:val="0"/>
      <w:marTop w:val="0"/>
      <w:marBottom w:val="0"/>
      <w:divBdr>
        <w:top w:val="none" w:sz="0" w:space="0" w:color="auto"/>
        <w:left w:val="none" w:sz="0" w:space="0" w:color="auto"/>
        <w:bottom w:val="none" w:sz="0" w:space="0" w:color="auto"/>
        <w:right w:val="none" w:sz="0" w:space="0" w:color="auto"/>
      </w:divBdr>
    </w:div>
    <w:div w:id="2094427489">
      <w:bodyDiv w:val="1"/>
      <w:marLeft w:val="0"/>
      <w:marRight w:val="0"/>
      <w:marTop w:val="0"/>
      <w:marBottom w:val="0"/>
      <w:divBdr>
        <w:top w:val="none" w:sz="0" w:space="0" w:color="auto"/>
        <w:left w:val="none" w:sz="0" w:space="0" w:color="auto"/>
        <w:bottom w:val="none" w:sz="0" w:space="0" w:color="auto"/>
        <w:right w:val="none" w:sz="0" w:space="0" w:color="auto"/>
      </w:divBdr>
    </w:div>
    <w:div w:id="2121338518">
      <w:marLeft w:val="640"/>
      <w:marRight w:val="0"/>
      <w:marTop w:val="0"/>
      <w:marBottom w:val="0"/>
      <w:divBdr>
        <w:top w:val="none" w:sz="0" w:space="0" w:color="auto"/>
        <w:left w:val="none" w:sz="0" w:space="0" w:color="auto"/>
        <w:bottom w:val="none" w:sz="0" w:space="0" w:color="auto"/>
        <w:right w:val="none" w:sz="0" w:space="0" w:color="auto"/>
      </w:divBdr>
    </w:div>
    <w:div w:id="2123182767">
      <w:marLeft w:val="640"/>
      <w:marRight w:val="0"/>
      <w:marTop w:val="0"/>
      <w:marBottom w:val="0"/>
      <w:divBdr>
        <w:top w:val="none" w:sz="0" w:space="0" w:color="auto"/>
        <w:left w:val="none" w:sz="0" w:space="0" w:color="auto"/>
        <w:bottom w:val="none" w:sz="0" w:space="0" w:color="auto"/>
        <w:right w:val="none" w:sz="0" w:space="0" w:color="auto"/>
      </w:divBdr>
    </w:div>
    <w:div w:id="2127195857">
      <w:marLeft w:val="640"/>
      <w:marRight w:val="0"/>
      <w:marTop w:val="0"/>
      <w:marBottom w:val="0"/>
      <w:divBdr>
        <w:top w:val="none" w:sz="0" w:space="0" w:color="auto"/>
        <w:left w:val="none" w:sz="0" w:space="0" w:color="auto"/>
        <w:bottom w:val="none" w:sz="0" w:space="0" w:color="auto"/>
        <w:right w:val="none" w:sz="0" w:space="0" w:color="auto"/>
      </w:divBdr>
    </w:div>
    <w:div w:id="2128621088">
      <w:marLeft w:val="640"/>
      <w:marRight w:val="0"/>
      <w:marTop w:val="0"/>
      <w:marBottom w:val="0"/>
      <w:divBdr>
        <w:top w:val="none" w:sz="0" w:space="0" w:color="auto"/>
        <w:left w:val="none" w:sz="0" w:space="0" w:color="auto"/>
        <w:bottom w:val="none" w:sz="0" w:space="0" w:color="auto"/>
        <w:right w:val="none" w:sz="0" w:space="0" w:color="auto"/>
      </w:divBdr>
    </w:div>
    <w:div w:id="2138255780">
      <w:marLeft w:val="640"/>
      <w:marRight w:val="0"/>
      <w:marTop w:val="0"/>
      <w:marBottom w:val="0"/>
      <w:divBdr>
        <w:top w:val="none" w:sz="0" w:space="0" w:color="auto"/>
        <w:left w:val="none" w:sz="0" w:space="0" w:color="auto"/>
        <w:bottom w:val="none" w:sz="0" w:space="0" w:color="auto"/>
        <w:right w:val="none" w:sz="0" w:space="0" w:color="auto"/>
      </w:divBdr>
    </w:div>
    <w:div w:id="2147116813">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E1C6012-41B0-4A9B-B4AA-4E6AAC831AAD}"/>
      </w:docPartPr>
      <w:docPartBody>
        <w:p w:rsidR="0083498D" w:rsidRDefault="00B34002">
          <w:r w:rsidRPr="00A305B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002"/>
    <w:rsid w:val="00054BDA"/>
    <w:rsid w:val="00091124"/>
    <w:rsid w:val="0009340C"/>
    <w:rsid w:val="00096AC2"/>
    <w:rsid w:val="000F1B65"/>
    <w:rsid w:val="00193965"/>
    <w:rsid w:val="001B5A40"/>
    <w:rsid w:val="00210532"/>
    <w:rsid w:val="002963CC"/>
    <w:rsid w:val="002F0AF4"/>
    <w:rsid w:val="00383F30"/>
    <w:rsid w:val="003B30A0"/>
    <w:rsid w:val="003B494C"/>
    <w:rsid w:val="003C24BB"/>
    <w:rsid w:val="003F208D"/>
    <w:rsid w:val="004B2006"/>
    <w:rsid w:val="004C4FBC"/>
    <w:rsid w:val="004E5A4B"/>
    <w:rsid w:val="00620104"/>
    <w:rsid w:val="006726E5"/>
    <w:rsid w:val="00684327"/>
    <w:rsid w:val="0083498D"/>
    <w:rsid w:val="009E7790"/>
    <w:rsid w:val="00B0373F"/>
    <w:rsid w:val="00B34002"/>
    <w:rsid w:val="00BB5974"/>
    <w:rsid w:val="00C43FE8"/>
    <w:rsid w:val="00CD6EFA"/>
    <w:rsid w:val="00D01CD9"/>
    <w:rsid w:val="00D01E07"/>
    <w:rsid w:val="00DC4F90"/>
    <w:rsid w:val="00E701B3"/>
    <w:rsid w:val="00F3186B"/>
    <w:rsid w:val="00F548A7"/>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L" w:eastAsia="en-I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400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8B793F8-C045-4336-968A-1CC1C00D2E2B}">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68159549033"/>
    <we:property name="MENDELEY_CITATIONS" value="[{&quot;citationID&quot;:&quot;MENDELEY_CITATION_40e3146b-1fcf-41d2-8a46-afae27c8dcf6&quot;,&quot;properties&quot;:{&quot;noteIndex&quot;:0},&quot;isEdited&quot;:false,&quot;manualOverride&quot;:{&quot;citeprocText&quot;:&quot;&lt;sup&gt;1&lt;/sup&gt;&quot;,&quot;isManuallyOverridden&quot;:false,&quot;manualOverrideText&quot;:&quot;&quot;},&quot;citationItems&quot;:[{&quot;id&quot;:&quot;6c3ba9f3-cec9-5f13-b8ba-e32ceb9b284c&quot;,&quot;itemData&quot;:{&quot;DOI&quot;:&quot;10.14806/ej.17.1.200&quot;,&quot;abstract&quot;:&quot;© 2017 The Author(s). Breast cancer encompasses a group of heterogeneous diseases, each associated with distinct clinical implications. Dozens of molecular biomarkers capable of categorizing tumors into clinically relevant subgroups have been proposed which, though considerably contribute in precision medicine, complicate our understandings toward breast cancer subtyping and its clinical translation. To decipher the networking of markers with diagnostic roles on breast carcinomas, we constructed the diagnostic networks by incorporating 6 publically available gene expression datasets with protein interaction data retrieved from BioGRID on previously identified 1015 genes with breast cancer subtyping roles. The Greedy algorithm and mutual information were used to construct the integrated diagnostic network, resulting in 37 genes enclosing 43 interactions. Four genes, FAM134B, KIF2C, ALCAM, KIF1A, were identified having comparable subtyping efficacies with the initial 1015 genes evaluated by hierarchical clustering and cross validations that deploy support vector machine and k nearest neighbor algorithms. Pathway, Gene Ontology, and proliferation marker enrichment analyses collectively suggest 5 primary cancer hallmarks driving breast cancer differentiation, with those contributing to uncontrolled proliferation being the most prominent. Our results propose a 37-gene integrated diagnostic network implicating 5 cancer hallmarks that drives breast cancer heterogeneity and, in particular, a 4-gene panel with clinical diagnostic translation potential.&quot;,&quot;author&quot;:[{&quot;dropping-particle&quot;:&quot;&quot;,&quot;family&quot;:&quot;Martin&quot;,&quot;given&quot;:&quot;Marcel&quot;,&quot;non-dropping-particle&quot;:&quot;&quot;,&quot;parse-names&quot;:false,&quot;suffix&quot;:&quot;&quot;}],&quot;container-title&quot;:&quot;EMBnet.journal&quot;,&quot;id&quot;:&quot;6c3ba9f3-cec9-5f13-b8ba-e32ceb9b284c&quot;,&quot;issue&quot;:&quot;1&quot;,&quot;issued&quot;:{&quot;date-parts&quot;:[[&quot;2011&quot;]]},&quot;page&quot;:&quot;10&quot;,&quot;title&quot;:&quot;Cutadapt removes adapter sequences from high-throughput sequencing reads&quot;,&quot;type&quot;:&quot;article-journal&quot;,&quot;volume&quot;:&quot;17&quot;,&quot;container-title-short&quot;:&quot;EMBnet J&quot;},&quot;uris&quot;:[&quot;http://www.mendeley.com/documents/?uuid=53f1242c-0aae-4edc-9bd4-69cbdb662aca&quot;],&quot;isTemporary&quot;:false,&quot;legacyDesktopId&quot;:&quot;53f1242c-0aae-4edc-9bd4-69cbdb662aca&quot;}],&quot;citationTag&quot;:&quot;MENDELEY_CITATION_v3_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&quot;},{&quot;citationID&quot;:&quot;MENDELEY_CITATION_0b52010f-454e-4919-a5f1-5812df5ed2b4&quot;,&quot;properties&quot;:{&quot;noteIndex&quot;:0},&quot;isEdited&quot;:false,&quot;manualOverride&quot;:{&quot;citeprocText&quot;:&quot;&lt;sup&gt;2&lt;/sup&gt;&quot;,&quot;isManuallyOverridden&quot;:false,&quot;manualOverrideText&quot;:&quot;&quot;},&quot;citationItems&quot;:[{&quot;id&quot;:&quot;1b5e8b91-7597-5b21-80e2-a72a8d2df781&quot;,&quot;itemData&quot;:{&quot;DOI&quot;:&quot;10.1093/bioinformatics/bts635&quot;,&quot;ISSN&quot;:&quot;13674803&quot;,&quot;PMID&quot;:&quot;23104886&quot;,&quot;abstract&quot;:&quot;Motivation: Accurate alignment of high-throughput RNA-seq data is a challenging and yet unsolved problem because of the non-contiguous transcript structure, relatively short read lengths and constantly increasing throughput of the sequencing technologies. Currently available RNA-seq aligners suffer from high mapping error rates, low mapping speed, read length limitation and mapping biases.Results: To align our large (&gt;80 billon reads) ENCODE Transcriptome RNA-seq dataset, we developed the Spliced Transcripts Alignment to a Reference (STAR) software based on a previously undescribed RNA-seq alignment algorithm that uses sequential maximum mappable seed search in uncompressed suffix arrays followed by seed clustering and stitching procedure. STAR outperforms other aligners by a factor of &gt;50 in mapping speed, aligning to the human genome 550 million 2 × 76 bp paired-end reads per hour on a modest 12-core server, while at the same time improving alignment sensitivity and precision. In addition to unbiased de novo detection of canonical junctions, STAR can discover non-canonical splices and chimeric (fusion) transcripts, and is also capable of mapping full-length RNA sequences. Using Roche 454 sequencing of reverse transcription polymerase chain reaction amplicons, we experimentally validated 1960 novel intergenic splice junctions with an 80-90% success rate, corroborating the high precision of the STAR mapping strategy. © The Author(s) 2012. Published by Oxford University Press.&quot;,&quot;author&quot;:[{&quot;dropping-particle&quot;:&quot;&quot;,&quot;family&quot;:&quot;Dobin&quot;,&quot;given&quot;:&quot;Alexander&quot;,&quot;non-dropping-particle&quot;:&quot;&quot;,&quot;parse-names&quot;:false,&quot;suffix&quot;:&quot;&quot;},{&quot;dropping-particle&quot;:&quot;&quot;,&quot;family&quot;:&quot;Davis&quot;,&quot;given&quot;:&quot;Carrie A.&quot;,&quot;non-dropping-particle&quot;:&quot;&quot;,&quot;parse-names&quot;:false,&quot;suffix&quot;:&quot;&quot;},{&quot;dropping-particle&quot;:&quot;&quot;,&quot;family&quot;:&quot;Schlesinger&quot;,&quot;given&quot;:&quot;Felix&quot;,&quot;non-dropping-particle&quot;:&quot;&quot;,&quot;parse-names&quot;:false,&quot;suffix&quot;:&quot;&quot;},{&quot;dropping-particle&quot;:&quot;&quot;,&quot;family&quot;:&quot;Drenkow&quot;,&quot;given&quot;:&quot;Jorg&quot;,&quot;non-dropping-particle&quot;:&quot;&quot;,&quot;parse-names&quot;:false,&quot;suffix&quot;:&quot;&quot;},{&quot;dropping-particle&quot;:&quot;&quot;,&quot;family&quot;:&quot;Zaleski&quot;,&quot;given&quot;:&quot;Chris&quot;,&quot;non-dropping-particle&quot;:&quot;&quot;,&quot;parse-names&quot;:false,&quot;suffix&quot;:&quot;&quot;},{&quot;dropping-particle&quot;:&quot;&quot;,&quot;family&quot;:&quot;Jha&quot;,&quot;given&quot;:&quot;Sonali&quot;,&quot;non-dropping-particle&quot;:&quot;&quot;,&quot;parse-names&quot;:false,&quot;suffix&quot;:&quot;&quot;},{&quot;dropping-particle&quot;:&quot;&quot;,&quot;family&quot;:&quot;Batut&quot;,&quot;given&quot;:&quot;Philippe&quot;,&quot;non-dropping-particle&quot;:&quot;&quot;,&quot;parse-names&quot;:false,&quot;suffix&quot;:&quot;&quot;},{&quot;dropping-particle&quot;:&quot;&quot;,&quot;family&quot;:&quot;Chaisson&quot;,&quot;given&quot;:&quot;Mark&quot;,&quot;non-dropping-particle&quot;:&quot;&quot;,&quot;parse-names&quot;:false,&quot;suffix&quot;:&quot;&quot;},{&quot;dropping-particle&quot;:&quot;&quot;,&quot;family&quot;:&quot;Gingeras&quot;,&quot;given&quot;:&quot;Thomas R.&quot;,&quot;non-dropping-particle&quot;:&quot;&quot;,&quot;parse-names&quot;:false,&quot;suffix&quot;:&quot;&quot;}],&quot;container-title&quot;:&quot;Bioinformatics&quot;,&quot;id&quot;:&quot;1b5e8b91-7597-5b21-80e2-a72a8d2df781&quot;,&quot;issue&quot;:&quot;1&quot;,&quot;issued&quot;:{&quot;date-parts&quot;:[[&quot;2013&quot;]]},&quot;page&quot;:&quot;15-21&quot;,&quot;title&quot;:&quot;STAR: Ultrafast universal RNA-seq aligner&quot;,&quot;type&quot;:&quot;article-journal&quot;,&quot;volume&quot;:&quot;29&quot;,&quot;container-title-short&quot;:&quot;&quot;},&quot;uris&quot;:[&quot;http://www.mendeley.com/documents/?uuid=014abcc0-5706-4b98-bea1-788578cf74f7&quot;],&quot;isTemporary&quot;:false,&quot;legacyDesktopId&quot;:&quot;014abcc0-5706-4b98-bea1-788578cf74f7&quot;}],&quot;citationTag&quot;:&quot;MENDELEY_CITATION_v3_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&quot;},{&quot;citationID&quot;:&quot;MENDELEY_CITATION_53f77fb0-8c17-44fa-adad-d9bb55021b15&quot;,&quot;properties&quot;:{&quot;noteIndex&quot;:0},&quot;isEdited&quot;:false,&quot;manualOverride&quot;:{&quot;citeprocText&quot;:&quot;&lt;sup&gt;3&lt;/sup&gt;&quot;,&quot;isManuallyOverridden&quot;:false,&quot;manualOverrideText&quot;:&quot;&quot;},&quot;citationItems&quot;:[{&quot;id&quot;:&quot;199f2dd2-43ed-5d4c-a42b-b798fbe97fb2&quot;,&quot;itemData&quot;:{&quot;DOI&quot;:&quot;10.1093/bioinformatics/btu638&quot;,&quot;ISSN&quot;:&quot;14602059&quot;,&quot;PMID&quot;:&quot;25260700&quot;,&quot;abstract&quot;:&quot;Motivation: A large choice of tools exists for many standard tasks in the analysis of high-throughput sequencing (HTS) data. However, once a project deviates from standard workflows, custom scripts are needed. Results: We present HTSeq, a Python library to facilitate the rapid development of such scripts. HTSeq offers parsers for many common data formats in HTS projects, as well as classes to represent data, such as genomic coordinates, sequences, sequencing reads, alignments, gene model information and variant calls, and provides data structures that allow for querying via genomic coordinates. We also present htseq-count, a tool developed with HTSeq that preprocesses RNA-Seq data for differential expression analysis by counting the overlap of reads with genes.&quot;,&quot;author&quot;:[{&quot;dropping-particle&quot;:&quot;&quot;,&quot;family&quot;:&quot;Anders&quot;,&quot;given&quot;:&quot;Simon&quot;,&quot;non-dropping-particle&quot;:&quot;&quot;,&quot;parse-names&quot;:false,&quot;suffix&quot;:&quot;&quot;},{&quot;dropping-particle&quot;:&quot;&quot;,&quot;family&quot;:&quot;Pyl&quot;,&quot;given&quot;:&quot;Paul Theodor&quot;,&quot;non-dropping-particle&quot;:&quot;&quot;,&quot;parse-names&quot;:false,&quot;suffix&quot;:&quot;&quot;},{&quot;dropping-particle&quot;:&quot;&quot;,&quot;family&quot;:&quot;Huber&quot;,&quot;given&quot;:&quot;Wolfgang&quot;,&quot;non-dropping-particle&quot;:&quot;&quot;,&quot;parse-names&quot;:false,&quot;suffix&quot;:&quot;&quot;}],&quot;container-title&quot;:&quot;Bioinformatics&quot;,&quot;id&quot;:&quot;199f2dd2-43ed-5d4c-a42b-b798fbe97fb2&quot;,&quot;issue&quot;:&quot;2&quot;,&quot;issued&quot;:{&quot;date-parts&quot;:[[&quot;2015&quot;]]},&quot;page&quot;:&quot;166-169&quot;,&quot;title&quot;:&quot;HTSeq-A Python framework to work with high-throughput sequencing data&quot;,&quot;type&quot;:&quot;article-journal&quot;,&quot;volume&quot;:&quot;31&quot;,&quot;container-title-short&quot;:&quot;&quot;},&quot;uris&quot;:[&quot;http://www.mendeley.com/documents/?uuid=dd132c28-6e9d-458d-b750-167f206d6ade&quot;],&quot;isTemporary&quot;:false,&quot;legacyDesktopId&quot;:&quot;dd132c28-6e9d-458d-b750-167f206d6ade&quot;}],&quot;citationTag&quot;:&quot;MENDELEY_CITATION_v3_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&quot;},{&quot;citationID&quot;:&quot;MENDELEY_CITATION_73122a37-04d3-40b2-907d-0f5116558f34&quot;,&quot;properties&quot;:{&quot;noteIndex&quot;:0},&quot;isEdited&quot;:false,&quot;manualOverride&quot;:{&quot;citeprocText&quot;:&quot;&lt;sup&gt;4&lt;/sup&gt;&quot;,&quot;isManuallyOverridden&quot;:false,&quot;manualOverrideText&quot;:&quot;&quot;},&quot;citationItems&quot;:[{&quot;id&quot;:&quot;c41eedd1-6ef9-5203-b32d-f6277657da14&quot;,&quot;itemData&quot;:{&quot;DOI&quot;:&quot;10.1186/s13059-014-0550-8&quot;,&quot;ISSN&quot;:&quot;1474760X&quot;,&quot;PMID&quot;:&quot;25516281&quot;,&quot;abstract&quot;:&quot;In comparative high-throughput sequencing assays, a fundamental task is the analysis of count data, such as read counts per gene in RNA-seq, for evidence of systematic changes across experimental conditions. Small replicate numbers, discreteness, large dynamic range and the presence of outliers require a suitable statistical approach. We present DESeq2, a method for differential analysis of count data, using shrinkage estimation for dispersions and fold changes to improve stability and interpretability of estimates. This enables a more quantitative analysis focused on the strength rather than the mere presence of differential expression. The DESeq2 package is available at http://www.bioconductor.org/packages/release/bioc/html/DESeq2.html.&quot;,&quot;author&quot;:[{&quot;dropping-particle&quot;:&quot;&quot;,&quot;family&quot;:&quot;Love&quot;,&quot;given&quot;:&quot;Michael I.&quot;,&quot;non-dropping-particle&quot;:&quot;&quot;,&quot;parse-names&quot;:false,&quot;suffix&quot;:&quot;&quot;},{&quot;dropping-particle&quot;:&quot;&quot;,&quot;family&quot;:&quot;Huber&quot;,&quot;given&quot;:&quot;Wolfgang&quot;,&quot;non-dropping-particle&quot;:&quot;&quot;,&quot;parse-names&quot;:false,&quot;suffix&quot;:&quot;&quot;},{&quot;dropping-particle&quot;:&quot;&quot;,&quot;family&quot;:&quot;Anders&quot;,&quot;given&quot;:&quot;Simon&quot;,&quot;non-dropping-particle&quot;:&quot;&quot;,&quot;parse-names&quot;:false,&quot;suffix&quot;:&quot;&quot;}],&quot;container-title&quot;:&quot;Genome Biology&quot;,&quot;id&quot;:&quot;c41eedd1-6ef9-5203-b32d-f6277657da14&quot;,&quot;issue&quot;:&quot;12&quot;,&quot;issued&quot;:{&quot;date-parts&quot;:[[&quot;2014&quot;]]},&quot;page&quot;:&quot;1-21&quot;,&quot;title&quot;:&quot;Moderated estimation of fold change and dispersion for RNA-seq data with DESeq2&quot;,&quot;type&quot;:&quot;article-journal&quot;,&quot;volume&quot;:&quot;15&quot;,&quot;container-title-short&quot;:&quot;Genome Biol&quot;},&quot;uris&quot;:[&quot;http://www.mendeley.com/documents/?uuid=071b2bfd-c805-4ba6-a00f-2514d51085e1&quot;],&quot;isTemporary&quot;:false,&quot;legacyDesktopId&quot;:&quot;071b2bfd-c805-4ba6-a00f-2514d51085e1&quot;}],&quot;citationTag&quot;:&quot;MENDELEY_CITATION_v3_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&quot;},{&quot;citationID&quot;:&quot;MENDELEY_CITATION_301bd774-b5ae-4dd6-a857-c0547f26e04f&quot;,&quot;properties&quot;:{&quot;noteIndex&quot;:0},&quot;isEdited&quot;:false,&quot;manualOverride&quot;:{&quot;citeprocText&quot;:&quot;&lt;sup&gt;5&lt;/sup&gt;&quot;,&quot;isManuallyOverridden&quot;:false,&quot;manualOverrideText&quot;:&quot;&quot;},&quot;citationItems&quot;:[{&quot;id&quot;:&quot;123f66fe-24ba-5de3-9442-86f1ffef1648&quot;,&quot;itemData&quot;:{&quot;DOI&quot;:&quot;10.1093/bioinformatics/bts480&quot;,&quot;ISSN&quot;:&quot;14602059&quot;,&quot;PMID&quot;:&quot;22908215&quot;,&quot;abstract&quot;:&quot;Snakemake is a workflow engine that provides a readable Python-based workflow definition language and a powerful execution environment that scales from single-core workstations to compute clusters without modifying the workflow. It is the first system to support the use of automatically inferred multiple named wildcards (or variables) in input and output filenames. © The Author 2012. Published by Oxford University Press. All rights reserved.&quot;,&quot;author&quot;:[{&quot;dropping-particle&quot;:&quot;&quot;,&quot;family&quot;:&quot;Köster&quot;,&quot;given&quot;:&quot;Johannes&quot;,&quot;non-dropping-particle&quot;:&quot;&quot;,&quot;parse-names&quot;:false,&quot;suffix&quot;:&quot;&quot;},{&quot;dropping-particle&quot;:&quot;&quot;,&quot;family&quot;:&quot;Rahmann&quot;,&quot;given&quot;:&quot;Sven&quot;,&quot;non-dropping-particle&quot;:&quot;&quot;,&quot;parse-names&quot;:false,&quot;suffix&quot;:&quot;&quot;}],&quot;container-title&quot;:&quot;Bioinformatics&quot;,&quot;id&quot;:&quot;123f66fe-24ba-5de3-9442-86f1ffef1648&quot;,&quot;issue&quot;:&quot;19&quot;,&quot;issued&quot;:{&quot;date-parts&quot;:[[&quot;2012&quot;]]},&quot;page&quot;:&quot;2520-2522&quot;,&quot;title&quot;:&quot;Snakemake-a scalable bioinformatics workflow engine&quot;,&quot;type&quot;:&quot;article-journal&quot;,&quot;volume&quot;:&quot;28&quot;,&quot;container-title-short&quot;:&quot;&quot;},&quot;uris&quot;:[&quot;http://www.mendeley.com/documents/?uuid=c9b2f19e-6893-468e-a55f-1053dad44264&quot;],&quot;isTemporary&quot;:false,&quot;legacyDesktopId&quot;:&quot;c9b2f19e-6893-468e-a55f-1053dad44264&quot;}],&quot;citationTag&quot;:&quot;MENDELEY_CITATION_v3_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&quot;},{&quot;citationID&quot;:&quot;MENDELEY_CITATION_81d188cd-03d1-4a8c-878c-9a7f8fdb17af&quot;,&quot;properties&quot;:{&quot;noteIndex&quot;:0},&quot;isEdited&quot;:false,&quot;manualOverride&quot;:{&quot;isManuallyOverridden&quot;:false,&quot;citeprocText&quot;:&quot;&lt;sup&gt;6&lt;/sup&gt;&quot;,&quot;manualOverrideText&quot;:&quot;&quot;},&quot;citationItems&quot;:[{&quot;id&quot;:&quot;bed756c9-937e-3e5a-aa1f-a2073e5f1d95&quot;,&quot;itemData&quot;:{&quot;type&quot;:&quot;article-journal&quot;,&quot;id&quot;:&quot;bed756c9-937e-3e5a-aa1f-a2073e5f1d95&quot;,&quot;title&quot;:&quot;Simple Combinations of Lineage-Determining Transcription Factors Prime cis-Regulatory Elements Required for Macrophage and B Cell Identities&quot;,&quot;author&quot;:[{&quot;family&quot;:&quot;Heinz&quot;,&quot;given&quot;:&quot;Sven&quot;,&quot;parse-names&quot;:false,&quot;dropping-particle&quot;:&quot;&quot;,&quot;non-dropping-particle&quot;:&quot;&quot;},{&quot;family&quot;:&quot;Benner&quot;,&quot;given&quot;:&quot;Christopher&quot;,&quot;parse-names&quot;:false,&quot;dropping-particle&quot;:&quot;&quot;,&quot;non-dropping-particle&quot;:&quot;&quot;},{&quot;family&quot;:&quot;Spann&quot;,&quot;given&quot;:&quot;Nathanael&quot;,&quot;parse-names&quot;:false,&quot;dropping-particle&quot;:&quot;&quot;,&quot;non-dropping-particle&quot;:&quot;&quot;},{&quot;family&quot;:&quot;Bertolino&quot;,&quot;given&quot;:&quot;Eric&quot;,&quot;parse-names&quot;:false,&quot;dropping-particle&quot;:&quot;&quot;,&quot;non-dropping-particle&quot;:&quot;&quot;},{&quot;family&quot;:&quot;Lin&quot;,&quot;given&quot;:&quot;Yin C.&quot;,&quot;parse-names&quot;:false,&quot;dropping-particle&quot;:&quot;&quot;,&quot;non-dropping-particle&quot;:&quot;&quot;},{&quot;family&quot;:&quot;Laslo&quot;,&quot;given&quot;:&quot;Peter&quot;,&quot;parse-names&quot;:false,&quot;dropping-particle&quot;:&quot;&quot;,&quot;non-dropping-particle&quot;:&quot;&quot;},{&quot;family&quot;:&quot;Cheng&quot;,&quot;given&quot;:&quot;Jason X.&quot;,&quot;parse-names&quot;:false,&quot;dropping-particle&quot;:&quot;&quot;,&quot;non-dropping-particle&quot;:&quot;&quot;},{&quot;family&quot;:&quot;Murre&quot;,&quot;given&quot;:&quot;Cornelis&quot;,&quot;parse-names&quot;:false,&quot;dropping-particle&quot;:&quot;&quot;,&quot;non-dropping-particle&quot;:&quot;&quot;},{&quot;family&quot;:&quot;Singh&quot;,&quot;given&quot;:&quot;Harinder&quot;,&quot;parse-names&quot;:false,&quot;dropping-particle&quot;:&quot;&quot;,&quot;non-dropping-particle&quot;:&quot;&quot;},{&quot;family&quot;:&quot;Glass&quot;,&quot;given&quot;:&quot;Christopher K.&quot;,&quot;parse-names&quot;:false,&quot;dropping-particle&quot;:&quot;&quot;,&quot;non-dropping-particle&quot;:&quot;&quot;}],&quot;container-title&quot;:&quot;Molecular Cell&quot;,&quot;container-title-short&quot;:&quot;Mol Cell&quot;,&quot;accessed&quot;:{&quot;date-parts&quot;:[[2025,11,25]]},&quot;DOI&quot;:&quot;10.1016/J.MOLCEL.2010.05.004&quot;,&quot;ISSN&quot;:&quot;1097-2765&quot;,&quot;PMID&quot;:&quot;20513432&quot;,&quot;URL&quot;:&quot;https://www.sciencedirect.com/science/article/pii/S1097276510003667?via%3Dihub&quot;,&quot;issued&quot;:{&quot;date-parts&quot;:[[2010,5,28]]},&quot;page&quot;:&quot;576-589&quot;,&quot;abstract&quot;:&quot;Genome-scale studies have revealed extensive, cell type-specific colocalization of transcription factors, but the mechanisms underlying this phenomenon remain poorly understood. Here, we demonstrate in macrophages and B cells that collaborative interactions of the common factor PU.1 with small sets of macrophage- or B cell lineage-determining transcription factors establish cell-specific binding sites that are associated with the majority of promoter-distal H3K4me1-marked genomic regions. PU.1 binding initiates nucleosome remodeling, followed by H3K4 monomethylation at large numbers of genomic regions associated with both broadly and specifically expressed genes. These locations serve as beacons for additional factors, exemplified by liver X receptors, which drive both cell-specific gene expression and signal-dependent responses. Together with analyses of transcription factor binding and H3K4me1 patterns in other cell types, these studies suggest that simple combinations of lineage-determining transcription factors can specify the genomic sites ultimately responsible for both cell identity and cell type-specific responses to diverse signaling inputs. © 2010 Elsevier Inc. All rights reserved.&quot;,&quot;publisher&quot;:&quot;Cell Press&quot;,&quot;issue&quot;:&quot;4&quot;,&quot;volume&quot;:&quot;38&quot;},&quot;isTemporary&quot;:false}],&quot;citationTag&quot;:&quot;MENDELEY_CITATION_v3_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&quot;},{&quot;citationID&quot;:&quot;MENDELEY_CITATION_723637a7-f46f-45d1-b957-d077f3b00ada&quot;,&quot;properties&quot;:{&quot;noteIndex&quot;:0},&quot;isEdited&quot;:false,&quot;manualOverride&quot;:{&quot;citeprocText&quot;:&quot;&lt;sup&gt;7&lt;/sup&gt;&quot;,&quot;isManuallyOverridden&quot;:false,&quot;manualOverrideText&quot;:&quot;&quot;},&quot;citationItems&quot;:[{&quot;id&quot;:&quot;d3710f66-0666-583c-a528-1d003e7704f4&quot;,&quot;itemData&quot;:{&quot;DOI&quot;:&quot;10.1073/pnas.0506580102&quot;,&quot;ISSN&quot;:&quot;00278424&quot;,&quot;PMID&quot;:&quot;16199517&quot;,&quot;abstract&quot;:&quot;Although genomewide RNA expression analysis has become a routine tool in biomedical research, extracting biological insight from such information remains a major challenge. Here, we describe a powerful analytical method called Gene Set Enrichment Analysis (GSEA) for interpreting gene expression data. The method derives its power by focusing on gene sets, that is, groups of genes that share common biological function, chromosomal location, or regulation. We demonstrate how GSEA yields insights into several cancer-related data sets, including leukemia and lung cancer. Notably, where single-gene analysis finds little similarity between two independent studies of patient survival in lung cancer, GSEA reveals many biological pathways in common. The GSEA method is embodied in a freely available software package, together with an initial database of 1,325 biologically defined gene sets. © 2005 by The National Academy of Sciences of the USA.&quot;,&quot;author&quot;:[{&quot;dropping-particle&quot;:&quot;&quot;,&quot;family&quot;:&quot;Subramanian&quot;,&quot;given&quot;:&quot;Aravind&quot;,&quot;non-dropping-particle&quot;:&quot;&quot;,&quot;parse-names&quot;:false,&quot;suffix&quot;:&quot;&quot;},{&quot;dropping-particle&quot;:&quot;&quot;,&quot;family&quot;:&quot;Tamayo&quot;,&quot;given&quot;:&quot;Pablo&quot;,&quot;non-dropping-particle&quot;:&quot;&quot;,&quot;parse-names&quot;:false,&quot;suffix&quot;:&quot;&quot;},{&quot;dropping-particle&quot;:&quot;&quot;,&quot;family&quot;:&quot;Mootha&quot;,&quot;given&quot;:&quot;Vamsi K.&quot;,&quot;non-dropping-particle&quot;:&quot;&quot;,&quot;parse-names&quot;:false,&quot;suffix&quot;:&quot;&quot;},{&quot;dropping-particle&quot;:&quot;&quot;,&quot;family&quot;:&quot;Mukherjee&quot;,&quot;given&quot;:&quot;Sayan&quot;,&quot;non-dropping-particle&quot;:&quot;&quot;,&quot;parse-names&quot;:false,&quot;suffix&quot;:&quot;&quot;},{&quot;dropping-particle&quot;:&quot;&quot;,&quot;family&quot;:&quot;Ebert&quot;,&quot;given&quot;:&quot;Benjamin L.&quot;,&quot;non-dropping-particle&quot;:&quot;&quot;,&quot;parse-names&quot;:false,&quot;suffix&quot;:&quot;&quot;},{&quot;dropping-particle&quot;:&quot;&quot;,&quot;family&quot;:&quot;Gillette&quot;,&quot;given&quot;:&quot;Michael A.&quot;,&quot;non-dropping-particle&quot;:&quot;&quot;,&quot;parse-names&quot;:false,&quot;suffix&quot;:&quot;&quot;},{&quot;dropping-particle&quot;:&quot;&quot;,&quot;family&quot;:&quot;Paulovich&quot;,&quot;given&quot;:&quot;Amanda&quot;,&quot;non-dropping-particle&quot;:&quot;&quot;,&quot;parse-names&quot;:false,&quot;suffix&quot;:&quot;&quot;},{&quot;dropping-particle&quot;:&quot;&quot;,&quot;family&quot;:&quot;Pomeroy&quot;,&quot;given&quot;:&quot;Scott L.&quot;,&quot;non-dropping-particle&quot;:&quot;&quot;,&quot;parse-names&quot;:false,&quot;suffix&quot;:&quot;&quot;},{&quot;dropping-particle&quot;:&quot;&quot;,&quot;family&quot;:&quot;Golub&quot;,&quot;given&quot;:&quot;Todd R.&quot;,&quot;non-dropping-particle&quot;:&quot;&quot;,&quot;parse-names&quot;:false,&quot;suffix&quot;:&quot;&quot;},{&quot;dropping-particle&quot;:&quot;&quot;,&quot;family&quot;:&quot;Lander&quot;,&quot;given&quot;:&quot;Eric S.&quot;,&quot;non-dropping-particle&quot;:&quot;&quot;,&quot;parse-names&quot;:false,&quot;suffix&quot;:&quot;&quot;},{&quot;dropping-particle&quot;:&quot;&quot;,&quot;family&quot;:&quot;Mesirov&quot;,&quot;given&quot;:&quot;Jill P.&quot;,&quot;non-dropping-particle&quot;:&quot;&quot;,&quot;parse-names&quot;:false,&quot;suffix&quot;:&quot;&quot;}],&quot;container-title&quot;:&quot;Proceedings of the National Academy of Sciences of the United States of America&quot;,&quot;id&quot;:&quot;d3710f66-0666-583c-a528-1d003e7704f4&quot;,&quot;issue&quot;:&quot;43&quot;,&quot;issued&quot;:{&quot;date-parts&quot;:[[&quot;2005&quot;]]},&quot;page&quot;:&quot;15545-15550&quot;,&quot;title&quot;:&quot;Gene set enrichment analysis: A knowledge-based approach for interpreting genome-wide expression profiles&quot;,&quot;type&quot;:&quot;article-journal&quot;,&quot;volume&quot;:&quot;102&quot;,&quot;container-title-short&quot;:&quot;Proc Natl Acad Sci U S A&quot;},&quot;uris&quot;:[&quot;http://www.mendeley.com/documents/?uuid=ffabcae5-de60-40af-9e8f-47b150bdb647&quot;],&quot;isTemporary&quot;:false,&quot;legacyDesktopId&quot;:&quot;ffabcae5-de60-40af-9e8f-47b150bdb647&quot;}],&quot;citationTag&quot;:&quot;MENDELEY_CITATION_v3_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&quot;}]"/>
    <we:property name="MENDELEY_CITATIONS_LOCALE_CODE" value="&quot;en-GB&quot;"/>
    <we:property name="MENDELEY_CITATIONS_STYLE" value="{&quot;id&quot;:&quot;https://www.zotero.org/styles/vancouver-superscript&quot;,&quot;title&quot;:&quot;Vancouver (superscript)&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49656-0535-4515-985E-D776BE24D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770</TotalTime>
  <Pages>1</Pages>
  <Words>3999</Words>
  <Characters>22800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siva sai</dc:creator>
  <cp:keywords/>
  <dc:description/>
  <cp:lastModifiedBy>siva sai</cp:lastModifiedBy>
  <cp:revision>50</cp:revision>
  <cp:lastPrinted>2024-04-10T04:29:00Z</cp:lastPrinted>
  <dcterms:created xsi:type="dcterms:W3CDTF">2024-04-10T04:29:00Z</dcterms:created>
  <dcterms:modified xsi:type="dcterms:W3CDTF">2026-02-08T17:28:00Z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a3553749-bcdc-3e1c-983c-965e94cb3b79</vt:lpwstr>
  </property>
  <property fmtid="{D5CDD505-2E9C-101B-9397-08002B2CF9AE}" pid="24" name="Mendeley Citation Style_1">
    <vt:lpwstr>http://www.zotero.org/styles/nature</vt:lpwstr>
  </property>
</Properties>
</file>