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DD5D0C" w14:textId="02D82A15" w:rsidR="00AE4219" w:rsidRPr="004270C9" w:rsidRDefault="005F152B">
      <w:pPr>
        <w:rPr>
          <w:rFonts w:cs="Arial"/>
          <w:b/>
          <w:bCs/>
          <w:sz w:val="24"/>
          <w:szCs w:val="32"/>
        </w:rPr>
      </w:pPr>
      <w:r w:rsidRPr="004270C9">
        <w:rPr>
          <w:rFonts w:cs="Arial"/>
          <w:b/>
          <w:bCs/>
          <w:sz w:val="24"/>
          <w:szCs w:val="32"/>
        </w:rPr>
        <w:t>Supplementary Information</w:t>
      </w:r>
    </w:p>
    <w:p w14:paraId="39D31A6E" w14:textId="70DD54B0" w:rsidR="005F152B" w:rsidRPr="004270C9" w:rsidRDefault="005F152B">
      <w:pPr>
        <w:rPr>
          <w:rFonts w:cs="Arial"/>
          <w:b/>
          <w:bCs/>
          <w:sz w:val="24"/>
          <w:szCs w:val="32"/>
        </w:rPr>
      </w:pPr>
      <w:r w:rsidRPr="004270C9">
        <w:rPr>
          <w:rFonts w:cs="Arial"/>
          <w:b/>
          <w:bCs/>
          <w:sz w:val="24"/>
          <w:szCs w:val="32"/>
        </w:rPr>
        <w:t>Detailed materials and methods</w:t>
      </w:r>
    </w:p>
    <w:p w14:paraId="59645CC3" w14:textId="77777777" w:rsidR="005F152B" w:rsidRPr="004270C9" w:rsidRDefault="005F152B" w:rsidP="005F152B">
      <w:pPr>
        <w:spacing w:after="120" w:line="480" w:lineRule="auto"/>
        <w:rPr>
          <w:rFonts w:eastAsia="Times New Roman" w:cs="Arial"/>
          <w:i/>
          <w:iCs/>
          <w:color w:val="000000"/>
        </w:rPr>
      </w:pPr>
      <w:r w:rsidRPr="004270C9">
        <w:rPr>
          <w:rFonts w:eastAsia="Times New Roman" w:cs="Arial"/>
          <w:b/>
          <w:i/>
          <w:iCs/>
          <w:color w:val="000000"/>
        </w:rPr>
        <w:t>Cell lines and constructs</w:t>
      </w:r>
    </w:p>
    <w:p w14:paraId="7A477FE0" w14:textId="5013D914" w:rsidR="005F152B" w:rsidRPr="004270C9" w:rsidRDefault="005F152B" w:rsidP="005F152B">
      <w:pPr>
        <w:spacing w:after="120" w:line="480" w:lineRule="auto"/>
        <w:rPr>
          <w:rFonts w:eastAsia="Times New Roman" w:cs="Arial"/>
          <w:color w:val="000000"/>
        </w:rPr>
      </w:pPr>
      <w:r w:rsidRPr="004270C9">
        <w:rPr>
          <w:rFonts w:eastAsia="Times New Roman" w:cs="Arial"/>
          <w:color w:val="000000"/>
        </w:rPr>
        <w:t>MCF7 (Cat# HTB-22, RRID: CVCL_0031), T47D (Cat# HTB-133, RRID: CVCL_0553), MDA-MB-231 (Cat# CRM-HTB-26, RRID: CVCL_0062), MDA-MB-468 (Cat# CRM-HTB-132, RRID: CVCL_0419), EO771 (Cat# CRL-3461, , RRID: CVCL_GR23), and 4T1 (Cat# CRL-2539, RRID: CVCL_0125) cells were purchased from the American Type Culture Collection (ATCC, Manassas, VA, USA). MDA-MB-231-Luc (Cat# 1559) and 4T1-Luc (Cat# 1447, RRID: CVCL_E3GH) cells were procured from the Japan Collection of Research Bioresources Cell Bank (JCRB, Tokyo, Japan). The cells were cultured in RPMI1640 medium (Cat# 189-02025; Fujifilm Wako, Tokyo, Japan) supplemented with 10% fetal bovine serum (FBS; Cat# A5256701, Gibco/Thermo Fisher Scientific, Waltham, MA, USA) and 1% antibiotic-antimycotic (100X; Cat# 15240062; Gibco/Thermo Fisher Scientific) in 100-mm tissue culture plates at 37°C in the presence of 5% CO</w:t>
      </w:r>
      <w:r w:rsidRPr="004270C9">
        <w:rPr>
          <w:rFonts w:eastAsia="Times New Roman" w:cs="Arial"/>
          <w:color w:val="000000"/>
          <w:vertAlign w:val="subscript"/>
        </w:rPr>
        <w:t>2</w:t>
      </w:r>
      <w:r w:rsidRPr="004270C9">
        <w:rPr>
          <w:rFonts w:eastAsia="Times New Roman" w:cs="Arial"/>
          <w:color w:val="000000"/>
        </w:rPr>
        <w:t xml:space="preserve">. The medium was renewed every 3 days, and the cells were split every 4 days. Stable gene knockdown or expression was achieved using the </w:t>
      </w:r>
      <w:proofErr w:type="spellStart"/>
      <w:r w:rsidRPr="004270C9">
        <w:rPr>
          <w:rFonts w:eastAsia="Times New Roman" w:cs="Arial"/>
          <w:color w:val="000000"/>
        </w:rPr>
        <w:t>ViraPower</w:t>
      </w:r>
      <w:proofErr w:type="spellEnd"/>
      <w:r w:rsidRPr="004270C9">
        <w:rPr>
          <w:rFonts w:eastAsia="Times New Roman" w:cs="Arial"/>
          <w:color w:val="000000"/>
        </w:rPr>
        <w:t xml:space="preserve"> Lentiviral Expression System (Cat# K497500; Thermo Fisher Scientific), according to the manufacturer’s protocol. Gene manipulation in stable polyclonal cell lines was checked using western blotting, and cells were passaged for no longer than a month for use in experiments. Cells were periodically </w:t>
      </w:r>
      <w:r w:rsidRPr="004270C9">
        <w:rPr>
          <w:rFonts w:eastAsia="Times New Roman" w:cs="Arial"/>
          <w:color w:val="000000"/>
        </w:rPr>
        <w:lastRenderedPageBreak/>
        <w:t xml:space="preserve">checked for </w:t>
      </w:r>
      <w:r w:rsidRPr="004270C9">
        <w:rPr>
          <w:rFonts w:eastAsia="Times New Roman" w:cs="Arial"/>
          <w:i/>
          <w:color w:val="000000"/>
        </w:rPr>
        <w:t>Mycoplasma</w:t>
      </w:r>
      <w:r w:rsidRPr="004270C9">
        <w:rPr>
          <w:rFonts w:eastAsia="Times New Roman" w:cs="Arial"/>
          <w:color w:val="000000"/>
        </w:rPr>
        <w:t xml:space="preserve"> contamination. Lentiviral shRNA constructs (MISSION™ TRC shRNA, TRCN0000063045 and TRCN0000299279) targeting </w:t>
      </w:r>
      <w:r w:rsidRPr="004270C9">
        <w:rPr>
          <w:rFonts w:eastAsia="Times New Roman" w:cs="Arial"/>
          <w:i/>
          <w:color w:val="000000"/>
        </w:rPr>
        <w:t>ADIPOR1</w:t>
      </w:r>
      <w:r w:rsidRPr="004270C9">
        <w:rPr>
          <w:rFonts w:eastAsia="Times New Roman" w:cs="Arial"/>
          <w:color w:val="000000"/>
        </w:rPr>
        <w:t xml:space="preserve"> were obtained from Sigma-Aldrich (St. Louis, MO, USA). A stable </w:t>
      </w:r>
      <w:r w:rsidRPr="004270C9">
        <w:rPr>
          <w:rFonts w:eastAsia="Times New Roman" w:cs="Arial"/>
          <w:i/>
          <w:color w:val="000000"/>
        </w:rPr>
        <w:t>ADIPOR1</w:t>
      </w:r>
      <w:r w:rsidRPr="004270C9">
        <w:rPr>
          <w:rFonts w:eastAsia="Times New Roman" w:cs="Arial"/>
          <w:color w:val="000000"/>
        </w:rPr>
        <w:t xml:space="preserve"> overexpression construct was constructed by cloning the open reading frame of </w:t>
      </w:r>
      <w:r w:rsidRPr="004270C9">
        <w:rPr>
          <w:rFonts w:eastAsia="Times New Roman" w:cs="Arial"/>
          <w:i/>
          <w:color w:val="000000"/>
        </w:rPr>
        <w:t>ADIPOR1</w:t>
      </w:r>
      <w:r w:rsidRPr="004270C9">
        <w:rPr>
          <w:rFonts w:eastAsia="Times New Roman" w:cs="Arial"/>
          <w:color w:val="000000"/>
        </w:rPr>
        <w:t xml:space="preserve"> downstream of the CMV promoter into a </w:t>
      </w:r>
      <w:proofErr w:type="spellStart"/>
      <w:r w:rsidRPr="004270C9">
        <w:rPr>
          <w:rFonts w:eastAsia="Times New Roman" w:cs="Arial"/>
          <w:color w:val="000000"/>
        </w:rPr>
        <w:t>pLOC</w:t>
      </w:r>
      <w:proofErr w:type="spellEnd"/>
      <w:r w:rsidRPr="004270C9">
        <w:rPr>
          <w:rFonts w:eastAsia="Times New Roman" w:cs="Arial"/>
          <w:color w:val="000000"/>
        </w:rPr>
        <w:t xml:space="preserve"> lentiviral vector purchased from Horizon Discovery (Cambridge, UK). </w:t>
      </w:r>
      <w:r w:rsidR="002F599B" w:rsidRPr="004270C9">
        <w:rPr>
          <w:rFonts w:eastAsia="Times New Roman" w:cs="Arial"/>
          <w:color w:val="000000"/>
        </w:rPr>
        <w:t>All cell lines used in this study were authenticated within the past year using short tandem repeat (STR) profiling by BEX (Tokyo, Japan) and were tested for mycoplasma contamination by PCR (e-</w:t>
      </w:r>
      <w:proofErr w:type="spellStart"/>
      <w:r w:rsidR="002F599B" w:rsidRPr="004270C9">
        <w:rPr>
          <w:rFonts w:eastAsia="Times New Roman" w:cs="Arial"/>
          <w:color w:val="000000"/>
        </w:rPr>
        <w:t>Myco</w:t>
      </w:r>
      <w:proofErr w:type="spellEnd"/>
      <w:r w:rsidR="002F599B" w:rsidRPr="004270C9">
        <w:rPr>
          <w:rFonts w:eastAsia="Times New Roman" w:cs="Arial"/>
          <w:color w:val="000000"/>
        </w:rPr>
        <w:t>™ plus Mycoplasma PCR Detection Kit, #25237, South Korea). All experiments were conducted using mycoplasma-free cells.</w:t>
      </w:r>
    </w:p>
    <w:p w14:paraId="2401A8D1" w14:textId="77777777" w:rsidR="005F152B" w:rsidRPr="004270C9" w:rsidRDefault="005F152B" w:rsidP="005F152B">
      <w:pPr>
        <w:spacing w:after="120" w:line="480" w:lineRule="auto"/>
        <w:rPr>
          <w:rFonts w:eastAsia="Times New Roman" w:cs="Arial"/>
          <w:color w:val="000000"/>
        </w:rPr>
      </w:pPr>
    </w:p>
    <w:p w14:paraId="6EB617E4" w14:textId="77777777" w:rsidR="005F152B" w:rsidRPr="004270C9" w:rsidRDefault="005F152B" w:rsidP="005F152B">
      <w:pPr>
        <w:spacing w:after="120" w:line="480" w:lineRule="auto"/>
        <w:rPr>
          <w:rFonts w:eastAsia="Times New Roman" w:cs="Arial"/>
          <w:b/>
          <w:i/>
          <w:iCs/>
          <w:color w:val="000000"/>
        </w:rPr>
      </w:pPr>
      <w:r w:rsidRPr="004270C9">
        <w:rPr>
          <w:rFonts w:eastAsia="Times New Roman" w:cs="Arial"/>
          <w:b/>
          <w:i/>
          <w:iCs/>
          <w:color w:val="000000"/>
        </w:rPr>
        <w:t xml:space="preserve">Adipokine signaling-related gene expression analysis across cancer types </w:t>
      </w:r>
    </w:p>
    <w:p w14:paraId="5ABF67FC" w14:textId="77777777" w:rsidR="005F152B" w:rsidRPr="004270C9" w:rsidRDefault="005F152B" w:rsidP="005F152B">
      <w:pPr>
        <w:spacing w:after="120" w:line="480" w:lineRule="auto"/>
        <w:rPr>
          <w:rFonts w:eastAsia="Times New Roman" w:cs="Arial"/>
          <w:color w:val="000000"/>
        </w:rPr>
      </w:pPr>
      <w:r w:rsidRPr="004270C9">
        <w:rPr>
          <w:rFonts w:eastAsia="Times New Roman" w:cs="Arial"/>
          <w:color w:val="000000"/>
        </w:rPr>
        <w:t xml:space="preserve">In total, 37 genes encoding adipose secretory factors, including adipokines and their receptors were analyzed (Table 1). The mRNA expression and gene amplification or deletion of these genes were analyzed in 31 cancer types (acute myeloid leukemia, adrenocortical carcinoma, bladder urothelial carcinoma, brain lower grade glioma, breast invasive carcinoma, cervical squamous cell carcinoma, cholangiocarcinoma, colorectal adenocarcinoma, diffuse large b-cell lymphoma, esophageal adenocarcinoma, glioblastoma multiforme, head and neck squamous cell carcinoma, kidney chromophobe </w:t>
      </w:r>
      <w:r w:rsidRPr="004270C9">
        <w:rPr>
          <w:rFonts w:eastAsia="Times New Roman" w:cs="Arial"/>
          <w:color w:val="000000"/>
        </w:rPr>
        <w:lastRenderedPageBreak/>
        <w:t>carcinoma, kidney renal clear cell carcinoma, kidney renal papillary cell carcinoma, liver hepatocellular carcinoma, lung adenocarcinoma, lung squamous cell carcinoma, mesothelioma, ovarian serous cystadenocarcinoma, pancreatic adenocarcinoma, pheochromocytoma and paraganglioma, prostate adenocarcinoma, sarcoma, skin cutaneous melanoma, stomach adenocarcinoma, testicular germ cell tumors, thymoma, thyroid carcinoma, uterine carcinosarcoma, uterine corpus endometrial carcinoma, and uveal melanoma) using data from 8,433 patients in the TCGA database (</w:t>
      </w:r>
      <w:r w:rsidRPr="004270C9">
        <w:rPr>
          <w:rFonts w:eastAsia="Times New Roman" w:cs="Arial"/>
        </w:rPr>
        <w:t>https://www.cancer.gov/ccg/research/genome-sequencing/tcga?form=MG0AV3</w:t>
      </w:r>
      <w:r w:rsidRPr="004270C9">
        <w:rPr>
          <w:rFonts w:eastAsia="Times New Roman" w:cs="Arial"/>
          <w:color w:val="000000"/>
        </w:rPr>
        <w:t xml:space="preserve">), an open-access database available at </w:t>
      </w:r>
      <w:proofErr w:type="spellStart"/>
      <w:r w:rsidRPr="004270C9">
        <w:rPr>
          <w:rFonts w:eastAsia="Times New Roman" w:cs="Arial"/>
          <w:color w:val="000000"/>
        </w:rPr>
        <w:t>cBioportal</w:t>
      </w:r>
      <w:proofErr w:type="spellEnd"/>
      <w:r w:rsidRPr="004270C9">
        <w:rPr>
          <w:rFonts w:eastAsia="Times New Roman" w:cs="Arial"/>
          <w:color w:val="000000"/>
        </w:rPr>
        <w:t xml:space="preserve"> (https://www.cbioportal.org) </w:t>
      </w:r>
      <w:r w:rsidRPr="004270C9">
        <w:rPr>
          <w:rFonts w:eastAsia="ＭＳ Ｐゴシック" w:cs="Arial"/>
          <w:color w:val="000000" w:themeColor="text1"/>
        </w:rPr>
        <w:fldChar w:fldCharType="begin">
          <w:fldData xml:space="preserve">PEVuZE5vdGU+PENpdGU+PEF1dGhvcj5DZXJhbWk8L0F1dGhvcj48WWVhcj4yMDEyPC9ZZWFyPjxS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</w:fldData>
        </w:fldChar>
      </w:r>
      <w:r w:rsidRPr="004270C9">
        <w:rPr>
          <w:rFonts w:cs="Arial"/>
          <w:color w:val="000000" w:themeColor="text1"/>
        </w:rPr>
        <w:instrText xml:space="preserve"> ADDIN EN.CITE </w:instrText>
      </w:r>
      <w:r w:rsidRPr="004270C9">
        <w:rPr>
          <w:rFonts w:cs="Arial"/>
          <w:color w:val="000000" w:themeColor="text1"/>
        </w:rPr>
        <w:fldChar w:fldCharType="begin">
          <w:fldData xml:space="preserve">PEVuZE5vdGU+PENpdGU+PEF1dGhvcj5DZXJhbWk8L0F1dGhvcj48WWVhcj4yMDEyPC9ZZWFyPjxS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</w:fldData>
        </w:fldChar>
      </w:r>
      <w:r w:rsidRPr="004270C9">
        <w:rPr>
          <w:rFonts w:cs="Arial"/>
          <w:color w:val="000000" w:themeColor="text1"/>
        </w:rPr>
        <w:instrText xml:space="preserve"> ADDIN EN.CITE.DATA </w:instrText>
      </w:r>
      <w:r w:rsidRPr="004270C9">
        <w:rPr>
          <w:rFonts w:cs="Arial"/>
          <w:color w:val="000000" w:themeColor="text1"/>
        </w:rPr>
      </w:r>
      <w:r w:rsidRPr="004270C9">
        <w:rPr>
          <w:rFonts w:cs="Arial"/>
          <w:color w:val="000000" w:themeColor="text1"/>
        </w:rPr>
        <w:fldChar w:fldCharType="end"/>
      </w:r>
      <w:r w:rsidRPr="004270C9">
        <w:rPr>
          <w:rFonts w:eastAsia="ＭＳ Ｐゴシック" w:cs="Arial"/>
          <w:color w:val="000000" w:themeColor="text1"/>
        </w:rPr>
      </w:r>
      <w:r w:rsidRPr="004270C9">
        <w:rPr>
          <w:rFonts w:eastAsia="ＭＳ Ｐゴシック" w:cs="Arial"/>
          <w:color w:val="000000" w:themeColor="text1"/>
        </w:rPr>
        <w:fldChar w:fldCharType="separate"/>
      </w:r>
      <w:r w:rsidRPr="004270C9">
        <w:rPr>
          <w:rFonts w:cs="Arial"/>
          <w:noProof/>
          <w:color w:val="000000" w:themeColor="text1"/>
          <w:vertAlign w:val="superscript"/>
        </w:rPr>
        <w:t>63, 64, 65</w:t>
      </w:r>
      <w:r w:rsidRPr="004270C9">
        <w:rPr>
          <w:rFonts w:eastAsia="Times New Roman" w:cs="Arial"/>
          <w:color w:val="000000"/>
        </w:rPr>
        <w:fldChar w:fldCharType="end"/>
      </w:r>
      <w:r w:rsidRPr="004270C9">
        <w:rPr>
          <w:rFonts w:eastAsia="Times New Roman" w:cs="Arial"/>
          <w:color w:val="000000"/>
        </w:rPr>
        <w:t>. We also performed similar analyses using TCGA data for breast cancer (</w:t>
      </w:r>
      <w:r w:rsidRPr="004270C9">
        <w:rPr>
          <w:rFonts w:eastAsia="Times New Roman" w:cs="Arial"/>
          <w:i/>
          <w:color w:val="000000"/>
        </w:rPr>
        <w:t>n</w:t>
      </w:r>
      <w:r w:rsidRPr="004270C9">
        <w:rPr>
          <w:rFonts w:eastAsia="Times New Roman" w:cs="Arial"/>
          <w:color w:val="000000"/>
        </w:rPr>
        <w:t xml:space="preserve"> = 994) and data from the Molecular Taxonomy of Breast Cancer International Consortium (METABRIC) database (</w:t>
      </w:r>
      <w:r w:rsidRPr="004270C9">
        <w:rPr>
          <w:rFonts w:eastAsia="Times New Roman" w:cs="Arial"/>
          <w:i/>
          <w:color w:val="000000"/>
        </w:rPr>
        <w:t>n</w:t>
      </w:r>
      <w:r w:rsidRPr="004270C9">
        <w:rPr>
          <w:rFonts w:eastAsia="Times New Roman" w:cs="Arial"/>
          <w:color w:val="000000"/>
        </w:rPr>
        <w:t xml:space="preserve"> = 1,604). As controls, normal samples were used for TCGA database analysis, and all samples for METABRIC database analysis.</w:t>
      </w:r>
    </w:p>
    <w:p w14:paraId="7C050696" w14:textId="77777777" w:rsidR="005F152B" w:rsidRPr="004270C9" w:rsidRDefault="005F152B" w:rsidP="005F152B">
      <w:pPr>
        <w:spacing w:after="120" w:line="480" w:lineRule="auto"/>
        <w:rPr>
          <w:rFonts w:eastAsia="Times New Roman" w:cs="Arial"/>
          <w:color w:val="000000"/>
        </w:rPr>
      </w:pPr>
    </w:p>
    <w:p w14:paraId="67DA92BD" w14:textId="77777777" w:rsidR="005F152B" w:rsidRPr="004270C9" w:rsidRDefault="005F152B" w:rsidP="005F152B">
      <w:pPr>
        <w:spacing w:after="120" w:line="480" w:lineRule="auto"/>
        <w:rPr>
          <w:rFonts w:eastAsia="Times New Roman" w:cs="Arial"/>
          <w:b/>
          <w:i/>
          <w:iCs/>
          <w:color w:val="000000"/>
        </w:rPr>
      </w:pPr>
      <w:r w:rsidRPr="004270C9">
        <w:rPr>
          <w:rFonts w:eastAsia="Times New Roman" w:cs="Arial"/>
          <w:b/>
          <w:i/>
          <w:iCs/>
          <w:color w:val="000000"/>
        </w:rPr>
        <w:t>Western blot analysis</w:t>
      </w:r>
    </w:p>
    <w:p w14:paraId="5A685DD9" w14:textId="6ED0ADA7" w:rsidR="00616E6F" w:rsidRPr="004270C9" w:rsidRDefault="005F152B" w:rsidP="005F152B">
      <w:pPr>
        <w:spacing w:after="120" w:line="480" w:lineRule="auto"/>
        <w:rPr>
          <w:rFonts w:eastAsia="Times New Roman" w:cs="Arial"/>
          <w:color w:val="000000"/>
        </w:rPr>
      </w:pPr>
      <w:r w:rsidRPr="004270C9">
        <w:rPr>
          <w:rFonts w:eastAsia="Times New Roman" w:cs="Arial"/>
          <w:color w:val="000000"/>
        </w:rPr>
        <w:t>Proteins were extracted from MCF7, T47D, MDA-MB-231, MDA-MB-468, EO771, and 4T1-Luc cells using RIPA buffer (FUJIFILM Wako Pure Chemical Corporation, Tokyo, Japan) containing protease inhibitor (</w:t>
      </w:r>
      <w:proofErr w:type="spellStart"/>
      <w:r w:rsidRPr="004270C9">
        <w:rPr>
          <w:rFonts w:eastAsia="Times New Roman" w:cs="Arial"/>
          <w:color w:val="000000"/>
        </w:rPr>
        <w:t>cOmplete</w:t>
      </w:r>
      <w:proofErr w:type="spellEnd"/>
      <w:r w:rsidRPr="004270C9">
        <w:rPr>
          <w:rFonts w:eastAsia="Times New Roman" w:cs="Arial"/>
          <w:color w:val="000000"/>
        </w:rPr>
        <w:t xml:space="preserve"> Mini, Roche, Basel, Switzerland) and phosphatase </w:t>
      </w:r>
      <w:r w:rsidRPr="004270C9">
        <w:rPr>
          <w:rFonts w:eastAsia="Times New Roman" w:cs="Arial"/>
          <w:color w:val="000000"/>
        </w:rPr>
        <w:lastRenderedPageBreak/>
        <w:t>inhibitor (</w:t>
      </w:r>
      <w:proofErr w:type="spellStart"/>
      <w:r w:rsidRPr="004270C9">
        <w:rPr>
          <w:rFonts w:eastAsia="Times New Roman" w:cs="Arial"/>
          <w:color w:val="000000"/>
        </w:rPr>
        <w:t>PhosphoSTOP</w:t>
      </w:r>
      <w:proofErr w:type="spellEnd"/>
      <w:r w:rsidRPr="004270C9">
        <w:rPr>
          <w:rFonts w:eastAsia="Times New Roman" w:cs="Arial"/>
          <w:color w:val="000000"/>
        </w:rPr>
        <w:t xml:space="preserve">, Roche). The proteins (20 </w:t>
      </w:r>
      <w:r w:rsidRPr="004270C9">
        <w:rPr>
          <w:rFonts w:eastAsia="Times New Roman" w:cs="Arial"/>
          <w:color w:val="000000"/>
        </w:rPr>
        <w:sym w:font="Symbol" w:char="F06D"/>
      </w:r>
      <w:r w:rsidRPr="004270C9">
        <w:rPr>
          <w:rFonts w:eastAsia="Times New Roman" w:cs="Arial"/>
          <w:color w:val="000000"/>
        </w:rPr>
        <w:t xml:space="preserve">g) were loaded onto and separated in sodium dodecyl sulfate polyacrylamide gels and transferred to nitrocellulose membranes. </w:t>
      </w:r>
    </w:p>
    <w:p w14:paraId="473C4C61" w14:textId="56A2D24F" w:rsidR="005F152B" w:rsidRPr="004270C9" w:rsidRDefault="00616E6F" w:rsidP="005F152B">
      <w:pPr>
        <w:spacing w:after="120" w:line="480" w:lineRule="auto"/>
        <w:rPr>
          <w:rFonts w:eastAsia="Times New Roman" w:cs="Arial"/>
          <w:color w:val="000000"/>
        </w:rPr>
      </w:pPr>
      <w:r w:rsidRPr="004270C9">
        <w:rPr>
          <w:rFonts w:eastAsia="Times New Roman" w:cs="Arial"/>
          <w:color w:val="000000"/>
        </w:rPr>
        <w:t xml:space="preserve">The membranes were incubated overnight at 4°C with the following rabbit monoclonal primary antibodies: AdipoR1 and TROP2 (Abcam, Cambridge, UK; ab50675 and ab227691); AMPKα, phospho-AMPKα, β-actin, IRE1α, CHOP, HO-1, BRCA1, BRCA2, ERα, cleaved caspase-3, Tom20, and UCP2 (Cell Signaling Technology, Danvers, MA, USA; 5831S, 2535S, 4970S, 3294S, 2895S, 43996S, 14823S, 10741S, 8644S, 9664S, 42406S, and 89326S, respectively) and mouse monoclonal antibodies: total OXPHOS cocktail (Abcam; ab110411) including NDFUB8, SDHB, UQCRC2, MTCO2, and ATP5A (Abcam; ab110242, ab14714, ab14745, ab110258, and ab14748, respectively). </w:t>
      </w:r>
      <w:r w:rsidR="005F152B" w:rsidRPr="004270C9">
        <w:rPr>
          <w:rFonts w:eastAsia="Times New Roman" w:cs="Arial"/>
          <w:color w:val="000000"/>
        </w:rPr>
        <w:t>The blots were washed and incubated with horseradish peroxidase-conjugated goat anti-rabbit secondary antibody (</w:t>
      </w:r>
      <w:proofErr w:type="spellStart"/>
      <w:r w:rsidR="005F152B" w:rsidRPr="004270C9">
        <w:rPr>
          <w:rFonts w:eastAsia="Times New Roman" w:cs="Arial"/>
          <w:color w:val="000000"/>
        </w:rPr>
        <w:t>Cytiva</w:t>
      </w:r>
      <w:proofErr w:type="spellEnd"/>
      <w:r w:rsidR="005F152B" w:rsidRPr="004270C9">
        <w:rPr>
          <w:rFonts w:eastAsia="Times New Roman" w:cs="Arial"/>
          <w:color w:val="000000"/>
        </w:rPr>
        <w:t>, Marlborough, MA) for 1 h and visualized using enhanced chemiluminescence using ECL Western blotting detection reagent (</w:t>
      </w:r>
      <w:proofErr w:type="spellStart"/>
      <w:r w:rsidR="005F152B" w:rsidRPr="004270C9">
        <w:rPr>
          <w:rFonts w:eastAsia="Times New Roman" w:cs="Arial"/>
          <w:color w:val="000000"/>
        </w:rPr>
        <w:t>Cytiva</w:t>
      </w:r>
      <w:proofErr w:type="spellEnd"/>
      <w:r w:rsidR="005F152B" w:rsidRPr="004270C9">
        <w:rPr>
          <w:rFonts w:eastAsia="Times New Roman" w:cs="Arial"/>
          <w:color w:val="000000"/>
        </w:rPr>
        <w:t xml:space="preserve">). Protein bands were imaged with a </w:t>
      </w:r>
      <w:proofErr w:type="spellStart"/>
      <w:r w:rsidR="005F152B" w:rsidRPr="004270C9">
        <w:rPr>
          <w:rFonts w:eastAsia="Times New Roman" w:cs="Arial"/>
          <w:color w:val="000000"/>
        </w:rPr>
        <w:t>Chemidoc</w:t>
      </w:r>
      <w:proofErr w:type="spellEnd"/>
      <w:r w:rsidR="005F152B" w:rsidRPr="004270C9">
        <w:rPr>
          <w:rFonts w:eastAsia="Times New Roman" w:cs="Arial"/>
          <w:color w:val="000000"/>
        </w:rPr>
        <w:t xml:space="preserve"> Touch MP Imaging System (Bio-Rad, Hercules, CA, USA).</w:t>
      </w:r>
    </w:p>
    <w:p w14:paraId="6F4AF868" w14:textId="77777777" w:rsidR="005F152B" w:rsidRPr="004270C9" w:rsidRDefault="005F152B" w:rsidP="005F152B">
      <w:pPr>
        <w:spacing w:after="120" w:line="480" w:lineRule="auto"/>
        <w:rPr>
          <w:rFonts w:eastAsia="Times New Roman" w:cs="Arial"/>
          <w:color w:val="000000"/>
        </w:rPr>
      </w:pPr>
    </w:p>
    <w:p w14:paraId="2A289F73" w14:textId="77777777" w:rsidR="005F152B" w:rsidRPr="004270C9" w:rsidRDefault="005F152B" w:rsidP="005F152B">
      <w:pPr>
        <w:spacing w:after="120" w:line="480" w:lineRule="auto"/>
        <w:rPr>
          <w:rFonts w:eastAsia="Times New Roman" w:cs="Arial"/>
          <w:b/>
          <w:i/>
          <w:iCs/>
          <w:color w:val="000000"/>
        </w:rPr>
      </w:pPr>
      <w:r w:rsidRPr="004270C9">
        <w:rPr>
          <w:rFonts w:eastAsia="Times New Roman" w:cs="Arial"/>
          <w:b/>
          <w:i/>
          <w:iCs/>
          <w:color w:val="000000"/>
        </w:rPr>
        <w:t>Cell Counting Kit-8 (CCK-8) assay</w:t>
      </w:r>
    </w:p>
    <w:p w14:paraId="7379C761" w14:textId="571F4956" w:rsidR="005F152B" w:rsidRPr="004270C9" w:rsidRDefault="005F152B" w:rsidP="005F152B">
      <w:pPr>
        <w:spacing w:after="120" w:line="480" w:lineRule="auto"/>
        <w:rPr>
          <w:rFonts w:eastAsia="Times New Roman" w:cs="Arial"/>
          <w:color w:val="000000"/>
        </w:rPr>
      </w:pPr>
      <w:r w:rsidRPr="004270C9">
        <w:rPr>
          <w:rFonts w:eastAsia="Times New Roman" w:cs="Arial"/>
          <w:color w:val="000000"/>
        </w:rPr>
        <w:t>Cells of breast cancer cell lines were seeded in 96-well plates and incubated in an FBS-</w:t>
      </w:r>
      <w:r w:rsidRPr="004270C9">
        <w:rPr>
          <w:rFonts w:eastAsia="Times New Roman" w:cs="Arial"/>
          <w:color w:val="000000"/>
        </w:rPr>
        <w:lastRenderedPageBreak/>
        <w:t xml:space="preserve">free culture medium for 24 h for cell cycle synchronization. Then, the cells were exposed to 10, 20, or 40 </w:t>
      </w:r>
      <w:r w:rsidR="00152B46" w:rsidRPr="004270C9">
        <w:rPr>
          <w:rFonts w:eastAsia="Times New Roman" w:cs="Arial"/>
          <w:color w:val="000000"/>
        </w:rPr>
        <w:t>µ</w:t>
      </w:r>
      <w:r w:rsidRPr="004270C9">
        <w:rPr>
          <w:rFonts w:eastAsia="Times New Roman" w:cs="Arial"/>
          <w:color w:val="000000"/>
        </w:rPr>
        <w:t>g/mL of AdipoR</w:t>
      </w:r>
      <w:r w:rsidR="00C369AA" w:rsidRPr="004270C9">
        <w:rPr>
          <w:rFonts w:eastAsia="Times New Roman" w:cs="Arial"/>
          <w:color w:val="000000"/>
        </w:rPr>
        <w:t>on</w:t>
      </w:r>
      <w:r w:rsidRPr="004270C9">
        <w:rPr>
          <w:rFonts w:eastAsia="Times New Roman" w:cs="Arial"/>
          <w:color w:val="000000"/>
        </w:rPr>
        <w:t xml:space="preserve"> (Cat# SML0998; Sigma-Aldrich),  5 or 10 µM 4-hydroxytamoxifen (Cat# H6278; Sigma-Aldrich), 0.1 or 2 µM doxorubicin hydrochloride (Cat# 15007; Cayman Chemical), and 5 or 20 </w:t>
      </w:r>
      <w:proofErr w:type="spellStart"/>
      <w:r w:rsidRPr="004270C9">
        <w:rPr>
          <w:rFonts w:eastAsia="Times New Roman" w:cs="Arial"/>
          <w:color w:val="000000"/>
        </w:rPr>
        <w:t>nM</w:t>
      </w:r>
      <w:proofErr w:type="spellEnd"/>
      <w:r w:rsidRPr="004270C9">
        <w:rPr>
          <w:rFonts w:eastAsia="Times New Roman" w:cs="Arial"/>
          <w:color w:val="000000"/>
        </w:rPr>
        <w:t xml:space="preserve"> paclitaxel (Cat# 10461; Cayman Chemical) for 48 h</w:t>
      </w:r>
      <w:r w:rsidR="00152B46" w:rsidRPr="004270C9">
        <w:rPr>
          <w:rFonts w:eastAsia="Times New Roman" w:cs="Arial"/>
          <w:color w:val="000000"/>
        </w:rPr>
        <w:t xml:space="preserve"> or 72h</w:t>
      </w:r>
      <w:r w:rsidRPr="004270C9">
        <w:rPr>
          <w:rFonts w:eastAsia="Times New Roman" w:cs="Arial"/>
          <w:color w:val="000000"/>
        </w:rPr>
        <w:t xml:space="preserve">, and cell viability was measured using a CCK-8 assay (Cat# 347-07621; </w:t>
      </w:r>
      <w:proofErr w:type="spellStart"/>
      <w:r w:rsidRPr="004270C9">
        <w:rPr>
          <w:rFonts w:eastAsia="Times New Roman" w:cs="Arial"/>
          <w:color w:val="000000"/>
        </w:rPr>
        <w:t>Dojindo</w:t>
      </w:r>
      <w:proofErr w:type="spellEnd"/>
      <w:r w:rsidRPr="004270C9">
        <w:rPr>
          <w:rFonts w:eastAsia="Times New Roman" w:cs="Arial"/>
          <w:color w:val="000000"/>
        </w:rPr>
        <w:t xml:space="preserve"> Laboratories, Kumamoto, Japan). The optical density at 450 nm in sample and control wells was measured using a multimode plate reader (</w:t>
      </w:r>
      <w:proofErr w:type="spellStart"/>
      <w:r w:rsidRPr="004270C9">
        <w:rPr>
          <w:rFonts w:eastAsia="Times New Roman" w:cs="Arial"/>
          <w:color w:val="000000"/>
        </w:rPr>
        <w:t>EnSpire</w:t>
      </w:r>
      <w:proofErr w:type="spellEnd"/>
      <w:r w:rsidRPr="004270C9">
        <w:rPr>
          <w:rFonts w:eastAsia="Times New Roman" w:cs="Arial"/>
          <w:color w:val="000000"/>
        </w:rPr>
        <w:t xml:space="preserve"> Alpha 2390; PerkinElmer, Waltham, MA, USA). The data are shown as mean ± standard deviation (SD) from at least two independent experiments with duplicate or triplicate samples.</w:t>
      </w:r>
    </w:p>
    <w:p w14:paraId="5C78699F" w14:textId="77777777" w:rsidR="00557324" w:rsidRPr="004270C9" w:rsidRDefault="00557324" w:rsidP="00557324">
      <w:pPr>
        <w:spacing w:after="120" w:line="480" w:lineRule="auto"/>
        <w:rPr>
          <w:rFonts w:eastAsia="Times New Roman" w:cs="Arial"/>
          <w:b/>
          <w:bCs/>
          <w:color w:val="000000"/>
        </w:rPr>
      </w:pPr>
    </w:p>
    <w:p w14:paraId="3CF2B10B" w14:textId="2969D761" w:rsidR="00557324" w:rsidRPr="004270C9" w:rsidRDefault="00557324" w:rsidP="00557324">
      <w:pPr>
        <w:spacing w:after="120" w:line="480" w:lineRule="auto"/>
        <w:rPr>
          <w:rFonts w:eastAsia="Times New Roman" w:cs="Arial"/>
          <w:b/>
          <w:bCs/>
          <w:i/>
          <w:iCs/>
          <w:color w:val="000000"/>
        </w:rPr>
      </w:pPr>
      <w:r w:rsidRPr="004270C9">
        <w:rPr>
          <w:rFonts w:eastAsia="Times New Roman" w:cs="Arial"/>
          <w:b/>
          <w:bCs/>
          <w:i/>
          <w:iCs/>
          <w:color w:val="000000"/>
        </w:rPr>
        <w:t>2-(N-(7-Nitrobenz-2-oxa-1,3-diazol-4-</w:t>
      </w:r>
      <w:proofErr w:type="gramStart"/>
      <w:r w:rsidRPr="004270C9">
        <w:rPr>
          <w:rFonts w:eastAsia="Times New Roman" w:cs="Arial"/>
          <w:b/>
          <w:bCs/>
          <w:i/>
          <w:iCs/>
          <w:color w:val="000000"/>
        </w:rPr>
        <w:t>yl)amino</w:t>
      </w:r>
      <w:proofErr w:type="gramEnd"/>
      <w:r w:rsidRPr="004270C9">
        <w:rPr>
          <w:rFonts w:eastAsia="Times New Roman" w:cs="Arial"/>
          <w:b/>
          <w:bCs/>
          <w:i/>
          <w:iCs/>
          <w:color w:val="000000"/>
        </w:rPr>
        <w:t xml:space="preserve">)-2-deoxyglucose (2-NBDG) assay </w:t>
      </w:r>
    </w:p>
    <w:p w14:paraId="457EC425" w14:textId="77777777" w:rsidR="00557324" w:rsidRPr="004270C9" w:rsidRDefault="00557324" w:rsidP="00557324">
      <w:pPr>
        <w:spacing w:after="120" w:line="480" w:lineRule="auto"/>
        <w:rPr>
          <w:rFonts w:eastAsia="Times New Roman" w:cs="Arial"/>
          <w:color w:val="000000"/>
        </w:rPr>
      </w:pPr>
      <w:r w:rsidRPr="004270C9">
        <w:rPr>
          <w:rFonts w:eastAsia="Times New Roman" w:cs="Arial" w:hint="eastAsia"/>
          <w:color w:val="000000"/>
        </w:rPr>
        <w:t>F</w:t>
      </w:r>
      <w:r w:rsidRPr="004270C9">
        <w:rPr>
          <w:rFonts w:eastAsia="Times New Roman" w:cs="Arial"/>
          <w:color w:val="000000"/>
        </w:rPr>
        <w:t xml:space="preserve">or the 2-NBDG uptake assay, we followed the protocol described in the previous report (PMID12345). Cells were treated with AdipoRon (25 or </w:t>
      </w:r>
      <w:proofErr w:type="gramStart"/>
      <w:r w:rsidRPr="004270C9">
        <w:rPr>
          <w:rFonts w:eastAsia="Times New Roman" w:cs="Arial"/>
          <w:color w:val="000000"/>
        </w:rPr>
        <w:t>50  µ</w:t>
      </w:r>
      <w:proofErr w:type="gramEnd"/>
      <w:r w:rsidRPr="004270C9">
        <w:rPr>
          <w:rFonts w:eastAsia="Times New Roman" w:cs="Arial"/>
          <w:color w:val="000000"/>
        </w:rPr>
        <w:t>M) for 48 h in 6-well plates. The medium was then replaced with glucose- and serum-free PBS for 40 min. After starvation, the cells were incubated with 2-NBDG (</w:t>
      </w:r>
      <w:proofErr w:type="gramStart"/>
      <w:r w:rsidRPr="004270C9">
        <w:rPr>
          <w:rFonts w:eastAsia="Times New Roman" w:cs="Arial"/>
          <w:color w:val="000000"/>
        </w:rPr>
        <w:t>200  µ</w:t>
      </w:r>
      <w:proofErr w:type="gramEnd"/>
      <w:r w:rsidRPr="004270C9">
        <w:rPr>
          <w:rFonts w:eastAsia="Times New Roman" w:cs="Arial"/>
          <w:color w:val="000000"/>
        </w:rPr>
        <w:t xml:space="preserve">M, Thermo Fisher, Cat#N13195) in PBS for 80 min. Finally, cells were washed once with PBS and cell fluorescence was measured using excitation at 475 nm and emission at 550 nm. Fluorescence positivity was analyzed simultaneously using the </w:t>
      </w:r>
      <w:proofErr w:type="gramStart"/>
      <w:r w:rsidRPr="004270C9">
        <w:rPr>
          <w:rFonts w:eastAsia="Times New Roman" w:cs="Arial"/>
          <w:color w:val="000000"/>
        </w:rPr>
        <w:t>Countess</w:t>
      </w:r>
      <w:proofErr w:type="gramEnd"/>
      <w:r w:rsidRPr="004270C9">
        <w:rPr>
          <w:rFonts w:eastAsia="Times New Roman" w:cs="Arial"/>
          <w:color w:val="000000"/>
        </w:rPr>
        <w:t xml:space="preserve"> 3 FL Automated Cell Counter (Thermo Fisher). </w:t>
      </w:r>
      <w:r w:rsidRPr="004270C9">
        <w:rPr>
          <w:rFonts w:eastAsia="Times New Roman" w:cs="Arial"/>
          <w:color w:val="000000"/>
        </w:rPr>
        <w:lastRenderedPageBreak/>
        <w:t xml:space="preserve">Acquired data were statistically compared among control and AdipoRon-treated groups using </w:t>
      </w:r>
      <w:r w:rsidRPr="004270C9">
        <w:rPr>
          <w:rFonts w:eastAsia="Times New Roman" w:cs="Arial" w:hint="eastAsia"/>
          <w:color w:val="000000"/>
        </w:rPr>
        <w:t>one-way ANOVA followed by Tukey’s multiple comparison</w:t>
      </w:r>
      <w:r w:rsidRPr="004270C9">
        <w:rPr>
          <w:rFonts w:eastAsia="Times New Roman" w:cs="Arial"/>
          <w:color w:val="000000"/>
        </w:rPr>
        <w:t>s</w:t>
      </w:r>
      <w:r w:rsidRPr="004270C9">
        <w:rPr>
          <w:rFonts w:eastAsia="Times New Roman" w:cs="Arial" w:hint="eastAsia"/>
          <w:color w:val="000000"/>
        </w:rPr>
        <w:t xml:space="preserve"> test.</w:t>
      </w:r>
    </w:p>
    <w:p w14:paraId="21E2D4D1" w14:textId="2E66197B" w:rsidR="005F152B" w:rsidRPr="004270C9" w:rsidRDefault="005F152B" w:rsidP="005F152B">
      <w:pPr>
        <w:spacing w:after="120" w:line="480" w:lineRule="auto"/>
        <w:rPr>
          <w:rFonts w:eastAsia="Times New Roman" w:cs="Arial"/>
          <w:color w:val="000000"/>
        </w:rPr>
      </w:pPr>
    </w:p>
    <w:p w14:paraId="08C3B8BC" w14:textId="77777777" w:rsidR="00B97448" w:rsidRPr="004270C9" w:rsidRDefault="00B97448" w:rsidP="00B97448">
      <w:pPr>
        <w:spacing w:after="120" w:line="480" w:lineRule="auto"/>
        <w:rPr>
          <w:rFonts w:eastAsia="Times New Roman" w:cs="Arial"/>
          <w:b/>
          <w:bCs/>
          <w:i/>
          <w:iCs/>
          <w:color w:val="000000"/>
        </w:rPr>
      </w:pPr>
      <w:r w:rsidRPr="004270C9">
        <w:rPr>
          <w:rFonts w:eastAsia="Times New Roman" w:cs="Arial" w:hint="eastAsia"/>
          <w:b/>
          <w:bCs/>
          <w:i/>
          <w:iCs/>
          <w:color w:val="000000"/>
        </w:rPr>
        <w:t>C</w:t>
      </w:r>
      <w:r w:rsidRPr="004270C9">
        <w:rPr>
          <w:rFonts w:eastAsia="Times New Roman" w:cs="Arial"/>
          <w:b/>
          <w:bCs/>
          <w:i/>
          <w:iCs/>
          <w:color w:val="000000"/>
        </w:rPr>
        <w:t>ombination treatment using 2-deoxy-D-glucose (2DG)</w:t>
      </w:r>
    </w:p>
    <w:p w14:paraId="5792A74A" w14:textId="77777777" w:rsidR="00B97448" w:rsidRPr="004270C9" w:rsidRDefault="00B97448" w:rsidP="00B97448">
      <w:pPr>
        <w:spacing w:after="120" w:line="480" w:lineRule="auto"/>
        <w:rPr>
          <w:rFonts w:eastAsia="Times New Roman" w:cs="Arial"/>
          <w:color w:val="000000"/>
        </w:rPr>
      </w:pPr>
      <w:r w:rsidRPr="004270C9">
        <w:rPr>
          <w:rFonts w:eastAsia="Times New Roman" w:cs="Arial"/>
          <w:color w:val="000000"/>
        </w:rPr>
        <w:t>MCF7 and MDA-MB-231 cells in 96-well plates were treated with t</w:t>
      </w:r>
      <w:r w:rsidRPr="004270C9">
        <w:rPr>
          <w:rFonts w:eastAsia="Times New Roman" w:cs="Arial" w:hint="eastAsia"/>
          <w:color w:val="000000"/>
        </w:rPr>
        <w:t xml:space="preserve">he glycolysis inhibitor 2-deoxy-D-glucose (2DG, 100 and 500 µM) and/or AdipoRon (20 µg/mL) </w:t>
      </w:r>
      <w:r w:rsidRPr="004270C9">
        <w:rPr>
          <w:rFonts w:eastAsia="Times New Roman" w:cs="Arial"/>
          <w:color w:val="000000"/>
        </w:rPr>
        <w:t>for 24 h, following the previous report (PMID35121743)</w:t>
      </w:r>
      <w:r w:rsidRPr="004270C9">
        <w:rPr>
          <w:rFonts w:eastAsia="Times New Roman" w:cs="Arial" w:hint="eastAsia"/>
          <w:color w:val="000000"/>
        </w:rPr>
        <w:t>.</w:t>
      </w:r>
      <w:r w:rsidRPr="004270C9">
        <w:rPr>
          <w:rFonts w:eastAsia="Times New Roman" w:cs="Arial"/>
          <w:color w:val="000000"/>
        </w:rPr>
        <w:t xml:space="preserve"> After treatment, cell viability was measured using the CCK-8 assay.</w:t>
      </w:r>
      <w:r w:rsidRPr="004270C9">
        <w:rPr>
          <w:rFonts w:eastAsia="Times New Roman" w:cs="Arial" w:hint="eastAsia"/>
          <w:color w:val="000000"/>
        </w:rPr>
        <w:t xml:space="preserve"> </w:t>
      </w:r>
      <w:r w:rsidRPr="004270C9">
        <w:rPr>
          <w:rFonts w:eastAsia="Times New Roman" w:cs="Arial"/>
          <w:color w:val="000000"/>
        </w:rPr>
        <w:t xml:space="preserve">Statistical analysis was performed using </w:t>
      </w:r>
      <w:r w:rsidRPr="004270C9">
        <w:rPr>
          <w:rFonts w:eastAsia="Times New Roman" w:cs="Arial" w:hint="eastAsia"/>
          <w:color w:val="000000"/>
        </w:rPr>
        <w:t>one-way ANOVA followed by Tukey’s multiple comparison</w:t>
      </w:r>
      <w:r w:rsidRPr="004270C9">
        <w:rPr>
          <w:rFonts w:eastAsia="Times New Roman" w:cs="Arial"/>
          <w:color w:val="000000"/>
        </w:rPr>
        <w:t>s</w:t>
      </w:r>
      <w:r w:rsidRPr="004270C9">
        <w:rPr>
          <w:rFonts w:eastAsia="Times New Roman" w:cs="Arial" w:hint="eastAsia"/>
          <w:color w:val="000000"/>
        </w:rPr>
        <w:t xml:space="preserve"> test.</w:t>
      </w:r>
    </w:p>
    <w:p w14:paraId="71A2AC95" w14:textId="77777777" w:rsidR="00B97448" w:rsidRPr="004270C9" w:rsidRDefault="00B97448" w:rsidP="005F152B">
      <w:pPr>
        <w:spacing w:after="120" w:line="480" w:lineRule="auto"/>
        <w:rPr>
          <w:rFonts w:eastAsia="Times New Roman" w:cs="Arial"/>
          <w:color w:val="000000"/>
        </w:rPr>
      </w:pPr>
    </w:p>
    <w:p w14:paraId="160B2414" w14:textId="77777777" w:rsidR="005F152B" w:rsidRPr="004270C9" w:rsidRDefault="005F152B" w:rsidP="005F152B">
      <w:pPr>
        <w:spacing w:after="120" w:line="480" w:lineRule="auto"/>
        <w:rPr>
          <w:rFonts w:eastAsia="Times New Roman" w:cs="Arial"/>
          <w:b/>
          <w:i/>
          <w:iCs/>
          <w:color w:val="000000"/>
        </w:rPr>
      </w:pPr>
      <w:r w:rsidRPr="004270C9">
        <w:rPr>
          <w:rFonts w:eastAsia="Times New Roman" w:cs="Arial"/>
          <w:b/>
          <w:i/>
          <w:iCs/>
          <w:color w:val="000000"/>
        </w:rPr>
        <w:t>Wound scratch assay</w:t>
      </w:r>
    </w:p>
    <w:p w14:paraId="4473D80D" w14:textId="70FE9ACB" w:rsidR="005F152B" w:rsidRPr="004270C9" w:rsidRDefault="005F152B" w:rsidP="005F152B">
      <w:pPr>
        <w:spacing w:after="120" w:line="480" w:lineRule="auto"/>
        <w:rPr>
          <w:rFonts w:eastAsia="Times New Roman" w:cs="Arial"/>
          <w:color w:val="000000"/>
        </w:rPr>
      </w:pPr>
      <w:r w:rsidRPr="004270C9">
        <w:rPr>
          <w:rFonts w:eastAsia="Times New Roman" w:cs="Arial"/>
          <w:color w:val="000000"/>
        </w:rPr>
        <w:t>Cancer cells were seeded in 24-well plates at 1 × 10</w:t>
      </w:r>
      <w:r w:rsidRPr="004270C9">
        <w:rPr>
          <w:rFonts w:eastAsia="Times New Roman" w:cs="Arial"/>
          <w:color w:val="000000"/>
          <w:vertAlign w:val="superscript"/>
        </w:rPr>
        <w:t>5</w:t>
      </w:r>
      <w:r w:rsidRPr="004270C9">
        <w:rPr>
          <w:rFonts w:eastAsia="Times New Roman" w:cs="Arial"/>
          <w:color w:val="000000"/>
        </w:rPr>
        <w:t xml:space="preserve"> cells/well. The medium was replaced with RPMI1640 without FBS to control the cell cycle. The next day, a linear wound was created in each well using a 200-μL tip. The medium was replaced with a control (culture medium with DMSO) or reagent (10, 20, or 40 </w:t>
      </w:r>
      <w:r w:rsidR="00307447" w:rsidRPr="004270C9">
        <w:rPr>
          <w:rFonts w:eastAsia="Times New Roman" w:cs="Arial"/>
          <w:color w:val="000000"/>
        </w:rPr>
        <w:t>µ</w:t>
      </w:r>
      <w:r w:rsidRPr="004270C9">
        <w:rPr>
          <w:rFonts w:eastAsia="Times New Roman" w:cs="Arial"/>
          <w:color w:val="000000"/>
        </w:rPr>
        <w:t>g/mL AdipoR</w:t>
      </w:r>
      <w:r w:rsidR="00307447" w:rsidRPr="004270C9">
        <w:rPr>
          <w:rFonts w:eastAsia="Times New Roman" w:cs="Arial"/>
          <w:color w:val="000000"/>
        </w:rPr>
        <w:t>on</w:t>
      </w:r>
      <w:r w:rsidRPr="004270C9">
        <w:rPr>
          <w:rFonts w:eastAsia="Times New Roman" w:cs="Arial"/>
          <w:color w:val="000000"/>
        </w:rPr>
        <w:t xml:space="preserve">) solution. Images were acquired after 48 h using a Zeiss Cell Discoverer 7 (Zeiss, Gottingen, Germany), and the distance between the wound edges was measured using Cell Discoverer 7. The wound </w:t>
      </w:r>
      <w:r w:rsidRPr="004270C9">
        <w:rPr>
          <w:rFonts w:eastAsia="Times New Roman" w:cs="Arial"/>
          <w:color w:val="000000"/>
        </w:rPr>
        <w:lastRenderedPageBreak/>
        <w:t>healing rate was calculated by dividing the distance at 48 h by that at 0 h. Data are shown as mean ± SD from at least two independent experiments with duplicate or triplicate samples.</w:t>
      </w:r>
    </w:p>
    <w:p w14:paraId="2B343AD3" w14:textId="6A93AB78" w:rsidR="005F152B" w:rsidRPr="004270C9" w:rsidRDefault="005F152B" w:rsidP="005F152B">
      <w:pPr>
        <w:spacing w:after="120" w:line="480" w:lineRule="auto"/>
        <w:rPr>
          <w:rFonts w:eastAsia="Times New Roman" w:cs="Arial"/>
          <w:color w:val="000000"/>
          <w:u w:val="single"/>
        </w:rPr>
      </w:pPr>
    </w:p>
    <w:p w14:paraId="3E25F94E" w14:textId="24DEACE7" w:rsidR="00500B10" w:rsidRPr="00C11B0F" w:rsidRDefault="00500B10" w:rsidP="005F152B">
      <w:pPr>
        <w:spacing w:after="120" w:line="480" w:lineRule="auto"/>
        <w:rPr>
          <w:rFonts w:eastAsia="Times New Roman" w:cs="Arial"/>
          <w:b/>
          <w:bCs/>
          <w:i/>
          <w:iCs/>
          <w:color w:val="000000"/>
        </w:rPr>
      </w:pPr>
      <w:r w:rsidRPr="00C11B0F">
        <w:rPr>
          <w:rFonts w:eastAsia="Times New Roman" w:cs="Arial" w:hint="eastAsia"/>
          <w:b/>
          <w:bCs/>
          <w:i/>
          <w:iCs/>
          <w:color w:val="000000"/>
        </w:rPr>
        <w:t>C</w:t>
      </w:r>
      <w:r w:rsidRPr="00C11B0F">
        <w:rPr>
          <w:rFonts w:eastAsia="Times New Roman" w:cs="Arial"/>
          <w:b/>
          <w:bCs/>
          <w:i/>
          <w:iCs/>
          <w:color w:val="000000"/>
        </w:rPr>
        <w:t>ombination treatment of AdipoRon and conventional therapeutic reagents</w:t>
      </w:r>
    </w:p>
    <w:p w14:paraId="7E0EFB95" w14:textId="0B2C358D" w:rsidR="006C34C4" w:rsidRPr="00C11B0F" w:rsidRDefault="00FE659C" w:rsidP="006C34C4">
      <w:pPr>
        <w:spacing w:after="120" w:line="480" w:lineRule="auto"/>
        <w:rPr>
          <w:rFonts w:eastAsia="Times New Roman" w:cs="Arial"/>
          <w:color w:val="000000"/>
        </w:rPr>
      </w:pPr>
      <w:r w:rsidRPr="00C11B0F">
        <w:rPr>
          <w:rFonts w:eastAsia="Times New Roman" w:cs="Arial"/>
          <w:color w:val="000000"/>
        </w:rPr>
        <w:t>Human breast cancer cell lines were treated with</w:t>
      </w:r>
      <w:r w:rsidR="00500B10" w:rsidRPr="00C11B0F">
        <w:rPr>
          <w:rFonts w:eastAsia="Times New Roman" w:cs="Arial"/>
          <w:color w:val="000000"/>
        </w:rPr>
        <w:t xml:space="preserve"> DMSO</w:t>
      </w:r>
      <w:r w:rsidR="00F04F7A" w:rsidRPr="00C11B0F">
        <w:rPr>
          <w:rFonts w:eastAsia="Times New Roman" w:cs="Arial"/>
          <w:color w:val="000000"/>
        </w:rPr>
        <w:t xml:space="preserve"> (Sigma-Aldrich, Cat#D5879)</w:t>
      </w:r>
      <w:r w:rsidR="00500B10" w:rsidRPr="00C11B0F">
        <w:rPr>
          <w:rFonts w:eastAsia="Times New Roman" w:cs="Arial"/>
          <w:color w:val="000000"/>
        </w:rPr>
        <w:t xml:space="preserve"> </w:t>
      </w:r>
      <w:r w:rsidRPr="00C11B0F">
        <w:rPr>
          <w:rFonts w:eastAsia="Times New Roman" w:cs="Arial"/>
          <w:color w:val="000000"/>
        </w:rPr>
        <w:t xml:space="preserve">as </w:t>
      </w:r>
      <w:r w:rsidR="00500B10" w:rsidRPr="00C11B0F">
        <w:rPr>
          <w:rFonts w:eastAsia="Times New Roman" w:cs="Arial"/>
          <w:color w:val="000000"/>
        </w:rPr>
        <w:t xml:space="preserve">control, AdipoRon (20 </w:t>
      </w:r>
      <w:r w:rsidR="00307447" w:rsidRPr="00C11B0F">
        <w:rPr>
          <w:rFonts w:eastAsia="Times New Roman" w:cs="Arial"/>
          <w:color w:val="000000"/>
        </w:rPr>
        <w:t>µ</w:t>
      </w:r>
      <w:r w:rsidR="00500B10" w:rsidRPr="00C11B0F">
        <w:rPr>
          <w:rFonts w:eastAsia="Times New Roman" w:cs="Arial"/>
          <w:color w:val="000000"/>
        </w:rPr>
        <w:t xml:space="preserve">g/mL), </w:t>
      </w:r>
      <w:r w:rsidR="00F04F7A" w:rsidRPr="00C11B0F">
        <w:rPr>
          <w:rFonts w:eastAsia="Times New Roman" w:cs="Arial"/>
          <w:color w:val="000000"/>
        </w:rPr>
        <w:t>4-hydroxytamoxifen (</w:t>
      </w:r>
      <w:r w:rsidR="00500B10" w:rsidRPr="00C11B0F">
        <w:rPr>
          <w:rFonts w:eastAsia="Times New Roman" w:cs="Arial"/>
          <w:color w:val="000000"/>
        </w:rPr>
        <w:t xml:space="preserve">TAM, </w:t>
      </w:r>
      <w:r w:rsidR="00F04F7A" w:rsidRPr="00C11B0F">
        <w:rPr>
          <w:rFonts w:eastAsia="Times New Roman" w:cs="Arial"/>
          <w:color w:val="000000"/>
        </w:rPr>
        <w:t>Sigma-Aldrich, Cat#H6278)</w:t>
      </w:r>
      <w:r w:rsidRPr="00C11B0F">
        <w:rPr>
          <w:rFonts w:eastAsia="Times New Roman" w:cs="Arial"/>
          <w:color w:val="000000"/>
        </w:rPr>
        <w:t xml:space="preserve"> at </w:t>
      </w:r>
      <w:r w:rsidR="00500B10" w:rsidRPr="00C11B0F">
        <w:rPr>
          <w:rFonts w:eastAsia="Times New Roman" w:cs="Arial"/>
          <w:color w:val="000000"/>
        </w:rPr>
        <w:t xml:space="preserve">5 or 10 µM, paclitaxel (PTX, </w:t>
      </w:r>
      <w:r w:rsidRPr="00C11B0F">
        <w:rPr>
          <w:rFonts w:eastAsia="Times New Roman" w:cs="Arial"/>
          <w:color w:val="000000"/>
        </w:rPr>
        <w:t xml:space="preserve">Cayman chemical, Ann Arbor, MI, USA. Cat#10461) at </w:t>
      </w:r>
      <w:r w:rsidR="00500B10" w:rsidRPr="00C11B0F">
        <w:rPr>
          <w:rFonts w:eastAsia="Times New Roman" w:cs="Arial"/>
          <w:color w:val="000000"/>
        </w:rPr>
        <w:t xml:space="preserve">5 or 20 </w:t>
      </w:r>
      <w:proofErr w:type="spellStart"/>
      <w:r w:rsidR="00500B10" w:rsidRPr="00C11B0F">
        <w:rPr>
          <w:rFonts w:eastAsia="Times New Roman" w:cs="Arial"/>
          <w:color w:val="000000"/>
        </w:rPr>
        <w:t>nM</w:t>
      </w:r>
      <w:proofErr w:type="spellEnd"/>
      <w:r w:rsidR="00500B10" w:rsidRPr="00C11B0F">
        <w:rPr>
          <w:rFonts w:eastAsia="Times New Roman" w:cs="Arial"/>
          <w:color w:val="000000"/>
        </w:rPr>
        <w:t xml:space="preserve">, or doxorubicin </w:t>
      </w:r>
      <w:r w:rsidRPr="00C11B0F">
        <w:rPr>
          <w:rFonts w:eastAsia="Times New Roman" w:cs="Arial"/>
          <w:color w:val="000000"/>
        </w:rPr>
        <w:t>(DOX, Cayman chemical, Cat#15007) at</w:t>
      </w:r>
      <w:r w:rsidR="00500B10" w:rsidRPr="00C11B0F">
        <w:rPr>
          <w:rFonts w:eastAsia="Times New Roman" w:cs="Arial"/>
          <w:color w:val="000000"/>
        </w:rPr>
        <w:t xml:space="preserve"> 0.1 or 2 µM</w:t>
      </w:r>
      <w:r w:rsidR="008A1825" w:rsidRPr="00C11B0F">
        <w:rPr>
          <w:rFonts w:eastAsia="Times New Roman" w:cs="Arial"/>
          <w:color w:val="000000"/>
        </w:rPr>
        <w:t>, alone or in combination.</w:t>
      </w:r>
      <w:r w:rsidR="00500B10" w:rsidRPr="00C11B0F">
        <w:rPr>
          <w:rFonts w:eastAsia="Times New Roman" w:cs="Arial"/>
          <w:color w:val="000000"/>
        </w:rPr>
        <w:t xml:space="preserve"> After 72 hours, cell proliferation was measured using CCK-8, and cell viability was calculated relative to untreated control cells. </w:t>
      </w:r>
      <w:r w:rsidR="006C34C4" w:rsidRPr="00C11B0F">
        <w:rPr>
          <w:rFonts w:eastAsia="Times New Roman" w:cs="Arial"/>
          <w:color w:val="000000"/>
        </w:rPr>
        <w:t xml:space="preserve">Statistical analysis was performed </w:t>
      </w:r>
      <w:proofErr w:type="spellStart"/>
      <w:r w:rsidR="006C34C4" w:rsidRPr="00C11B0F">
        <w:rPr>
          <w:rFonts w:eastAsia="Times New Roman" w:cs="Arial"/>
          <w:color w:val="000000"/>
        </w:rPr>
        <w:t>usin</w:t>
      </w:r>
      <w:proofErr w:type="spellEnd"/>
      <w:r w:rsidR="006C34C4" w:rsidRPr="00C11B0F">
        <w:rPr>
          <w:rFonts w:eastAsia="Times New Roman" w:cs="Arial"/>
          <w:color w:val="000000"/>
        </w:rPr>
        <w:t xml:space="preserve"> one-way ANOVA followed by an unpaired two-tailed Welch’s t-test.</w:t>
      </w:r>
    </w:p>
    <w:p w14:paraId="38F9AC69" w14:textId="77777777" w:rsidR="00500B10" w:rsidRPr="004270C9" w:rsidRDefault="00500B10" w:rsidP="005F152B">
      <w:pPr>
        <w:spacing w:after="120" w:line="480" w:lineRule="auto"/>
        <w:rPr>
          <w:rFonts w:eastAsia="Times New Roman" w:cs="Arial"/>
          <w:color w:val="000000"/>
          <w:u w:val="single"/>
        </w:rPr>
      </w:pPr>
    </w:p>
    <w:p w14:paraId="313AD598" w14:textId="77777777" w:rsidR="00F5614B" w:rsidRPr="00C11B0F" w:rsidRDefault="00F5614B" w:rsidP="00F5614B">
      <w:pPr>
        <w:spacing w:after="120" w:line="480" w:lineRule="auto"/>
        <w:rPr>
          <w:rFonts w:eastAsia="Times New Roman" w:cs="Arial"/>
          <w:b/>
          <w:bCs/>
          <w:i/>
          <w:iCs/>
          <w:color w:val="000000"/>
        </w:rPr>
      </w:pPr>
      <w:r w:rsidRPr="00C11B0F">
        <w:rPr>
          <w:rFonts w:eastAsia="Times New Roman" w:cs="Arial"/>
          <w:b/>
          <w:bCs/>
          <w:i/>
          <w:iCs/>
          <w:color w:val="000000"/>
        </w:rPr>
        <w:t>Combination treatment in cells with manipulated AdipoR1 expression.</w:t>
      </w:r>
    </w:p>
    <w:p w14:paraId="392102CF" w14:textId="4349F9EC" w:rsidR="00F5614B" w:rsidRPr="00C11B0F" w:rsidRDefault="008A1825" w:rsidP="00F5614B">
      <w:pPr>
        <w:spacing w:after="120" w:line="480" w:lineRule="auto"/>
        <w:rPr>
          <w:rFonts w:eastAsia="Times New Roman" w:cs="Arial"/>
          <w:color w:val="000000"/>
        </w:rPr>
      </w:pPr>
      <w:r w:rsidRPr="00C11B0F">
        <w:rPr>
          <w:rFonts w:eastAsia="Times New Roman" w:cs="Arial"/>
          <w:color w:val="000000"/>
        </w:rPr>
        <w:t>Human breast cancer</w:t>
      </w:r>
      <w:r w:rsidR="00F5614B" w:rsidRPr="00C11B0F">
        <w:rPr>
          <w:rFonts w:eastAsia="Times New Roman" w:cs="Arial"/>
          <w:color w:val="000000"/>
        </w:rPr>
        <w:t xml:space="preserve"> cell lines </w:t>
      </w:r>
      <w:r w:rsidRPr="00C11B0F">
        <w:rPr>
          <w:rFonts w:eastAsia="Times New Roman" w:cs="Arial"/>
          <w:color w:val="000000"/>
        </w:rPr>
        <w:t xml:space="preserve">with manipulated AdipoR1 expression </w:t>
      </w:r>
      <w:r w:rsidR="00F5614B" w:rsidRPr="00C11B0F">
        <w:rPr>
          <w:rFonts w:eastAsia="Times New Roman" w:cs="Arial"/>
          <w:color w:val="000000"/>
        </w:rPr>
        <w:t xml:space="preserve">were treated with 20 </w:t>
      </w:r>
      <w:proofErr w:type="spellStart"/>
      <w:r w:rsidR="00F5614B" w:rsidRPr="00C11B0F">
        <w:rPr>
          <w:rFonts w:eastAsia="Times New Roman" w:cs="Arial"/>
          <w:color w:val="000000"/>
        </w:rPr>
        <w:t>μg</w:t>
      </w:r>
      <w:proofErr w:type="spellEnd"/>
      <w:r w:rsidR="00F5614B" w:rsidRPr="00C11B0F">
        <w:rPr>
          <w:rFonts w:eastAsia="Times New Roman" w:cs="Arial"/>
          <w:color w:val="000000"/>
        </w:rPr>
        <w:t>/mL AdipoRon</w:t>
      </w:r>
      <w:r w:rsidRPr="00C11B0F">
        <w:rPr>
          <w:rFonts w:eastAsia="Times New Roman" w:cs="Arial"/>
          <w:color w:val="000000"/>
        </w:rPr>
        <w:t>,</w:t>
      </w:r>
      <w:r w:rsidR="00F5614B" w:rsidRPr="00C11B0F">
        <w:rPr>
          <w:rFonts w:eastAsia="Times New Roman" w:cs="Arial"/>
          <w:color w:val="000000"/>
        </w:rPr>
        <w:t xml:space="preserve"> </w:t>
      </w:r>
      <w:r w:rsidRPr="00C11B0F">
        <w:rPr>
          <w:rFonts w:eastAsia="Times New Roman" w:cs="Arial"/>
          <w:color w:val="000000"/>
        </w:rPr>
        <w:t>TAM at 5 or 10</w:t>
      </w:r>
      <w:r w:rsidR="00F5614B" w:rsidRPr="00C11B0F">
        <w:rPr>
          <w:rFonts w:eastAsia="Times New Roman" w:cs="Arial"/>
          <w:color w:val="000000"/>
        </w:rPr>
        <w:t xml:space="preserve"> </w:t>
      </w:r>
      <w:r w:rsidRPr="00C11B0F">
        <w:rPr>
          <w:rFonts w:eastAsia="Times New Roman" w:cs="Arial"/>
          <w:color w:val="000000"/>
        </w:rPr>
        <w:t>µM,</w:t>
      </w:r>
      <w:r w:rsidR="00F5614B" w:rsidRPr="00C11B0F">
        <w:rPr>
          <w:rFonts w:eastAsia="Times New Roman" w:cs="Arial"/>
          <w:color w:val="000000"/>
        </w:rPr>
        <w:t xml:space="preserve"> </w:t>
      </w:r>
      <w:r w:rsidRPr="00C11B0F">
        <w:rPr>
          <w:rFonts w:eastAsia="Times New Roman" w:cs="Arial"/>
          <w:color w:val="000000"/>
        </w:rPr>
        <w:t>or</w:t>
      </w:r>
      <w:r w:rsidR="00F5614B" w:rsidRPr="00C11B0F">
        <w:rPr>
          <w:rFonts w:eastAsia="Times New Roman" w:cs="Arial"/>
          <w:color w:val="000000"/>
        </w:rPr>
        <w:t xml:space="preserve"> </w:t>
      </w:r>
      <w:r w:rsidRPr="00C11B0F">
        <w:rPr>
          <w:rFonts w:eastAsia="Times New Roman" w:cs="Arial"/>
          <w:color w:val="000000"/>
        </w:rPr>
        <w:t>DOX at</w:t>
      </w:r>
      <w:r w:rsidR="00F5614B" w:rsidRPr="00C11B0F">
        <w:rPr>
          <w:rFonts w:eastAsia="Times New Roman" w:cs="Arial"/>
          <w:color w:val="000000"/>
        </w:rPr>
        <w:t xml:space="preserve"> 1 </w:t>
      </w:r>
      <w:r w:rsidRPr="00C11B0F">
        <w:rPr>
          <w:rFonts w:eastAsia="Times New Roman" w:cs="Arial"/>
          <w:color w:val="000000"/>
        </w:rPr>
        <w:t>µM,</w:t>
      </w:r>
      <w:r w:rsidRPr="00C11B0F">
        <w:rPr>
          <w:rFonts w:ascii="ＭＳ 明朝" w:eastAsia="ＭＳ 明朝" w:hAnsi="ＭＳ 明朝" w:cs="ＭＳ 明朝"/>
          <w:color w:val="000000"/>
        </w:rPr>
        <w:t xml:space="preserve"> </w:t>
      </w:r>
      <w:r w:rsidRPr="00C11B0F">
        <w:rPr>
          <w:rFonts w:eastAsia="Times New Roman" w:cs="Arial"/>
          <w:color w:val="000000"/>
        </w:rPr>
        <w:t>alone or in combination.</w:t>
      </w:r>
      <w:r w:rsidR="00F5614B" w:rsidRPr="00C11B0F">
        <w:rPr>
          <w:rFonts w:eastAsia="Times New Roman" w:cs="Arial" w:hint="eastAsia"/>
          <w:color w:val="000000"/>
        </w:rPr>
        <w:t xml:space="preserve"> </w:t>
      </w:r>
      <w:r w:rsidR="00F5614B" w:rsidRPr="00C11B0F">
        <w:rPr>
          <w:rFonts w:eastAsia="Times New Roman" w:cs="Arial"/>
          <w:color w:val="000000"/>
        </w:rPr>
        <w:t xml:space="preserve">After 72 hours, cell proliferation was measured using CCK-8, and cell viability was calculated </w:t>
      </w:r>
      <w:r w:rsidR="00F5614B" w:rsidRPr="00C11B0F">
        <w:rPr>
          <w:rFonts w:eastAsia="Times New Roman" w:cs="Arial"/>
          <w:color w:val="000000"/>
        </w:rPr>
        <w:lastRenderedPageBreak/>
        <w:t xml:space="preserve">relative to untreated control cells. </w:t>
      </w:r>
      <w:r w:rsidR="006C34C4" w:rsidRPr="00C11B0F">
        <w:rPr>
          <w:rFonts w:eastAsia="Times New Roman" w:cs="Arial"/>
          <w:color w:val="000000"/>
        </w:rPr>
        <w:t xml:space="preserve">Statistical analysis was performed using </w:t>
      </w:r>
      <w:r w:rsidR="00F5614B" w:rsidRPr="00C11B0F">
        <w:rPr>
          <w:rFonts w:eastAsia="Times New Roman" w:cs="Arial"/>
          <w:color w:val="000000"/>
        </w:rPr>
        <w:t>one-way ANOVA followed by an unpaired two-tailed Welch’s t-test.</w:t>
      </w:r>
    </w:p>
    <w:p w14:paraId="784C4691" w14:textId="213C2C2D" w:rsidR="00F5614B" w:rsidRPr="004270C9" w:rsidRDefault="00F5614B" w:rsidP="005F152B">
      <w:pPr>
        <w:spacing w:after="120" w:line="480" w:lineRule="auto"/>
        <w:rPr>
          <w:rFonts w:eastAsia="Times New Roman" w:cs="Arial"/>
          <w:color w:val="000000"/>
          <w:u w:val="single"/>
        </w:rPr>
      </w:pPr>
    </w:p>
    <w:p w14:paraId="1C778BCC" w14:textId="77777777" w:rsidR="00F5614B" w:rsidRPr="004270C9" w:rsidRDefault="00F5614B" w:rsidP="005F152B">
      <w:pPr>
        <w:spacing w:after="120" w:line="480" w:lineRule="auto"/>
        <w:rPr>
          <w:rFonts w:eastAsia="Times New Roman" w:cs="Arial"/>
          <w:color w:val="000000"/>
          <w:u w:val="single"/>
        </w:rPr>
      </w:pPr>
    </w:p>
    <w:p w14:paraId="0DC16ACD" w14:textId="77777777" w:rsidR="005F152B" w:rsidRPr="004270C9" w:rsidRDefault="005F152B" w:rsidP="005F152B">
      <w:pPr>
        <w:spacing w:after="120" w:line="480" w:lineRule="auto"/>
        <w:rPr>
          <w:rFonts w:eastAsia="Times New Roman" w:cs="Arial"/>
          <w:b/>
          <w:i/>
          <w:iCs/>
          <w:color w:val="000000"/>
        </w:rPr>
      </w:pPr>
      <w:r w:rsidRPr="004270C9">
        <w:rPr>
          <w:rFonts w:eastAsia="Times New Roman" w:cs="Arial"/>
          <w:b/>
          <w:i/>
          <w:iCs/>
          <w:color w:val="000000"/>
        </w:rPr>
        <w:t xml:space="preserve">Immunohistochemistry (IHC) using tissue microarray cores </w:t>
      </w:r>
    </w:p>
    <w:p w14:paraId="502AEC26" w14:textId="77777777" w:rsidR="005F152B" w:rsidRPr="004270C9" w:rsidRDefault="005F152B" w:rsidP="005F152B">
      <w:pPr>
        <w:spacing w:after="120" w:line="480" w:lineRule="auto"/>
        <w:rPr>
          <w:rFonts w:eastAsia="Times New Roman" w:cs="Arial"/>
          <w:color w:val="000000"/>
        </w:rPr>
      </w:pPr>
      <w:r w:rsidRPr="004270C9">
        <w:rPr>
          <w:rFonts w:eastAsia="Times New Roman" w:cs="Arial"/>
          <w:color w:val="000000"/>
        </w:rPr>
        <w:t xml:space="preserve">Tissue microarrays (TMAs) prepared from anonymized paraffin-embedded tissue blocks of breast cancer from included patients were used for immunostaining. In brief, TMA blocks were sectioned at 5-μm thickness. After antigen retrieval using a commercially available solution (415211; Nichirei Biosciences, Tokyo, Japan) or proteinase (P8038; Sigma-Aldrich), the sections were incubated with antibodies against AdipoR1 (ab70362, 1:200, rabbit polyclonal IgG Ab; Abcam) at room temperature (20–25°C) for 1 h. The concentrated antibodies were diluted in </w:t>
      </w:r>
      <w:proofErr w:type="spellStart"/>
      <w:r w:rsidRPr="004270C9">
        <w:rPr>
          <w:rFonts w:eastAsia="Times New Roman" w:cs="Arial"/>
          <w:color w:val="000000"/>
        </w:rPr>
        <w:t>SignalStain</w:t>
      </w:r>
      <w:proofErr w:type="spellEnd"/>
      <w:r w:rsidRPr="004270C9">
        <w:rPr>
          <w:rFonts w:eastAsia="Times New Roman" w:cs="Arial"/>
          <w:color w:val="000000"/>
        </w:rPr>
        <w:t xml:space="preserve"> Antibody Diluent (#8112, Cell Signaling Technology, Danvers, MA, USA). After washing with PBS, the sections were incubated with ready-to-use biotinylated species-specific secondary antibodies (724132, 724142; Nichirei Biosciences), washed, and incubated with 0.5 mg/mL 3,3</w:t>
      </w:r>
      <w:r w:rsidRPr="004270C9">
        <w:rPr>
          <w:rFonts w:cs="Arial"/>
          <w:color w:val="000000"/>
        </w:rPr>
        <w:t>′</w:t>
      </w:r>
      <w:r w:rsidRPr="004270C9">
        <w:rPr>
          <w:rFonts w:eastAsia="Times New Roman" w:cs="Arial"/>
          <w:color w:val="000000"/>
        </w:rPr>
        <w:t xml:space="preserve">-diaminobenzidine (725191; Nichirei Biosciences) for visualization. Non-specific mouse or rabbit IgG was used as a negative control. </w:t>
      </w:r>
    </w:p>
    <w:p w14:paraId="19B2580E" w14:textId="77777777" w:rsidR="005F152B" w:rsidRPr="004270C9" w:rsidRDefault="005F152B" w:rsidP="005F152B">
      <w:pPr>
        <w:spacing w:after="120" w:line="480" w:lineRule="auto"/>
        <w:rPr>
          <w:rFonts w:eastAsia="Times New Roman" w:cs="Arial"/>
          <w:color w:val="000000"/>
        </w:rPr>
      </w:pPr>
    </w:p>
    <w:p w14:paraId="69E8DA4A" w14:textId="77777777" w:rsidR="005F152B" w:rsidRPr="004270C9" w:rsidRDefault="005F152B" w:rsidP="005F152B">
      <w:pPr>
        <w:spacing w:after="120" w:line="480" w:lineRule="auto"/>
        <w:rPr>
          <w:rFonts w:eastAsia="Times New Roman" w:cs="Arial"/>
          <w:b/>
          <w:i/>
          <w:iCs/>
          <w:color w:val="000000"/>
        </w:rPr>
      </w:pPr>
      <w:r w:rsidRPr="004270C9">
        <w:rPr>
          <w:rFonts w:eastAsia="Times New Roman" w:cs="Arial"/>
          <w:b/>
          <w:i/>
          <w:iCs/>
          <w:color w:val="000000"/>
        </w:rPr>
        <w:t>Apoptosis assay</w:t>
      </w:r>
    </w:p>
    <w:p w14:paraId="250B347B" w14:textId="77777777" w:rsidR="005F152B" w:rsidRPr="004270C9" w:rsidRDefault="005F152B" w:rsidP="005F152B">
      <w:pPr>
        <w:spacing w:after="120" w:line="480" w:lineRule="auto"/>
        <w:rPr>
          <w:rFonts w:eastAsia="Times New Roman" w:cs="Arial"/>
          <w:color w:val="000000"/>
        </w:rPr>
      </w:pPr>
      <w:r w:rsidRPr="004270C9">
        <w:rPr>
          <w:rFonts w:eastAsia="Times New Roman" w:cs="Arial"/>
          <w:color w:val="000000"/>
        </w:rPr>
        <w:t>Apoptosis was assessed using a cleaved caspase 3/7 detection kit (Invitrogen). After exposing cells to the kit reagent for 30 min, green fluorescence-stained cells were counted using a Countess 3 FL automated cell counter (Thermo Fisher Scientific). The assay was repeated three times independently, and average values were calculated. The data are shown as mean ± SD from at least two independent experiments with duplicate or triplicate samples.</w:t>
      </w:r>
    </w:p>
    <w:p w14:paraId="39E9263B" w14:textId="77777777" w:rsidR="005F152B" w:rsidRPr="004270C9" w:rsidRDefault="005F152B" w:rsidP="005F152B">
      <w:pPr>
        <w:spacing w:after="120" w:line="480" w:lineRule="auto"/>
        <w:rPr>
          <w:rFonts w:eastAsia="Times New Roman" w:cs="Arial"/>
          <w:color w:val="000000"/>
        </w:rPr>
      </w:pPr>
    </w:p>
    <w:p w14:paraId="406C6D37" w14:textId="77777777" w:rsidR="005F152B" w:rsidRPr="004270C9" w:rsidRDefault="005F152B" w:rsidP="005F152B">
      <w:pPr>
        <w:spacing w:after="120" w:line="480" w:lineRule="auto"/>
        <w:rPr>
          <w:rFonts w:eastAsia="Times New Roman" w:cs="Arial"/>
          <w:b/>
          <w:i/>
          <w:iCs/>
          <w:color w:val="000000"/>
        </w:rPr>
      </w:pPr>
      <w:r w:rsidRPr="004270C9">
        <w:rPr>
          <w:rFonts w:eastAsia="Times New Roman" w:cs="Arial"/>
          <w:b/>
          <w:i/>
          <w:iCs/>
          <w:color w:val="000000"/>
        </w:rPr>
        <w:t>Ferroptosis assay</w:t>
      </w:r>
    </w:p>
    <w:p w14:paraId="1AA6B146" w14:textId="77777777" w:rsidR="005F152B" w:rsidRPr="004270C9" w:rsidRDefault="005F152B" w:rsidP="005F152B">
      <w:pPr>
        <w:spacing w:after="120" w:line="480" w:lineRule="auto"/>
        <w:rPr>
          <w:rFonts w:eastAsia="Times New Roman" w:cs="Arial"/>
          <w:color w:val="000000"/>
        </w:rPr>
      </w:pPr>
      <w:r w:rsidRPr="004270C9">
        <w:rPr>
          <w:rFonts w:eastAsia="Times New Roman" w:cs="Arial"/>
          <w:color w:val="000000"/>
        </w:rPr>
        <w:t xml:space="preserve">Ferroptosis was assessed using a Liperfluo ferroptosis detection kit (Cat# L248; </w:t>
      </w:r>
      <w:proofErr w:type="spellStart"/>
      <w:r w:rsidRPr="004270C9">
        <w:rPr>
          <w:rFonts w:eastAsia="Times New Roman" w:cs="Arial"/>
          <w:color w:val="000000"/>
        </w:rPr>
        <w:t>Dojindo</w:t>
      </w:r>
      <w:proofErr w:type="spellEnd"/>
      <w:r w:rsidRPr="004270C9">
        <w:rPr>
          <w:rFonts w:eastAsia="Times New Roman" w:cs="Arial"/>
          <w:color w:val="000000"/>
        </w:rPr>
        <w:t xml:space="preserve">). </w:t>
      </w:r>
      <w:proofErr w:type="spellStart"/>
      <w:r w:rsidRPr="004270C9">
        <w:rPr>
          <w:rFonts w:eastAsia="Times New Roman" w:cs="Arial"/>
          <w:color w:val="000000"/>
        </w:rPr>
        <w:t>Trypsinized</w:t>
      </w:r>
      <w:proofErr w:type="spellEnd"/>
      <w:r w:rsidRPr="004270C9">
        <w:rPr>
          <w:rFonts w:eastAsia="Times New Roman" w:cs="Arial"/>
          <w:color w:val="000000"/>
        </w:rPr>
        <w:t xml:space="preserve"> cells were incubated with Liperfluo in an incubator for 1 h. Then, the cells were washed with Hank’s balanced salt solution (Cat# 14025092; Thermo Fisher Scientific), and green fluorescence-stained cells were counted using the </w:t>
      </w:r>
      <w:proofErr w:type="gramStart"/>
      <w:r w:rsidRPr="004270C9">
        <w:rPr>
          <w:rFonts w:eastAsia="Times New Roman" w:cs="Arial"/>
          <w:color w:val="000000"/>
        </w:rPr>
        <w:t>Countess</w:t>
      </w:r>
      <w:proofErr w:type="gramEnd"/>
      <w:r w:rsidRPr="004270C9">
        <w:rPr>
          <w:rFonts w:eastAsia="Times New Roman" w:cs="Arial"/>
          <w:color w:val="000000"/>
        </w:rPr>
        <w:t xml:space="preserve"> 3 FL automated cell counter. The assay was repeated three times independently, and average values were calculated. Data are shown as mean ± SD from at least two independent experiments with duplicate or triplicate samples.</w:t>
      </w:r>
    </w:p>
    <w:p w14:paraId="07EB7930" w14:textId="0779AF94" w:rsidR="005F152B" w:rsidRPr="004270C9" w:rsidRDefault="005F152B" w:rsidP="005F152B">
      <w:pPr>
        <w:spacing w:after="120" w:line="480" w:lineRule="auto"/>
        <w:rPr>
          <w:rFonts w:eastAsia="Times New Roman" w:cs="Arial"/>
          <w:b/>
          <w:i/>
          <w:color w:val="000000"/>
        </w:rPr>
      </w:pPr>
    </w:p>
    <w:p w14:paraId="6251707E" w14:textId="695586A9" w:rsidR="000C2192" w:rsidRPr="004270C9" w:rsidRDefault="000C2192" w:rsidP="005F152B">
      <w:pPr>
        <w:spacing w:after="120" w:line="480" w:lineRule="auto"/>
        <w:rPr>
          <w:rFonts w:eastAsia="Times New Roman" w:cs="Arial"/>
          <w:bCs/>
          <w:iCs/>
          <w:color w:val="000000"/>
        </w:rPr>
      </w:pPr>
    </w:p>
    <w:p w14:paraId="111BE906" w14:textId="77777777" w:rsidR="000C2192" w:rsidRPr="004270C9" w:rsidRDefault="000C2192" w:rsidP="005F152B">
      <w:pPr>
        <w:spacing w:after="120" w:line="480" w:lineRule="auto"/>
        <w:rPr>
          <w:rFonts w:eastAsia="Times New Roman" w:cs="Arial"/>
          <w:bCs/>
          <w:iCs/>
          <w:color w:val="000000"/>
        </w:rPr>
      </w:pPr>
    </w:p>
    <w:p w14:paraId="6F94E719" w14:textId="77777777" w:rsidR="005F152B" w:rsidRPr="00C11B0F" w:rsidRDefault="005F152B" w:rsidP="005F152B">
      <w:pPr>
        <w:spacing w:after="120" w:line="480" w:lineRule="auto"/>
        <w:rPr>
          <w:rFonts w:eastAsia="Times New Roman" w:cs="Arial"/>
          <w:b/>
          <w:i/>
          <w:color w:val="000000"/>
        </w:rPr>
      </w:pPr>
      <w:r w:rsidRPr="00C11B0F">
        <w:rPr>
          <w:rFonts w:cs="Arial"/>
          <w:b/>
          <w:i/>
          <w:color w:val="000000"/>
        </w:rPr>
        <w:t>In vivo</w:t>
      </w:r>
      <w:r w:rsidRPr="00C11B0F">
        <w:rPr>
          <w:rFonts w:eastAsia="Times New Roman" w:cs="Arial"/>
          <w:b/>
          <w:i/>
          <w:color w:val="000000"/>
        </w:rPr>
        <w:t xml:space="preserve"> experiments</w:t>
      </w:r>
    </w:p>
    <w:p w14:paraId="4DD3E078" w14:textId="2FEA3366" w:rsidR="00566475" w:rsidRPr="004270C9" w:rsidRDefault="005F152B" w:rsidP="00566475">
      <w:pPr>
        <w:spacing w:after="120" w:line="480" w:lineRule="auto"/>
        <w:rPr>
          <w:rFonts w:eastAsia="Times New Roman" w:cs="Arial"/>
          <w:color w:val="000000"/>
        </w:rPr>
      </w:pPr>
      <w:r w:rsidRPr="004270C9">
        <w:rPr>
          <w:rFonts w:eastAsia="Times New Roman" w:cs="Arial"/>
          <w:color w:val="000000"/>
        </w:rPr>
        <w:t xml:space="preserve">All animal experiments conformed to the ARRIVE guidelines and were approved by the Kanagawa Cancer Center Animal Experimentation Committee (approval number 01-07). Ten-week-old female C57BL6 (Jackson Laboratory Japan, Yokohama, Japan, </w:t>
      </w:r>
      <w:proofErr w:type="gramStart"/>
      <w:r w:rsidRPr="004270C9">
        <w:rPr>
          <w:rFonts w:eastAsia="Times New Roman" w:cs="Arial"/>
          <w:color w:val="000000"/>
        </w:rPr>
        <w:t>RRID:IMSR</w:t>
      </w:r>
      <w:proofErr w:type="gramEnd"/>
      <w:r w:rsidRPr="004270C9">
        <w:rPr>
          <w:rFonts w:eastAsia="Times New Roman" w:cs="Arial"/>
          <w:color w:val="000000"/>
        </w:rPr>
        <w:t xml:space="preserve">_JAX:000664) mice were subcutaneously implanted with 1 </w:t>
      </w:r>
      <w:r w:rsidRPr="004270C9">
        <w:rPr>
          <w:rFonts w:eastAsia="Times New Roman" w:cs="Arial"/>
          <w:color w:val="000000"/>
        </w:rPr>
        <w:sym w:font="Symbol" w:char="F0B4"/>
      </w:r>
      <w:r w:rsidRPr="004270C9">
        <w:rPr>
          <w:rFonts w:eastAsia="Times New Roman" w:cs="Arial"/>
          <w:color w:val="000000"/>
        </w:rPr>
        <w:t xml:space="preserve"> 10</w:t>
      </w:r>
      <w:r w:rsidRPr="004270C9">
        <w:rPr>
          <w:rFonts w:eastAsia="Times New Roman" w:cs="Arial"/>
          <w:color w:val="000000"/>
          <w:vertAlign w:val="superscript"/>
        </w:rPr>
        <w:t>6</w:t>
      </w:r>
      <w:r w:rsidRPr="004270C9">
        <w:rPr>
          <w:rFonts w:eastAsia="Times New Roman" w:cs="Arial"/>
          <w:color w:val="000000"/>
        </w:rPr>
        <w:t xml:space="preserve"> EO771 cells</w:t>
      </w:r>
      <w:r w:rsidR="001D1264" w:rsidRPr="004270C9">
        <w:rPr>
          <w:rFonts w:eastAsia="Times New Roman" w:cs="Arial"/>
          <w:color w:val="000000"/>
        </w:rPr>
        <w:t xml:space="preserve"> on the left and right flanks</w:t>
      </w:r>
      <w:r w:rsidRPr="004270C9">
        <w:rPr>
          <w:rFonts w:eastAsia="Times New Roman" w:cs="Arial"/>
          <w:color w:val="000000"/>
        </w:rPr>
        <w:t xml:space="preserve">. </w:t>
      </w:r>
      <w:r w:rsidR="00E21FB4" w:rsidRPr="004270C9">
        <w:rPr>
          <w:rFonts w:eastAsia="Times New Roman" w:cs="Arial"/>
          <w:color w:val="000000"/>
        </w:rPr>
        <w:t>Mice were randomly assigned to groups to ensure that littermates and body weight were balanced across groups.</w:t>
      </w:r>
      <w:r w:rsidR="00F04A87" w:rsidRPr="004270C9">
        <w:rPr>
          <w:rFonts w:eastAsia="Times New Roman" w:cs="Arial"/>
          <w:color w:val="000000"/>
        </w:rPr>
        <w:t xml:space="preserve"> Outcome assessments were performed by a separate investigator who was not involved in the experimental procedures and was blinded to the group assignments.</w:t>
      </w:r>
      <w:r w:rsidR="00E21FB4" w:rsidRPr="004270C9">
        <w:rPr>
          <w:rFonts w:eastAsia="Times New Roman" w:cs="Arial"/>
          <w:color w:val="000000"/>
        </w:rPr>
        <w:t xml:space="preserve"> </w:t>
      </w:r>
      <w:r w:rsidRPr="004270C9">
        <w:rPr>
          <w:rFonts w:eastAsia="Times New Roman" w:cs="Arial"/>
          <w:color w:val="000000"/>
        </w:rPr>
        <w:t>Mice in the control group received 0.4% cellulose, whereas those in the treatment group received 50 mg/kg AdipoR</w:t>
      </w:r>
      <w:r w:rsidR="00307447" w:rsidRPr="004270C9">
        <w:rPr>
          <w:rFonts w:eastAsia="Times New Roman" w:cs="Arial"/>
          <w:color w:val="000000"/>
        </w:rPr>
        <w:t>on</w:t>
      </w:r>
      <w:r w:rsidRPr="004270C9">
        <w:rPr>
          <w:rFonts w:eastAsia="Times New Roman" w:cs="Arial"/>
          <w:color w:val="000000"/>
        </w:rPr>
        <w:t xml:space="preserve"> (</w:t>
      </w:r>
      <w:proofErr w:type="spellStart"/>
      <w:r w:rsidRPr="004270C9">
        <w:rPr>
          <w:rFonts w:eastAsia="Times New Roman" w:cs="Arial"/>
          <w:color w:val="000000"/>
        </w:rPr>
        <w:t>Adipogen</w:t>
      </w:r>
      <w:proofErr w:type="spellEnd"/>
      <w:r w:rsidRPr="004270C9">
        <w:rPr>
          <w:rFonts w:eastAsia="Times New Roman" w:cs="Arial"/>
          <w:color w:val="000000"/>
        </w:rPr>
        <w:t xml:space="preserve">) i.p. or i.g. five times a week for two weeks. Tumor diameters were measured twice a week during the treatment. Two weeks after treatment, the mice were sacrificed, and the tumors were excised and weighed. The experiment was performed three times with </w:t>
      </w:r>
      <w:r w:rsidRPr="004270C9">
        <w:rPr>
          <w:rFonts w:eastAsia="Times New Roman" w:cs="Arial"/>
          <w:i/>
          <w:color w:val="000000"/>
        </w:rPr>
        <w:t xml:space="preserve">n </w:t>
      </w:r>
      <w:r w:rsidRPr="004270C9">
        <w:rPr>
          <w:rFonts w:eastAsia="Times New Roman" w:cs="Arial"/>
          <w:color w:val="000000"/>
        </w:rPr>
        <w:t xml:space="preserve">= </w:t>
      </w:r>
      <w:r w:rsidR="001D1264" w:rsidRPr="004270C9">
        <w:rPr>
          <w:rFonts w:eastAsia="Times New Roman" w:cs="Arial"/>
          <w:color w:val="000000"/>
        </w:rPr>
        <w:t>3</w:t>
      </w:r>
      <w:r w:rsidRPr="004270C9">
        <w:rPr>
          <w:rFonts w:eastAsia="Times New Roman" w:cs="Arial"/>
          <w:color w:val="000000"/>
        </w:rPr>
        <w:t xml:space="preserve"> mice in each of the control, i.p, and </w:t>
      </w:r>
      <w:proofErr w:type="spellStart"/>
      <w:r w:rsidRPr="004270C9">
        <w:rPr>
          <w:rFonts w:eastAsia="Times New Roman" w:cs="Arial"/>
          <w:color w:val="000000"/>
        </w:rPr>
        <w:t>i.g</w:t>
      </w:r>
      <w:proofErr w:type="spellEnd"/>
      <w:r w:rsidRPr="004270C9">
        <w:rPr>
          <w:rFonts w:eastAsia="Times New Roman" w:cs="Arial"/>
          <w:color w:val="000000"/>
        </w:rPr>
        <w:t xml:space="preserve"> groups. </w:t>
      </w:r>
      <w:r w:rsidR="00BB70B2" w:rsidRPr="004270C9">
        <w:rPr>
          <w:rFonts w:eastAsia="Times New Roman" w:cs="Arial"/>
          <w:color w:val="000000"/>
        </w:rPr>
        <w:t xml:space="preserve">The exclusion criteria were predefined as follows: </w:t>
      </w:r>
      <w:r w:rsidR="00BB70B2" w:rsidRPr="004270C9">
        <w:rPr>
          <w:rFonts w:eastAsia="Times New Roman" w:cs="Arial"/>
          <w:color w:val="000000"/>
        </w:rPr>
        <w:lastRenderedPageBreak/>
        <w:t>animals were excluded if their tumor long axis exceeded 20 mm or if they experienced more than 20% body weight loss.</w:t>
      </w:r>
      <w:r w:rsidR="001D1264" w:rsidRPr="004270C9">
        <w:rPr>
          <w:rFonts w:eastAsia="Times New Roman" w:cs="Arial"/>
          <w:color w:val="000000"/>
        </w:rPr>
        <w:t xml:space="preserve"> </w:t>
      </w:r>
      <w:r w:rsidR="003C2BA6" w:rsidRPr="004270C9">
        <w:rPr>
          <w:rFonts w:eastAsia="Times New Roman" w:cs="Arial"/>
          <w:color w:val="000000"/>
        </w:rPr>
        <w:t>Tumors and organs collected from the animals were fixed in 10% neutral buffered formalin for 24 h, embedded in paraffin, and prepared as formalin-fixed paraffin-embedded (FFPE) samples for subsequent histopathological analysis. The FFPE blocks were sectioned at 4 µm, and the sections were stained with hematoxylin and eosin (H&amp;E). Additional sections were used for immunohistochemical analysis.</w:t>
      </w:r>
      <w:r w:rsidR="00514208" w:rsidRPr="004270C9">
        <w:rPr>
          <w:rFonts w:ascii="ＭＳ 明朝" w:eastAsia="ＭＳ 明朝" w:hAnsi="ＭＳ 明朝" w:cs="ＭＳ 明朝" w:hint="eastAsia"/>
          <w:color w:val="000000"/>
        </w:rPr>
        <w:t xml:space="preserve"> </w:t>
      </w:r>
      <w:r w:rsidR="003C2BA6" w:rsidRPr="004270C9">
        <w:rPr>
          <w:rFonts w:eastAsia="Times New Roman" w:cs="Arial"/>
          <w:color w:val="000000"/>
        </w:rPr>
        <w:t>A</w:t>
      </w:r>
      <w:r w:rsidR="001D1264" w:rsidRPr="004270C9">
        <w:rPr>
          <w:rFonts w:eastAsia="Times New Roman" w:cs="Arial"/>
          <w:color w:val="000000"/>
        </w:rPr>
        <w:t xml:space="preserve">fter antigen retrieval using a commercially available solution (415211; Nichirei Biosciences) or proteinase (P8038; Sigma-Aldrich), the sections were incubated with antibodies against Erythropoietin (EPO) (66975-1-Ig, 1:200, mouse monoclonal IgG Ab; </w:t>
      </w:r>
      <w:proofErr w:type="spellStart"/>
      <w:r w:rsidR="00620D45" w:rsidRPr="004270C9">
        <w:rPr>
          <w:rFonts w:eastAsia="Times New Roman" w:cs="Arial"/>
          <w:color w:val="000000"/>
        </w:rPr>
        <w:t>Proteintech</w:t>
      </w:r>
      <w:proofErr w:type="spellEnd"/>
      <w:r w:rsidR="00620D45" w:rsidRPr="004270C9">
        <w:rPr>
          <w:rFonts w:eastAsia="Times New Roman" w:cs="Arial"/>
          <w:color w:val="000000"/>
        </w:rPr>
        <w:t xml:space="preserve"> Group, Rosemont, IL, USA</w:t>
      </w:r>
      <w:r w:rsidR="001D1264" w:rsidRPr="004270C9">
        <w:rPr>
          <w:rFonts w:eastAsia="Times New Roman" w:cs="Arial"/>
          <w:color w:val="000000"/>
        </w:rPr>
        <w:t>) and HIF2</w:t>
      </w:r>
      <w:r w:rsidR="001D1264" w:rsidRPr="004270C9">
        <w:rPr>
          <w:rFonts w:ascii="Symbol" w:eastAsia="Times New Roman" w:hAnsi="Symbol" w:cs="Arial"/>
          <w:color w:val="000000"/>
        </w:rPr>
        <w:t>a</w:t>
      </w:r>
      <w:r w:rsidR="001D1264" w:rsidRPr="004270C9">
        <w:rPr>
          <w:rFonts w:eastAsia="Times New Roman" w:cs="Arial"/>
          <w:color w:val="000000"/>
        </w:rPr>
        <w:t xml:space="preserve"> </w:t>
      </w:r>
      <w:r w:rsidR="00620D45" w:rsidRPr="004270C9">
        <w:rPr>
          <w:rFonts w:eastAsia="Times New Roman" w:cs="Arial"/>
          <w:color w:val="000000"/>
        </w:rPr>
        <w:t xml:space="preserve">(AF2997, 1:200, goat polyclonal IgG Ab; R&amp;D Systems, Inc., Minneapolis, MN, USA) </w:t>
      </w:r>
      <w:r w:rsidR="001D1264" w:rsidRPr="004270C9">
        <w:rPr>
          <w:rFonts w:eastAsia="Times New Roman" w:cs="Arial"/>
          <w:color w:val="000000"/>
        </w:rPr>
        <w:t xml:space="preserve">at room temperature </w:t>
      </w:r>
      <w:r w:rsidR="006629F1" w:rsidRPr="004270C9">
        <w:rPr>
          <w:rFonts w:cs="Arial"/>
        </w:rPr>
        <w:t>(20°C–25°C)</w:t>
      </w:r>
      <w:r w:rsidR="001D1264" w:rsidRPr="004270C9">
        <w:rPr>
          <w:rFonts w:eastAsia="Times New Roman" w:cs="Arial"/>
          <w:color w:val="000000"/>
        </w:rPr>
        <w:t xml:space="preserve"> for 1 h. The concentrated antibodies were diluted in </w:t>
      </w:r>
      <w:proofErr w:type="spellStart"/>
      <w:r w:rsidR="001D1264" w:rsidRPr="004270C9">
        <w:rPr>
          <w:rFonts w:eastAsia="Times New Roman" w:cs="Arial"/>
          <w:color w:val="000000"/>
        </w:rPr>
        <w:t>SignalStain</w:t>
      </w:r>
      <w:proofErr w:type="spellEnd"/>
      <w:r w:rsidR="001D1264" w:rsidRPr="004270C9">
        <w:rPr>
          <w:rFonts w:eastAsia="Times New Roman" w:cs="Arial"/>
          <w:color w:val="000000"/>
        </w:rPr>
        <w:t xml:space="preserve"> Antibody Diluent (#8112, Cell Signaling Technology). After washing with PBS, the sections were incubated with ready-to-use biotinylated species-specific secondary antibodies (724132, 724142; Nichirei Biosciences), washed, and incubated with 0.5 mg/mL 3,3</w:t>
      </w:r>
      <w:r w:rsidR="001D1264" w:rsidRPr="004270C9">
        <w:rPr>
          <w:rFonts w:cs="Arial"/>
          <w:color w:val="000000"/>
        </w:rPr>
        <w:t>′</w:t>
      </w:r>
      <w:r w:rsidR="001D1264" w:rsidRPr="004270C9">
        <w:rPr>
          <w:rFonts w:eastAsia="Times New Roman" w:cs="Arial"/>
          <w:color w:val="000000"/>
        </w:rPr>
        <w:t>-diaminobenzidine (725191; Nichirei Biosciences) for visualization. Non-specific mouse or rabbit IgG was used as a negative control.</w:t>
      </w:r>
      <w:r w:rsidR="00566475" w:rsidRPr="004270C9">
        <w:rPr>
          <w:rFonts w:eastAsia="Times New Roman" w:cs="Arial"/>
          <w:color w:val="000000"/>
        </w:rPr>
        <w:t xml:space="preserve"> Immunohistochemical staining was evaluated using the H-score method, calculated as the product of the percentage of positive cells (0–100) and the staining intensity (0–3), yielding </w:t>
      </w:r>
      <w:r w:rsidR="00566475" w:rsidRPr="004270C9">
        <w:rPr>
          <w:rFonts w:eastAsia="Times New Roman" w:cs="Arial"/>
          <w:color w:val="000000"/>
        </w:rPr>
        <w:lastRenderedPageBreak/>
        <w:t>a total score of 0-300.</w:t>
      </w:r>
    </w:p>
    <w:p w14:paraId="4E943482" w14:textId="77777777" w:rsidR="005F152B" w:rsidRPr="004270C9" w:rsidRDefault="005F152B" w:rsidP="005F152B">
      <w:pPr>
        <w:spacing w:after="120" w:line="480" w:lineRule="auto"/>
        <w:rPr>
          <w:rFonts w:eastAsia="Times New Roman" w:cs="Arial"/>
          <w:b/>
          <w:i/>
          <w:color w:val="000000"/>
        </w:rPr>
      </w:pPr>
    </w:p>
    <w:p w14:paraId="26AF309A" w14:textId="77777777" w:rsidR="005F152B" w:rsidRPr="004270C9" w:rsidRDefault="005F152B" w:rsidP="005F152B">
      <w:pPr>
        <w:spacing w:after="120" w:line="480" w:lineRule="auto"/>
        <w:rPr>
          <w:rFonts w:eastAsia="Times New Roman" w:cs="Arial"/>
          <w:b/>
          <w:i/>
          <w:iCs/>
          <w:color w:val="000000"/>
        </w:rPr>
      </w:pPr>
      <w:r w:rsidRPr="004270C9">
        <w:rPr>
          <w:rFonts w:eastAsia="Times New Roman" w:cs="Arial"/>
          <w:b/>
          <w:i/>
          <w:iCs/>
          <w:color w:val="000000"/>
        </w:rPr>
        <w:t>RNA-sequencing (RNA-seq) analysis</w:t>
      </w:r>
    </w:p>
    <w:p w14:paraId="29E84177" w14:textId="12DFC802" w:rsidR="005F152B" w:rsidRPr="004270C9" w:rsidRDefault="005F152B" w:rsidP="005F152B">
      <w:pPr>
        <w:spacing w:after="120" w:line="480" w:lineRule="auto"/>
        <w:rPr>
          <w:rFonts w:eastAsia="Times New Roman" w:cs="Arial"/>
          <w:color w:val="000000"/>
        </w:rPr>
      </w:pPr>
      <w:r w:rsidRPr="004270C9">
        <w:rPr>
          <w:rFonts w:eastAsia="Times New Roman" w:cs="Arial"/>
          <w:color w:val="000000"/>
        </w:rPr>
        <w:t>Human breast cancer cells (MCF7, T47D, MDA-MB-231, and MDA-MB-468) were exposed to Adipo</w:t>
      </w:r>
      <w:r w:rsidR="00307447" w:rsidRPr="004270C9">
        <w:rPr>
          <w:rFonts w:eastAsia="Times New Roman" w:cs="Arial"/>
          <w:color w:val="000000"/>
        </w:rPr>
        <w:t>Ron</w:t>
      </w:r>
      <w:r w:rsidRPr="004270C9">
        <w:rPr>
          <w:rFonts w:eastAsia="Times New Roman" w:cs="Arial"/>
          <w:color w:val="000000"/>
        </w:rPr>
        <w:t xml:space="preserve"> at 10 </w:t>
      </w:r>
      <w:r w:rsidR="00307447" w:rsidRPr="004270C9">
        <w:rPr>
          <w:rFonts w:eastAsia="Times New Roman" w:cs="Arial"/>
          <w:color w:val="000000"/>
        </w:rPr>
        <w:t>µ</w:t>
      </w:r>
      <w:r w:rsidRPr="004270C9">
        <w:rPr>
          <w:rFonts w:eastAsia="Times New Roman" w:cs="Arial"/>
          <w:color w:val="000000"/>
        </w:rPr>
        <w:t xml:space="preserve">g/mL or 40 </w:t>
      </w:r>
      <w:r w:rsidR="00307447" w:rsidRPr="004270C9">
        <w:rPr>
          <w:rFonts w:eastAsia="Times New Roman" w:cs="Arial"/>
          <w:color w:val="000000"/>
        </w:rPr>
        <w:t>µ</w:t>
      </w:r>
      <w:r w:rsidRPr="004270C9">
        <w:rPr>
          <w:rFonts w:eastAsia="Times New Roman" w:cs="Arial"/>
          <w:color w:val="000000"/>
        </w:rPr>
        <w:t xml:space="preserve">g/mL or to dimethyl sulfoxide (DMSO; Cat# 043-07216; Fujifilm Wako) as a control. After 24 h of exposure, RNA was extracted from all cells using </w:t>
      </w:r>
      <w:proofErr w:type="gramStart"/>
      <w:r w:rsidRPr="004270C9">
        <w:rPr>
          <w:rFonts w:eastAsia="Times New Roman" w:cs="Arial"/>
          <w:color w:val="000000"/>
        </w:rPr>
        <w:t>an</w:t>
      </w:r>
      <w:proofErr w:type="gramEnd"/>
      <w:r w:rsidRPr="004270C9">
        <w:rPr>
          <w:rFonts w:eastAsia="Times New Roman" w:cs="Arial"/>
          <w:color w:val="000000"/>
        </w:rPr>
        <w:t xml:space="preserve"> RNeasy Mini kit (Qiagen). RNA quality was assessed using a Nanodrop (Thermo Fischer). Sequencing libraries were prepared from qualified total RNA using the </w:t>
      </w:r>
      <w:proofErr w:type="spellStart"/>
      <w:r w:rsidRPr="004270C9">
        <w:rPr>
          <w:rFonts w:eastAsia="Times New Roman" w:cs="Arial"/>
          <w:color w:val="000000"/>
        </w:rPr>
        <w:t>SMARTer</w:t>
      </w:r>
      <w:proofErr w:type="spellEnd"/>
      <w:r w:rsidRPr="004270C9">
        <w:rPr>
          <w:rFonts w:eastAsia="Times New Roman" w:cs="Arial"/>
          <w:color w:val="000000"/>
        </w:rPr>
        <w:t xml:space="preserve"> Stranded Total RNA Sample Prep Kit (635005; Takara Bio) and sequenced using Illumina NextSeq500 (Illumina), generating 236-bp reads. RNA-seq was outsourced to Takara Bio. Differentially expressed genes were identified based on </w:t>
      </w:r>
      <w:r w:rsidRPr="004270C9">
        <w:rPr>
          <w:rFonts w:eastAsia="Times New Roman" w:cs="Arial"/>
          <w:i/>
          <w:color w:val="000000"/>
        </w:rPr>
        <w:t>P</w:t>
      </w:r>
      <w:r w:rsidRPr="004270C9">
        <w:rPr>
          <w:rFonts w:eastAsia="Times New Roman" w:cs="Arial"/>
          <w:color w:val="000000"/>
        </w:rPr>
        <w:t xml:space="preserve"> &lt; 0.05 (</w:t>
      </w:r>
      <w:r w:rsidRPr="004270C9">
        <w:rPr>
          <w:rFonts w:eastAsia="Times New Roman" w:cs="Arial"/>
          <w:i/>
          <w:color w:val="000000"/>
        </w:rPr>
        <w:t>t</w:t>
      </w:r>
      <w:r w:rsidRPr="004270C9">
        <w:rPr>
          <w:rFonts w:eastAsia="Times New Roman" w:cs="Arial"/>
          <w:color w:val="000000"/>
        </w:rPr>
        <w:t>-test) and log2(fold change) &gt; 1 and functionally annotated using Gene Ontology and Kyoto Encyclopedia of Genes and Genomes pathway enrichment analysis (KEGG). Ingenuity Pathway Analysis (IPA, Qiagen, Hilden, Germany) was conducted using our original datasets. The sequence reads produced in this study are deposited at Gene Expression Omnibus (GEO) under accession No. GSE290491.</w:t>
      </w:r>
    </w:p>
    <w:p w14:paraId="4E242A93" w14:textId="77777777" w:rsidR="005F152B" w:rsidRPr="004270C9" w:rsidRDefault="005F152B" w:rsidP="005F152B">
      <w:pPr>
        <w:spacing w:after="120" w:line="480" w:lineRule="auto"/>
        <w:rPr>
          <w:rFonts w:eastAsia="Times New Roman" w:cs="Arial"/>
          <w:b/>
          <w:i/>
          <w:color w:val="000000"/>
        </w:rPr>
      </w:pPr>
    </w:p>
    <w:p w14:paraId="5C823A05" w14:textId="77777777" w:rsidR="005F152B" w:rsidRPr="004270C9" w:rsidRDefault="005F152B" w:rsidP="005F152B">
      <w:pPr>
        <w:spacing w:after="120" w:line="480" w:lineRule="auto"/>
        <w:rPr>
          <w:rFonts w:eastAsia="Times New Roman" w:cs="Arial"/>
          <w:b/>
          <w:i/>
          <w:color w:val="000000"/>
        </w:rPr>
      </w:pPr>
      <w:r w:rsidRPr="004270C9">
        <w:rPr>
          <w:rFonts w:cs="Arial"/>
          <w:b/>
          <w:i/>
          <w:color w:val="000000"/>
        </w:rPr>
        <w:lastRenderedPageBreak/>
        <w:t>In silico</w:t>
      </w:r>
      <w:r w:rsidRPr="004270C9">
        <w:rPr>
          <w:rFonts w:eastAsia="Times New Roman" w:cs="Arial"/>
          <w:b/>
          <w:i/>
          <w:color w:val="000000"/>
        </w:rPr>
        <w:t xml:space="preserve"> analysis using public data</w:t>
      </w:r>
    </w:p>
    <w:p w14:paraId="0AF8ABE2" w14:textId="3AFD1947" w:rsidR="005F152B" w:rsidRPr="004270C9" w:rsidRDefault="005F152B" w:rsidP="005F152B">
      <w:pPr>
        <w:spacing w:after="120" w:line="480" w:lineRule="auto"/>
        <w:rPr>
          <w:rFonts w:eastAsia="Times New Roman" w:cs="Arial"/>
          <w:color w:val="000000"/>
        </w:rPr>
      </w:pPr>
      <w:r w:rsidRPr="004270C9">
        <w:rPr>
          <w:rFonts w:cs="Arial"/>
          <w:i/>
          <w:color w:val="000000"/>
        </w:rPr>
        <w:t>In silico</w:t>
      </w:r>
      <w:r w:rsidRPr="004270C9">
        <w:rPr>
          <w:rFonts w:eastAsia="Times New Roman" w:cs="Arial"/>
          <w:color w:val="000000"/>
        </w:rPr>
        <w:t xml:space="preserve"> analysis was performed using data from cBio</w:t>
      </w:r>
      <w:r w:rsidR="00C369AA" w:rsidRPr="004270C9">
        <w:rPr>
          <w:rFonts w:eastAsia="Times New Roman" w:cs="Arial"/>
          <w:color w:val="000000"/>
        </w:rPr>
        <w:t>P</w:t>
      </w:r>
      <w:r w:rsidRPr="004270C9">
        <w:rPr>
          <w:rFonts w:eastAsia="Times New Roman" w:cs="Arial"/>
          <w:color w:val="000000"/>
        </w:rPr>
        <w:t>ortal, the Cancer Cell Line Encyclopedia (CCLE; https://sites.broadinstitute.org/ccle/), and the Human Protein Atlas. The mRNA expression and gene amplification/deletion of 37 adipokines and adipokine receptors was analyzed using cBio</w:t>
      </w:r>
      <w:r w:rsidR="00C369AA" w:rsidRPr="004270C9">
        <w:rPr>
          <w:rFonts w:eastAsia="Times New Roman" w:cs="Arial"/>
          <w:color w:val="000000"/>
        </w:rPr>
        <w:t>P</w:t>
      </w:r>
      <w:r w:rsidRPr="004270C9">
        <w:rPr>
          <w:rFonts w:eastAsia="Times New Roman" w:cs="Arial"/>
          <w:color w:val="000000"/>
        </w:rPr>
        <w:t xml:space="preserve">ortal, based on RNA-seq data of tumor tissues from cancers originating in various organs. AdipoR1 expression status in the various cancer types was analyzed using the search tool of the Human Protein Atlas. ER, </w:t>
      </w:r>
      <w:proofErr w:type="spellStart"/>
      <w:r w:rsidRPr="004270C9">
        <w:rPr>
          <w:rFonts w:eastAsia="Times New Roman" w:cs="Arial"/>
          <w:color w:val="000000"/>
        </w:rPr>
        <w:t>PgR</w:t>
      </w:r>
      <w:proofErr w:type="spellEnd"/>
      <w:r w:rsidRPr="004270C9">
        <w:rPr>
          <w:rFonts w:eastAsia="Times New Roman" w:cs="Arial"/>
          <w:color w:val="000000"/>
        </w:rPr>
        <w:t>, HER2, and AdipoR1 mRNA expression in breast cancer cell lines was analyzed using the CCLE website.</w:t>
      </w:r>
    </w:p>
    <w:p w14:paraId="51B33D4A" w14:textId="64BCB04C" w:rsidR="00C369AA" w:rsidRPr="004270C9" w:rsidRDefault="00C369AA" w:rsidP="00C369AA">
      <w:pPr>
        <w:spacing w:after="120" w:line="480" w:lineRule="auto"/>
        <w:rPr>
          <w:rFonts w:eastAsia="Times New Roman" w:cs="Arial"/>
          <w:color w:val="000000"/>
        </w:rPr>
      </w:pPr>
      <w:r w:rsidRPr="004270C9">
        <w:rPr>
          <w:rFonts w:eastAsia="Times New Roman" w:cs="Arial"/>
          <w:i/>
          <w:iCs/>
          <w:color w:val="000000"/>
        </w:rPr>
        <w:t>In silico</w:t>
      </w:r>
      <w:r w:rsidRPr="004270C9">
        <w:rPr>
          <w:rFonts w:eastAsia="Times New Roman" w:cs="Arial"/>
          <w:color w:val="000000"/>
        </w:rPr>
        <w:t xml:space="preserve"> analysis of AdipoRon sensitivity in cancer cell lines using public databases was conducted. To this end, a correlation analysis between cell proliferation and AdipoR1 mRNA </w:t>
      </w:r>
      <w:r w:rsidRPr="004270C9">
        <w:rPr>
          <w:rFonts w:eastAsia="Times New Roman" w:cs="Arial" w:hint="eastAsia"/>
          <w:color w:val="000000"/>
        </w:rPr>
        <w:t>e</w:t>
      </w:r>
      <w:r w:rsidRPr="004270C9">
        <w:rPr>
          <w:rFonts w:eastAsia="Times New Roman" w:cs="Arial"/>
          <w:color w:val="000000"/>
        </w:rPr>
        <w:t>xpression was performed using cell proliferation data following treatment with 2.5 µM (0.87 µg/mL) AdipoR</w:t>
      </w:r>
      <w:r w:rsidR="00307447" w:rsidRPr="004270C9">
        <w:rPr>
          <w:rFonts w:eastAsia="Times New Roman" w:cs="Arial"/>
          <w:color w:val="000000"/>
        </w:rPr>
        <w:t>on</w:t>
      </w:r>
      <w:r w:rsidRPr="004270C9">
        <w:rPr>
          <w:rFonts w:eastAsia="Times New Roman" w:cs="Arial"/>
          <w:color w:val="000000"/>
        </w:rPr>
        <w:t xml:space="preserve"> and AdipoR1 mRNA expression data for 527 cell lines in the DepMap </w:t>
      </w:r>
      <w:r w:rsidRPr="004270C9">
        <w:rPr>
          <w:rFonts w:eastAsia="Times New Roman" w:cs="Arial" w:hint="eastAsia"/>
          <w:color w:val="000000"/>
        </w:rPr>
        <w:t>p</w:t>
      </w:r>
      <w:r w:rsidRPr="004270C9">
        <w:rPr>
          <w:rFonts w:eastAsia="Times New Roman" w:cs="Arial"/>
          <w:color w:val="000000"/>
        </w:rPr>
        <w:t>ortal (DepMap 24Q2 Public release).</w:t>
      </w:r>
      <w:r w:rsidRPr="004270C9">
        <w:rPr>
          <w:rFonts w:eastAsia="Times New Roman" w:cs="Arial" w:hint="eastAsia"/>
          <w:color w:val="000000"/>
        </w:rPr>
        <w:t xml:space="preserve"> </w:t>
      </w:r>
      <w:r w:rsidRPr="004270C9">
        <w:rPr>
          <w:rFonts w:eastAsia="Times New Roman" w:cs="Arial"/>
          <w:color w:val="000000"/>
        </w:rPr>
        <w:t xml:space="preserve">Correlation analysis between AdipoRon sensitivity and AdipoR1 mRNA expression data in thirteen </w:t>
      </w:r>
      <w:r w:rsidRPr="004270C9">
        <w:rPr>
          <w:rFonts w:eastAsia="Times New Roman" w:cs="Arial" w:hint="eastAsia"/>
          <w:color w:val="000000"/>
        </w:rPr>
        <w:t>i</w:t>
      </w:r>
      <w:r w:rsidRPr="004270C9">
        <w:rPr>
          <w:rFonts w:eastAsia="Times New Roman" w:cs="Arial"/>
          <w:color w:val="000000"/>
        </w:rPr>
        <w:t>ndividual breast cancer cell lines was also performed using data from DepMap and the Human Protein Atlas.</w:t>
      </w:r>
    </w:p>
    <w:p w14:paraId="00E6BD52" w14:textId="77777777" w:rsidR="005F152B" w:rsidRPr="004270C9" w:rsidRDefault="005F152B" w:rsidP="005F152B">
      <w:pPr>
        <w:spacing w:after="120" w:line="480" w:lineRule="auto"/>
        <w:rPr>
          <w:rFonts w:eastAsia="Times New Roman" w:cs="Arial"/>
          <w:b/>
          <w:i/>
          <w:color w:val="000000"/>
        </w:rPr>
      </w:pPr>
    </w:p>
    <w:p w14:paraId="2EF99974" w14:textId="77777777" w:rsidR="005F152B" w:rsidRPr="004270C9" w:rsidRDefault="005F152B" w:rsidP="005F152B">
      <w:pPr>
        <w:spacing w:after="120" w:line="480" w:lineRule="auto"/>
        <w:rPr>
          <w:rFonts w:eastAsia="Times New Roman" w:cs="Arial"/>
          <w:b/>
          <w:i/>
          <w:iCs/>
          <w:color w:val="000000"/>
        </w:rPr>
      </w:pPr>
      <w:r w:rsidRPr="004270C9">
        <w:rPr>
          <w:rFonts w:eastAsia="Times New Roman" w:cs="Arial"/>
          <w:b/>
          <w:i/>
          <w:iCs/>
          <w:color w:val="000000"/>
        </w:rPr>
        <w:lastRenderedPageBreak/>
        <w:t>Lentiviral transfection</w:t>
      </w:r>
    </w:p>
    <w:p w14:paraId="3880C67E" w14:textId="77777777" w:rsidR="005F152B" w:rsidRPr="004270C9" w:rsidRDefault="005F152B" w:rsidP="005F152B">
      <w:pPr>
        <w:spacing w:after="120" w:line="480" w:lineRule="auto"/>
        <w:rPr>
          <w:rFonts w:eastAsia="Times New Roman" w:cs="Arial"/>
          <w:color w:val="000000"/>
        </w:rPr>
      </w:pPr>
      <w:r w:rsidRPr="004270C9">
        <w:rPr>
          <w:rFonts w:eastAsia="Times New Roman" w:cs="Arial"/>
          <w:color w:val="000000"/>
        </w:rPr>
        <w:t xml:space="preserve">Stable gene knockdown or expression was achieved using the </w:t>
      </w:r>
      <w:proofErr w:type="spellStart"/>
      <w:r w:rsidRPr="004270C9">
        <w:rPr>
          <w:rFonts w:eastAsia="Times New Roman" w:cs="Arial"/>
          <w:color w:val="000000"/>
        </w:rPr>
        <w:t>ViraPower</w:t>
      </w:r>
      <w:proofErr w:type="spellEnd"/>
      <w:r w:rsidRPr="004270C9">
        <w:rPr>
          <w:rFonts w:eastAsia="Times New Roman" w:cs="Arial"/>
          <w:color w:val="000000"/>
        </w:rPr>
        <w:t xml:space="preserve"> Lentiviral expression system (Invitrogen) according to the manufacturer’s protocol. Gene manipulation from polyclonal stable cell lines was checked using western blotting. Lentiviral shRNA constructs targeting </w:t>
      </w:r>
      <w:r w:rsidRPr="004270C9">
        <w:rPr>
          <w:rFonts w:eastAsia="Times New Roman" w:cs="Arial"/>
          <w:i/>
          <w:color w:val="000000"/>
        </w:rPr>
        <w:t>ADIPOR1</w:t>
      </w:r>
      <w:r w:rsidRPr="004270C9">
        <w:rPr>
          <w:rFonts w:eastAsia="Times New Roman" w:cs="Arial"/>
          <w:color w:val="000000"/>
        </w:rPr>
        <w:t xml:space="preserve"> were from Sigma-Aldrich. Stable </w:t>
      </w:r>
      <w:r w:rsidRPr="004270C9">
        <w:rPr>
          <w:rFonts w:eastAsia="Times New Roman" w:cs="Arial"/>
          <w:i/>
          <w:color w:val="000000"/>
        </w:rPr>
        <w:t>ADIPOR1</w:t>
      </w:r>
      <w:r w:rsidRPr="004270C9">
        <w:rPr>
          <w:rFonts w:eastAsia="Times New Roman" w:cs="Arial"/>
          <w:color w:val="000000"/>
        </w:rPr>
        <w:t xml:space="preserve"> overexpression was achieved by cloning the open reading frame of </w:t>
      </w:r>
      <w:r w:rsidRPr="004270C9">
        <w:rPr>
          <w:rFonts w:eastAsia="Times New Roman" w:cs="Arial"/>
          <w:i/>
          <w:color w:val="000000"/>
        </w:rPr>
        <w:t>ADIPOR1</w:t>
      </w:r>
      <w:r w:rsidRPr="004270C9">
        <w:rPr>
          <w:rFonts w:eastAsia="Times New Roman" w:cs="Arial"/>
          <w:color w:val="000000"/>
        </w:rPr>
        <w:t xml:space="preserve"> downstream of the CMV promoter in the </w:t>
      </w:r>
      <w:proofErr w:type="spellStart"/>
      <w:r w:rsidRPr="004270C9">
        <w:rPr>
          <w:rFonts w:eastAsia="Times New Roman" w:cs="Arial"/>
          <w:color w:val="000000"/>
        </w:rPr>
        <w:t>pLOC</w:t>
      </w:r>
      <w:proofErr w:type="spellEnd"/>
      <w:r w:rsidRPr="004270C9">
        <w:rPr>
          <w:rFonts w:eastAsia="Times New Roman" w:cs="Arial"/>
          <w:color w:val="000000"/>
        </w:rPr>
        <w:t xml:space="preserve"> lentiviral vector (</w:t>
      </w:r>
      <w:proofErr w:type="spellStart"/>
      <w:r w:rsidRPr="004270C9">
        <w:rPr>
          <w:rFonts w:eastAsia="Times New Roman" w:cs="Arial"/>
          <w:color w:val="000000"/>
        </w:rPr>
        <w:t>Dharmacon</w:t>
      </w:r>
      <w:proofErr w:type="spellEnd"/>
      <w:r w:rsidRPr="004270C9">
        <w:rPr>
          <w:rFonts w:eastAsia="Times New Roman" w:cs="Arial"/>
          <w:color w:val="000000"/>
        </w:rPr>
        <w:t>).</w:t>
      </w:r>
    </w:p>
    <w:p w14:paraId="3F4B9C77" w14:textId="77777777" w:rsidR="005F152B" w:rsidRPr="004270C9" w:rsidRDefault="005F152B" w:rsidP="005F152B">
      <w:pPr>
        <w:spacing w:after="120" w:line="480" w:lineRule="auto"/>
        <w:rPr>
          <w:rFonts w:eastAsia="Times New Roman" w:cs="Arial"/>
          <w:color w:val="000000"/>
        </w:rPr>
      </w:pPr>
    </w:p>
    <w:p w14:paraId="52BE445E" w14:textId="77777777" w:rsidR="005F152B" w:rsidRPr="004270C9" w:rsidRDefault="005F152B" w:rsidP="005F152B">
      <w:pPr>
        <w:pStyle w:val="1"/>
        <w:spacing w:line="480" w:lineRule="auto"/>
        <w:jc w:val="both"/>
        <w:rPr>
          <w:rFonts w:eastAsia="Times New Roman"/>
          <w:i/>
          <w:iCs/>
          <w:color w:val="000000"/>
          <w:sz w:val="21"/>
          <w:szCs w:val="21"/>
        </w:rPr>
      </w:pPr>
      <w:r w:rsidRPr="004270C9">
        <w:rPr>
          <w:i/>
          <w:iCs/>
          <w:caps w:val="0"/>
          <w:color w:val="000000"/>
          <w:sz w:val="21"/>
          <w:szCs w:val="21"/>
        </w:rPr>
        <w:t>Statistical analysis</w:t>
      </w:r>
    </w:p>
    <w:p w14:paraId="2B36CC21" w14:textId="218548B9" w:rsidR="001867AD" w:rsidRPr="004270C9" w:rsidRDefault="00F1390D" w:rsidP="001867AD">
      <w:pPr>
        <w:spacing w:after="120" w:line="480" w:lineRule="auto"/>
        <w:rPr>
          <w:rFonts w:eastAsia="Times New Roman" w:cs="Arial"/>
          <w:color w:val="000000"/>
        </w:rPr>
      </w:pPr>
      <w:r w:rsidRPr="004270C9">
        <w:rPr>
          <w:rFonts w:eastAsia="Times New Roman" w:cs="Arial"/>
          <w:color w:val="000000"/>
        </w:rPr>
        <w:t xml:space="preserve">Statistical tests were chosen based on the experimental design and data distribution. Normality of each dataset was assessed using the default D’Agostino–Pearson omnibus normality test in GraphPad Prism 7.0 software (SCR_002798, GraphPad Software, La Jolla, CA, USA) prior to applying parametric tests. Measures of variation (mean ± standard deviation or standard error of the mean) are reported for all data. Only datasets meeting the assumptions of normality were analyzed using parametric tests such as t-tests or ANOVA, while non-parametric tests were applied when normality assumptions were not satisfied. Variances between groups were confirmed to be comparable prior to analysis. </w:t>
      </w:r>
      <w:r w:rsidR="005F152B" w:rsidRPr="004270C9">
        <w:rPr>
          <w:rFonts w:eastAsia="Times New Roman" w:cs="Arial"/>
          <w:color w:val="000000"/>
        </w:rPr>
        <w:lastRenderedPageBreak/>
        <w:t xml:space="preserve">Data are reported as mean ± SD and were analyzed using GraphPad Prism 7.0 software. Means of two groups were compared using Student’s unpaired </w:t>
      </w:r>
      <w:r w:rsidR="005F152B" w:rsidRPr="004270C9">
        <w:rPr>
          <w:rFonts w:eastAsia="Times New Roman" w:cs="Arial"/>
          <w:i/>
          <w:color w:val="000000"/>
        </w:rPr>
        <w:t>t</w:t>
      </w:r>
      <w:r w:rsidR="005F152B" w:rsidRPr="004270C9">
        <w:rPr>
          <w:rFonts w:eastAsia="Times New Roman" w:cs="Arial"/>
          <w:color w:val="000000"/>
        </w:rPr>
        <w:t xml:space="preserve">-test. For multiple group comparisons, an ordinary ANOVA was employed, followed by the Tukey–Kramer or Dunnett's multiple comparison tests. Statistical significance was set to </w:t>
      </w:r>
      <w:r w:rsidR="005F152B" w:rsidRPr="004270C9">
        <w:rPr>
          <w:rFonts w:eastAsia="Times New Roman" w:cs="Arial"/>
          <w:i/>
          <w:color w:val="000000"/>
        </w:rPr>
        <w:t>P</w:t>
      </w:r>
      <w:r w:rsidR="005F152B" w:rsidRPr="004270C9">
        <w:rPr>
          <w:rFonts w:eastAsia="Times New Roman" w:cs="Arial"/>
          <w:color w:val="000000"/>
        </w:rPr>
        <w:t xml:space="preserve"> &lt; 0.05. Pearson’s chi-squared test was used to determine correlations between clinical parameters and overall survival. In Ingenuity Pathway Analysis (SCR_008653, Qiagen), canonical pathway activation was assessed based on the z-score, with a positive value indicating pathway activation and a negative value indicating pathway inhibition. Kaplan–Meier plots were generated using the Kaplan-Meier plotter </w:t>
      </w:r>
      <w:r w:rsidR="005F152B" w:rsidRPr="004270C9">
        <w:rPr>
          <w:rFonts w:eastAsia="ＭＳ Ｐゴシック" w:cs="Arial"/>
          <w:color w:val="000000" w:themeColor="text1"/>
        </w:rPr>
        <w:fldChar w:fldCharType="begin"/>
      </w:r>
      <w:r w:rsidR="005F152B" w:rsidRPr="004270C9">
        <w:rPr>
          <w:rFonts w:cs="Arial"/>
          <w:color w:val="000000" w:themeColor="text1"/>
        </w:rPr>
        <w:instrText xml:space="preserve"> ADDIN EN.CITE &lt;EndNote&gt;&lt;Cite&gt;&lt;Author&gt;Gyorffy&lt;/Author&gt;&lt;Year&gt;2024&lt;/Year&gt;&lt;RecNum&gt;66&lt;/RecNum&gt;&lt;DisplayText&gt;&lt;style face="superscript"&gt;66&lt;/style&gt;&lt;/DisplayText&gt;&lt;record&gt;&lt;rec-number&gt;66&lt;/rec-number&gt;&lt;foreign-keys&gt;&lt;key app="EN" db-id="w2sxsa90v5s0vsep9ztpp00yp0zte22tv0ze" timestamp="1745839841"&gt;66&lt;/key&gt;&lt;/foreign-keys&gt;&lt;ref-type name="Journal Article"&gt;17&lt;/ref-type&gt;&lt;contributors&gt;&lt;authors&gt;&lt;author&gt;Gyorffy, B.&lt;/author&gt;&lt;/authors&gt;&lt;/contributors&gt;&lt;auth-address&gt;Department of Biophysics, Medical School, University of Pecs, 7624 Pecs, Hungary.&amp;#xD;Department of Bioinformatics, Semmelweis University, 1094 Budapest, Hungary.&amp;#xD;Cancer Biomarker Research Group, Institute of Molecular Life Sciences, HUN-REN Research Centre for Natural Sciences, 1117 Budapest, Hungary.&lt;/auth-address&gt;&lt;titles&gt;&lt;title&gt;Integrated analysis of public datasets for the discovery and validation of survival-associated genes in solid tumors&lt;/title&gt;&lt;secondary-title&gt;Innovation (Camb)&lt;/secondary-title&gt;&lt;/titles&gt;&lt;periodical&gt;&lt;full-title&gt;Innovation (Camb)&lt;/full-title&gt;&lt;/periodical&gt;&lt;pages&gt;100625&lt;/pages&gt;&lt;volume&gt;5&lt;/volume&gt;&lt;number&gt;3&lt;/number&gt;&lt;edition&gt;2024/05/06&lt;/edition&gt;&lt;dates&gt;&lt;year&gt;2024&lt;/year&gt;&lt;pub-dates&gt;&lt;date&gt;May 6&lt;/date&gt;&lt;/pub-dates&gt;&lt;/dates&gt;&lt;isbn&gt;2666-6758 (Electronic)&amp;#xD;2666-6758 (Linking)&lt;/isbn&gt;&lt;accession-num&gt;38706955&lt;/accession-num&gt;&lt;urls&gt;&lt;related-urls&gt;&lt;url&gt;https://www.ncbi.nlm.nih.gov/pubmed/38706955&lt;/url&gt;&lt;/related-urls&gt;&lt;/urls&gt;&lt;custom2&gt;PMC11066458&lt;/custom2&gt;&lt;electronic-resource-num&gt;10.1016/j.xinn.2024.100625&lt;/electronic-resource-num&gt;&lt;/record&gt;&lt;/Cite&gt;&lt;/EndNote&gt;</w:instrText>
      </w:r>
      <w:r w:rsidR="005F152B" w:rsidRPr="004270C9">
        <w:rPr>
          <w:rFonts w:eastAsia="ＭＳ Ｐゴシック" w:cs="Arial"/>
          <w:color w:val="000000" w:themeColor="text1"/>
        </w:rPr>
        <w:fldChar w:fldCharType="separate"/>
      </w:r>
      <w:r w:rsidR="005F152B" w:rsidRPr="004270C9">
        <w:rPr>
          <w:rFonts w:cs="Arial"/>
          <w:noProof/>
          <w:color w:val="000000" w:themeColor="text1"/>
          <w:vertAlign w:val="superscript"/>
        </w:rPr>
        <w:t>66</w:t>
      </w:r>
      <w:r w:rsidR="005F152B" w:rsidRPr="004270C9">
        <w:rPr>
          <w:rFonts w:eastAsia="Times New Roman" w:cs="Arial"/>
          <w:color w:val="000000"/>
        </w:rPr>
        <w:fldChar w:fldCharType="end"/>
      </w:r>
      <w:r w:rsidR="005F152B" w:rsidRPr="004270C9">
        <w:rPr>
          <w:rFonts w:eastAsia="Times New Roman" w:cs="Arial"/>
          <w:color w:val="000000"/>
        </w:rPr>
        <w:t xml:space="preserve">. </w:t>
      </w:r>
      <w:r w:rsidR="001867AD" w:rsidRPr="004270C9">
        <w:rPr>
          <w:rFonts w:eastAsia="Times New Roman" w:cs="Arial"/>
          <w:color w:val="000000"/>
        </w:rPr>
        <w:t>Simple linear regression analysis was performed to assess the relationship between AdipoR1 mRNA expression and the effect of AdipoR</w:t>
      </w:r>
      <w:r w:rsidR="00307447" w:rsidRPr="004270C9">
        <w:rPr>
          <w:rFonts w:eastAsia="Times New Roman" w:cs="Arial"/>
          <w:color w:val="000000"/>
        </w:rPr>
        <w:t>on</w:t>
      </w:r>
      <w:r w:rsidR="001867AD" w:rsidRPr="004270C9">
        <w:rPr>
          <w:rFonts w:eastAsia="Times New Roman" w:cs="Arial"/>
          <w:color w:val="000000"/>
        </w:rPr>
        <w:t xml:space="preserve"> on cell growth. </w:t>
      </w:r>
    </w:p>
    <w:p w14:paraId="1F701DE0" w14:textId="77777777" w:rsidR="001867AD" w:rsidRPr="004270C9" w:rsidRDefault="001867AD" w:rsidP="005F152B">
      <w:pPr>
        <w:spacing w:after="120" w:line="480" w:lineRule="auto"/>
        <w:rPr>
          <w:rFonts w:eastAsia="Times New Roman" w:cs="Arial"/>
          <w:color w:val="000000"/>
        </w:rPr>
      </w:pPr>
    </w:p>
    <w:p w14:paraId="1D9D0323" w14:textId="77777777" w:rsidR="005F152B" w:rsidRPr="004270C9" w:rsidRDefault="005F152B" w:rsidP="005F152B">
      <w:pPr>
        <w:spacing w:after="120" w:line="480" w:lineRule="auto"/>
        <w:rPr>
          <w:rFonts w:eastAsia="Times New Roman" w:cs="Arial"/>
          <w:color w:val="000000"/>
        </w:rPr>
      </w:pPr>
    </w:p>
    <w:p w14:paraId="2B8E2584" w14:textId="77777777" w:rsidR="005F152B" w:rsidRPr="004270C9" w:rsidRDefault="005F152B" w:rsidP="005F152B">
      <w:pPr>
        <w:spacing w:line="480" w:lineRule="auto"/>
        <w:rPr>
          <w:rFonts w:eastAsia="Times New Roman" w:cs="Arial"/>
          <w:b/>
          <w:bCs/>
          <w:color w:val="000000"/>
        </w:rPr>
      </w:pPr>
      <w:r w:rsidRPr="004270C9">
        <w:rPr>
          <w:rFonts w:eastAsia="Times New Roman" w:cs="Arial"/>
          <w:b/>
          <w:bCs/>
          <w:color w:val="000000"/>
        </w:rPr>
        <w:t xml:space="preserve">Ethical approval </w:t>
      </w:r>
    </w:p>
    <w:p w14:paraId="0741FD97" w14:textId="77777777" w:rsidR="005F152B" w:rsidRPr="004270C9" w:rsidRDefault="005F152B" w:rsidP="005F152B">
      <w:pPr>
        <w:spacing w:after="120" w:line="480" w:lineRule="auto"/>
        <w:rPr>
          <w:rFonts w:eastAsia="Times New Roman" w:cs="Arial"/>
          <w:color w:val="000000"/>
        </w:rPr>
      </w:pPr>
      <w:r w:rsidRPr="004270C9">
        <w:rPr>
          <w:rFonts w:eastAsia="Times New Roman" w:cs="Arial"/>
          <w:color w:val="000000"/>
        </w:rPr>
        <w:t xml:space="preserve">This study was approved by the Kanagawa Cancer Center Ethics Committee (approval number: 2020 EKI-37) and conducted in accordance with the study protocol approved by the center. Comprehensive written informed consent was obtained from all patients included in the study. All animal experiments conformed to the ARRIVE guidelines and </w:t>
      </w:r>
      <w:r w:rsidRPr="004270C9">
        <w:rPr>
          <w:rFonts w:eastAsia="Times New Roman" w:cs="Arial"/>
          <w:color w:val="000000"/>
        </w:rPr>
        <w:lastRenderedPageBreak/>
        <w:t>were approved by the Kanagawa Cancer Center Animal Experimentation Committee (approval number 01-07). All methods, including study design, sample size, inclusion and exclusion criteria, outcome measures, method of euthanasia, timing of tissue collection after euthanasia, and statistical methods, were performed according to relevant guidelines and regulations.</w:t>
      </w:r>
    </w:p>
    <w:p w14:paraId="09AA4C05" w14:textId="77777777" w:rsidR="005F152B" w:rsidRPr="004270C9" w:rsidRDefault="005F152B" w:rsidP="005F152B">
      <w:pPr>
        <w:spacing w:line="480" w:lineRule="auto"/>
        <w:rPr>
          <w:rFonts w:eastAsia="Times New Roman" w:cs="Arial"/>
          <w:b/>
          <w:color w:val="000000"/>
        </w:rPr>
      </w:pPr>
    </w:p>
    <w:p w14:paraId="65331E33" w14:textId="77777777" w:rsidR="005F152B" w:rsidRPr="004270C9" w:rsidRDefault="005F152B" w:rsidP="005F152B">
      <w:pPr>
        <w:spacing w:after="120" w:line="480" w:lineRule="auto"/>
        <w:rPr>
          <w:rFonts w:eastAsia="Times New Roman" w:cs="Arial"/>
          <w:b/>
          <w:bCs/>
          <w:color w:val="000000"/>
        </w:rPr>
      </w:pPr>
      <w:r w:rsidRPr="004270C9">
        <w:rPr>
          <w:rFonts w:eastAsia="Times New Roman" w:cs="Arial"/>
          <w:b/>
          <w:bCs/>
          <w:color w:val="000000"/>
        </w:rPr>
        <w:t>Conflict of interest:</w:t>
      </w:r>
    </w:p>
    <w:p w14:paraId="751A882E" w14:textId="77777777" w:rsidR="005F152B" w:rsidRPr="004270C9" w:rsidRDefault="005F152B" w:rsidP="005F152B">
      <w:pPr>
        <w:spacing w:line="480" w:lineRule="auto"/>
        <w:rPr>
          <w:rFonts w:eastAsia="Times New Roman" w:cs="Arial"/>
          <w:color w:val="000000"/>
        </w:rPr>
      </w:pPr>
      <w:r w:rsidRPr="004270C9">
        <w:rPr>
          <w:rFonts w:eastAsia="Times New Roman" w:cs="Arial"/>
          <w:color w:val="000000"/>
        </w:rPr>
        <w:t>S. Sato received research funding from Nikon Corporation and Takeda Pharmaceutical Company. Y. Miyagi received research funding from Tosoh Corporation and Shin Nippon Biomedical Laboratories, Ltd. T. Yamashita received research grants and/or honoraria for lectures from Chugai, Eisai, Novartis Pharma, Taiho, Nippon Kayaku, AstraZeneca, Kyowa Kirin, Pfizer Japan, Eli Lilly, and Daiichi Sankyo. T. Yamanaka received honoraria for lectures from Chugai, Eisai, Novartis Pharma, AstraZeneca, Kyowa Kirin, Pfizer Japan, Eli Lilly, and Daiichi Sankyo. All other authors declare no conflicts of interest.</w:t>
      </w:r>
    </w:p>
    <w:p w14:paraId="15E73E01" w14:textId="77777777" w:rsidR="005F152B" w:rsidRPr="004270C9" w:rsidRDefault="005F152B" w:rsidP="005F152B">
      <w:pPr>
        <w:spacing w:line="480" w:lineRule="auto"/>
        <w:rPr>
          <w:rFonts w:eastAsia="Times New Roman" w:cs="Arial"/>
          <w:b/>
          <w:color w:val="000000"/>
        </w:rPr>
      </w:pPr>
    </w:p>
    <w:p w14:paraId="6342786A" w14:textId="77777777" w:rsidR="005F152B" w:rsidRPr="004270C9" w:rsidRDefault="005F152B" w:rsidP="005F152B">
      <w:pPr>
        <w:spacing w:after="120" w:line="480" w:lineRule="auto"/>
        <w:rPr>
          <w:rFonts w:eastAsia="Times New Roman" w:cs="Arial"/>
          <w:color w:val="000000"/>
        </w:rPr>
      </w:pPr>
      <w:r w:rsidRPr="004270C9">
        <w:rPr>
          <w:rFonts w:eastAsia="Times New Roman" w:cs="Arial"/>
          <w:b/>
          <w:bCs/>
          <w:color w:val="000000"/>
        </w:rPr>
        <w:t>Availability of data and materials:</w:t>
      </w:r>
      <w:r w:rsidRPr="004270C9">
        <w:rPr>
          <w:rFonts w:eastAsia="Times New Roman" w:cs="Arial"/>
          <w:color w:val="000000"/>
        </w:rPr>
        <w:t> </w:t>
      </w:r>
    </w:p>
    <w:p w14:paraId="0812625D" w14:textId="77777777" w:rsidR="005F152B" w:rsidRPr="004270C9" w:rsidRDefault="005F152B" w:rsidP="005F152B">
      <w:pPr>
        <w:spacing w:line="480" w:lineRule="auto"/>
        <w:rPr>
          <w:rFonts w:eastAsia="Times New Roman" w:cs="Arial"/>
          <w:color w:val="000000"/>
        </w:rPr>
      </w:pPr>
      <w:r w:rsidRPr="004270C9">
        <w:rPr>
          <w:rFonts w:eastAsia="Times New Roman" w:cs="Arial"/>
          <w:color w:val="000000"/>
        </w:rPr>
        <w:t xml:space="preserve">The RNA-seq data and original western blot images were deposited at GEO under GEO:233867 and Mendeley at 10.17632/hrw8kxcsxp.1, respectively, and are publicly </w:t>
      </w:r>
      <w:r w:rsidRPr="004270C9">
        <w:rPr>
          <w:rFonts w:eastAsia="Times New Roman" w:cs="Arial"/>
          <w:color w:val="000000"/>
        </w:rPr>
        <w:lastRenderedPageBreak/>
        <w:t>available as of the date of publication. Microscopy data reported in this paper will be shared by the lead contact upon request. Any additional information required to reanalyze the data reported in this paper is available from the lead contact upon request.</w:t>
      </w:r>
    </w:p>
    <w:p w14:paraId="445433D2" w14:textId="77777777" w:rsidR="005F152B" w:rsidRPr="004270C9" w:rsidRDefault="005F152B" w:rsidP="005F152B">
      <w:pPr>
        <w:spacing w:after="120" w:line="480" w:lineRule="auto"/>
        <w:rPr>
          <w:rFonts w:eastAsia="Times New Roman" w:cs="Arial"/>
          <w:color w:val="000000"/>
        </w:rPr>
      </w:pPr>
    </w:p>
    <w:p w14:paraId="6D54D54E" w14:textId="77777777" w:rsidR="005F152B" w:rsidRPr="004270C9" w:rsidRDefault="005F152B" w:rsidP="005F152B">
      <w:pPr>
        <w:spacing w:after="120" w:line="480" w:lineRule="auto"/>
        <w:rPr>
          <w:rFonts w:eastAsia="Times New Roman" w:cs="Arial"/>
          <w:color w:val="000000"/>
        </w:rPr>
      </w:pPr>
      <w:r w:rsidRPr="004270C9">
        <w:rPr>
          <w:rFonts w:eastAsia="Times New Roman" w:cs="Arial"/>
          <w:b/>
          <w:bCs/>
          <w:color w:val="000000"/>
        </w:rPr>
        <w:t>Acknowledgements:</w:t>
      </w:r>
    </w:p>
    <w:p w14:paraId="6A87FF41" w14:textId="77777777" w:rsidR="005F152B" w:rsidRPr="004270C9" w:rsidRDefault="005F152B" w:rsidP="005F152B">
      <w:pPr>
        <w:spacing w:after="120" w:line="480" w:lineRule="auto"/>
        <w:rPr>
          <w:rFonts w:eastAsia="Times New Roman" w:cs="Arial"/>
          <w:color w:val="000000"/>
        </w:rPr>
      </w:pPr>
      <w:r w:rsidRPr="004270C9">
        <w:rPr>
          <w:rFonts w:eastAsia="Times New Roman" w:cs="Arial"/>
          <w:color w:val="000000"/>
        </w:rPr>
        <w:t xml:space="preserve">We thank Dr. Yutaka Kondo (Nagoya University), Dr. </w:t>
      </w:r>
      <w:proofErr w:type="spellStart"/>
      <w:r w:rsidRPr="004270C9">
        <w:rPr>
          <w:rFonts w:eastAsia="Times New Roman" w:cs="Arial"/>
          <w:color w:val="000000"/>
        </w:rPr>
        <w:t>Naohiko</w:t>
      </w:r>
      <w:proofErr w:type="spellEnd"/>
      <w:r w:rsidRPr="004270C9">
        <w:rPr>
          <w:rFonts w:eastAsia="Times New Roman" w:cs="Arial"/>
          <w:color w:val="000000"/>
        </w:rPr>
        <w:t xml:space="preserve"> </w:t>
      </w:r>
      <w:proofErr w:type="spellStart"/>
      <w:r w:rsidRPr="004270C9">
        <w:rPr>
          <w:rFonts w:eastAsia="Times New Roman" w:cs="Arial"/>
          <w:color w:val="000000"/>
        </w:rPr>
        <w:t>Koshikawa</w:t>
      </w:r>
      <w:proofErr w:type="spellEnd"/>
      <w:r w:rsidRPr="004270C9">
        <w:rPr>
          <w:rFonts w:eastAsia="Times New Roman" w:cs="Arial"/>
          <w:color w:val="000000"/>
        </w:rPr>
        <w:t xml:space="preserve"> (Institute of Science Tokyo), and Dr. </w:t>
      </w:r>
      <w:proofErr w:type="spellStart"/>
      <w:r w:rsidRPr="004270C9">
        <w:rPr>
          <w:rFonts w:eastAsia="Times New Roman" w:cs="Arial"/>
          <w:color w:val="000000"/>
        </w:rPr>
        <w:t>Takuro</w:t>
      </w:r>
      <w:proofErr w:type="spellEnd"/>
      <w:r w:rsidRPr="004270C9">
        <w:rPr>
          <w:rFonts w:eastAsia="Times New Roman" w:cs="Arial"/>
          <w:color w:val="000000"/>
        </w:rPr>
        <w:t xml:space="preserve"> Nakamura (Tokyo Medical University) for providing cogent and meaningful suggestions; Ms. Yoshihara and Ms. </w:t>
      </w:r>
      <w:proofErr w:type="spellStart"/>
      <w:r w:rsidRPr="004270C9">
        <w:rPr>
          <w:rFonts w:eastAsia="Times New Roman" w:cs="Arial"/>
          <w:color w:val="000000"/>
        </w:rPr>
        <w:t>Ohrui</w:t>
      </w:r>
      <w:proofErr w:type="spellEnd"/>
      <w:r w:rsidRPr="004270C9">
        <w:rPr>
          <w:rFonts w:eastAsia="Times New Roman" w:cs="Arial"/>
          <w:color w:val="000000"/>
        </w:rPr>
        <w:t xml:space="preserve"> for preparing the specimens; Ms. Nakagawa for support in the</w:t>
      </w:r>
      <w:r w:rsidRPr="004270C9">
        <w:rPr>
          <w:rFonts w:eastAsia="Times New Roman" w:cs="Arial"/>
          <w:i/>
          <w:color w:val="000000"/>
        </w:rPr>
        <w:t xml:space="preserve"> </w:t>
      </w:r>
      <w:r w:rsidRPr="004270C9">
        <w:rPr>
          <w:rFonts w:cs="Arial"/>
          <w:i/>
          <w:color w:val="000000"/>
        </w:rPr>
        <w:t>in vitro</w:t>
      </w:r>
      <w:r w:rsidRPr="004270C9">
        <w:rPr>
          <w:rFonts w:eastAsia="Times New Roman" w:cs="Arial"/>
          <w:color w:val="000000"/>
        </w:rPr>
        <w:t xml:space="preserve"> experiments; Ms. </w:t>
      </w:r>
      <w:proofErr w:type="spellStart"/>
      <w:r w:rsidRPr="004270C9">
        <w:rPr>
          <w:rFonts w:eastAsia="Times New Roman" w:cs="Arial"/>
          <w:color w:val="000000"/>
        </w:rPr>
        <w:t>Kasashima</w:t>
      </w:r>
      <w:proofErr w:type="spellEnd"/>
      <w:r w:rsidRPr="004270C9">
        <w:rPr>
          <w:rFonts w:eastAsia="Times New Roman" w:cs="Arial"/>
          <w:color w:val="000000"/>
        </w:rPr>
        <w:t xml:space="preserve"> for cleaning the RNA-seq data and processing the GSEA data; Dr. Daisuke Hoshino for providing us with 4T1-Luc cells; and Dr. Emi Yoshioka, Dr. Kae </w:t>
      </w:r>
      <w:proofErr w:type="spellStart"/>
      <w:r w:rsidRPr="004270C9">
        <w:rPr>
          <w:rFonts w:eastAsia="Times New Roman" w:cs="Arial"/>
          <w:color w:val="000000"/>
        </w:rPr>
        <w:t>Kawachi</w:t>
      </w:r>
      <w:proofErr w:type="spellEnd"/>
      <w:r w:rsidRPr="004270C9">
        <w:rPr>
          <w:rFonts w:eastAsia="Times New Roman" w:cs="Arial"/>
          <w:color w:val="000000"/>
        </w:rPr>
        <w:t xml:space="preserve">, Dr. Kota </w:t>
      </w:r>
      <w:proofErr w:type="spellStart"/>
      <w:r w:rsidRPr="004270C9">
        <w:rPr>
          <w:rFonts w:eastAsia="Times New Roman" w:cs="Arial"/>
          <w:color w:val="000000"/>
        </w:rPr>
        <w:t>Washimi</w:t>
      </w:r>
      <w:proofErr w:type="spellEnd"/>
      <w:r w:rsidRPr="004270C9">
        <w:rPr>
          <w:rFonts w:eastAsia="Times New Roman" w:cs="Arial"/>
          <w:color w:val="000000"/>
        </w:rPr>
        <w:t xml:space="preserve">, Dr. </w:t>
      </w:r>
      <w:proofErr w:type="spellStart"/>
      <w:r w:rsidRPr="004270C9">
        <w:rPr>
          <w:rFonts w:eastAsia="Times New Roman" w:cs="Arial"/>
          <w:color w:val="000000"/>
        </w:rPr>
        <w:t>Yoichiro</w:t>
      </w:r>
      <w:proofErr w:type="spellEnd"/>
      <w:r w:rsidRPr="004270C9">
        <w:rPr>
          <w:rFonts w:eastAsia="Times New Roman" w:cs="Arial"/>
          <w:color w:val="000000"/>
        </w:rPr>
        <w:t xml:space="preserve"> Okubo, and Dr. Tomoyuki </w:t>
      </w:r>
      <w:proofErr w:type="spellStart"/>
      <w:r w:rsidRPr="004270C9">
        <w:rPr>
          <w:rFonts w:eastAsia="Times New Roman" w:cs="Arial"/>
          <w:color w:val="000000"/>
        </w:rPr>
        <w:t>Yokose</w:t>
      </w:r>
      <w:proofErr w:type="spellEnd"/>
      <w:r w:rsidRPr="004270C9">
        <w:rPr>
          <w:rFonts w:eastAsia="Times New Roman" w:cs="Arial"/>
          <w:color w:val="000000"/>
        </w:rPr>
        <w:t xml:space="preserve"> for preparing pathological breast cancer specimens. This work was supported by the Japan Society for the Promotion of Science (JSPS) Grants-in-Aid for Scientific Research (KAKENHI; grant No. 23K08708 to Shinya Sato).</w:t>
      </w:r>
    </w:p>
    <w:p w14:paraId="7E584C6E" w14:textId="77777777" w:rsidR="005F152B" w:rsidRPr="004270C9" w:rsidRDefault="005F152B" w:rsidP="005F152B">
      <w:pPr>
        <w:spacing w:after="120" w:line="480" w:lineRule="auto"/>
        <w:rPr>
          <w:rFonts w:eastAsia="Times New Roman" w:cs="Arial"/>
          <w:color w:val="000000"/>
        </w:rPr>
      </w:pPr>
    </w:p>
    <w:p w14:paraId="1C7926C7" w14:textId="77777777" w:rsidR="005F152B" w:rsidRPr="004270C9" w:rsidRDefault="005F152B" w:rsidP="005F152B">
      <w:pPr>
        <w:pStyle w:val="1"/>
        <w:spacing w:line="480" w:lineRule="auto"/>
        <w:jc w:val="both"/>
        <w:rPr>
          <w:color w:val="000000"/>
          <w:sz w:val="24"/>
          <w:szCs w:val="21"/>
        </w:rPr>
      </w:pPr>
      <w:r w:rsidRPr="004270C9">
        <w:rPr>
          <w:caps w:val="0"/>
          <w:color w:val="000000"/>
          <w:sz w:val="24"/>
          <w:szCs w:val="21"/>
        </w:rPr>
        <w:t>Author’s contributions</w:t>
      </w:r>
    </w:p>
    <w:p w14:paraId="6ED15BDC" w14:textId="02DD7400" w:rsidR="005F152B" w:rsidRPr="004270C9" w:rsidRDefault="005F152B" w:rsidP="005F152B">
      <w:pPr>
        <w:spacing w:after="120" w:line="480" w:lineRule="auto"/>
        <w:rPr>
          <w:rFonts w:eastAsia="Times New Roman" w:cs="Arial"/>
          <w:color w:val="000000"/>
        </w:rPr>
      </w:pPr>
      <w:r w:rsidRPr="004270C9">
        <w:rPr>
          <w:rFonts w:eastAsia="Times New Roman" w:cs="Arial"/>
          <w:color w:val="000000"/>
        </w:rPr>
        <w:t xml:space="preserve">Sato S contributed to the study concept, TCGA data analysis, RNA-seq data analysis, </w:t>
      </w:r>
      <w:r w:rsidRPr="004270C9">
        <w:rPr>
          <w:rFonts w:eastAsia="Times New Roman" w:cs="Arial"/>
          <w:color w:val="000000"/>
        </w:rPr>
        <w:lastRenderedPageBreak/>
        <w:t xml:space="preserve">extraction of candidate genes from the data, cell and animal experiments, histopathological analysis of specimens, and manuscript writing. Komori Y and Ishida M performed cell and animal experiments. Nakamura Y performed immunohistochemistry. Miyagi Y, Yamashita T, and Yamanaka T provided advisory guidance on the concept, and Yamashita T and Yamanaka T prepared the breast cancer tissues. </w:t>
      </w:r>
    </w:p>
    <w:p w14:paraId="71E374E9" w14:textId="3E08FA81" w:rsidR="00C21747" w:rsidRPr="004270C9" w:rsidRDefault="00C21747" w:rsidP="005F152B">
      <w:pPr>
        <w:spacing w:after="120" w:line="480" w:lineRule="auto"/>
        <w:rPr>
          <w:rFonts w:eastAsia="Times New Roman" w:cs="Arial"/>
          <w:color w:val="000000"/>
        </w:rPr>
      </w:pPr>
    </w:p>
    <w:p w14:paraId="797EFFA6" w14:textId="52B64BFD" w:rsidR="00C21747" w:rsidRPr="004270C9" w:rsidRDefault="00C21747" w:rsidP="005F152B">
      <w:pPr>
        <w:spacing w:after="120" w:line="480" w:lineRule="auto"/>
        <w:rPr>
          <w:rFonts w:eastAsia="Times New Roman" w:cs="Arial"/>
          <w:b/>
          <w:bCs/>
          <w:color w:val="000000"/>
        </w:rPr>
      </w:pPr>
      <w:r w:rsidRPr="004270C9">
        <w:rPr>
          <w:rFonts w:eastAsia="Times New Roman" w:cs="Arial" w:hint="eastAsia"/>
          <w:b/>
          <w:bCs/>
          <w:color w:val="000000"/>
        </w:rPr>
        <w:t>F</w:t>
      </w:r>
      <w:r w:rsidRPr="004270C9">
        <w:rPr>
          <w:rFonts w:eastAsia="Times New Roman" w:cs="Arial"/>
          <w:b/>
          <w:bCs/>
          <w:color w:val="000000"/>
        </w:rPr>
        <w:t>igure legends of supplementary figures</w:t>
      </w:r>
    </w:p>
    <w:p w14:paraId="4C762225" w14:textId="77777777" w:rsidR="009D058B" w:rsidRPr="004270C9" w:rsidRDefault="009D058B" w:rsidP="009D058B">
      <w:pPr>
        <w:spacing w:after="120" w:line="480" w:lineRule="auto"/>
        <w:rPr>
          <w:rFonts w:eastAsia="Times New Roman" w:cs="Arial"/>
          <w:b/>
          <w:bCs/>
          <w:color w:val="000000"/>
        </w:rPr>
      </w:pPr>
      <w:r w:rsidRPr="004270C9">
        <w:rPr>
          <w:rFonts w:eastAsia="Times New Roman" w:cs="Arial"/>
          <w:b/>
          <w:bCs/>
          <w:color w:val="000000"/>
        </w:rPr>
        <w:t xml:space="preserve">Supplementary Figure S1 </w:t>
      </w:r>
    </w:p>
    <w:p w14:paraId="197EB7FF" w14:textId="365A9796" w:rsidR="009D058B" w:rsidRPr="004270C9" w:rsidRDefault="009D058B" w:rsidP="009D058B">
      <w:pPr>
        <w:spacing w:after="120" w:line="480" w:lineRule="auto"/>
        <w:rPr>
          <w:rFonts w:eastAsia="Times New Roman" w:cs="Arial"/>
          <w:b/>
          <w:bCs/>
          <w:color w:val="000000"/>
        </w:rPr>
      </w:pPr>
      <w:r w:rsidRPr="004270C9">
        <w:rPr>
          <w:rFonts w:eastAsia="Times New Roman" w:cs="Arial"/>
          <w:b/>
          <w:bCs/>
          <w:color w:val="000000"/>
        </w:rPr>
        <w:t>Additional gene expression analysis of breast cancer tissues and cell lines using public databases.</w:t>
      </w:r>
    </w:p>
    <w:p w14:paraId="2D6583FC" w14:textId="5E9664A9" w:rsidR="009D058B" w:rsidRPr="004270C9" w:rsidRDefault="009D058B" w:rsidP="009D058B">
      <w:pPr>
        <w:spacing w:after="120" w:line="480" w:lineRule="auto"/>
        <w:rPr>
          <w:rFonts w:eastAsia="Times New Roman" w:cs="Arial"/>
          <w:color w:val="000000"/>
        </w:rPr>
      </w:pPr>
      <w:r w:rsidRPr="004270C9">
        <w:rPr>
          <w:rFonts w:eastAsia="Times New Roman" w:cs="Arial"/>
          <w:color w:val="000000"/>
        </w:rPr>
        <w:t>A-D: Gene expression analysis of adipokines and adipokine receptors in breast cancer of several datasets. E: Estrogen receptor, Progesterone receptor, HER2, and AdipoR1 mRNA expression of breast cancer cell lines in Cancer Cell Line Encyclopedia (CCLE). F: A chemical structural formula of the AdipoR</w:t>
      </w:r>
      <w:r w:rsidR="00307447" w:rsidRPr="004270C9">
        <w:rPr>
          <w:rFonts w:eastAsia="Times New Roman" w:cs="Arial"/>
          <w:color w:val="000000"/>
        </w:rPr>
        <w:t>on</w:t>
      </w:r>
      <w:r w:rsidRPr="004270C9">
        <w:rPr>
          <w:rFonts w:eastAsia="Times New Roman" w:cs="Arial"/>
          <w:color w:val="000000"/>
        </w:rPr>
        <w:t>. G: AdipoR1 mRNA expression across cancer types in the Human Protein Atlas.</w:t>
      </w:r>
    </w:p>
    <w:p w14:paraId="7F0FBAD0" w14:textId="77777777" w:rsidR="009D058B" w:rsidRPr="004270C9" w:rsidRDefault="009D058B" w:rsidP="005F152B">
      <w:pPr>
        <w:spacing w:after="120" w:line="480" w:lineRule="auto"/>
        <w:rPr>
          <w:rFonts w:eastAsia="Times New Roman" w:cs="Arial"/>
          <w:color w:val="000000"/>
        </w:rPr>
      </w:pPr>
    </w:p>
    <w:p w14:paraId="4AF71976" w14:textId="202E7D9A" w:rsidR="00C21747" w:rsidRPr="004270C9" w:rsidRDefault="00C21747" w:rsidP="005F152B">
      <w:pPr>
        <w:spacing w:after="120" w:line="480" w:lineRule="auto"/>
        <w:rPr>
          <w:rFonts w:eastAsia="Times New Roman" w:cs="Arial"/>
          <w:b/>
          <w:bCs/>
          <w:color w:val="000000"/>
        </w:rPr>
      </w:pPr>
      <w:r w:rsidRPr="004270C9">
        <w:rPr>
          <w:rFonts w:eastAsia="Times New Roman" w:cs="Arial" w:hint="eastAsia"/>
          <w:b/>
          <w:bCs/>
          <w:color w:val="000000"/>
        </w:rPr>
        <w:t>S</w:t>
      </w:r>
      <w:r w:rsidRPr="004270C9">
        <w:rPr>
          <w:rFonts w:eastAsia="Times New Roman" w:cs="Arial"/>
          <w:b/>
          <w:bCs/>
          <w:color w:val="000000"/>
        </w:rPr>
        <w:t>upplementary Figure S2</w:t>
      </w:r>
    </w:p>
    <w:p w14:paraId="22BF9644" w14:textId="77777777" w:rsidR="00B97448" w:rsidRPr="004270C9" w:rsidRDefault="00B97448" w:rsidP="00B97448">
      <w:pPr>
        <w:spacing w:after="120" w:line="480" w:lineRule="auto"/>
        <w:rPr>
          <w:rFonts w:eastAsia="Times New Roman" w:cs="Arial"/>
          <w:b/>
          <w:bCs/>
          <w:color w:val="000000"/>
        </w:rPr>
      </w:pPr>
      <w:r w:rsidRPr="004270C9">
        <w:rPr>
          <w:rFonts w:eastAsia="Times New Roman" w:cs="Arial" w:hint="eastAsia"/>
          <w:b/>
          <w:bCs/>
          <w:color w:val="000000"/>
        </w:rPr>
        <w:lastRenderedPageBreak/>
        <w:t>Effects of AdipoRon on mitochondrial stress and glucose metabolism.</w:t>
      </w:r>
    </w:p>
    <w:p w14:paraId="2AF48326" w14:textId="77777777" w:rsidR="00B97448" w:rsidRPr="004270C9" w:rsidRDefault="00B97448" w:rsidP="00B97448">
      <w:pPr>
        <w:spacing w:after="120" w:line="480" w:lineRule="auto"/>
        <w:rPr>
          <w:rFonts w:eastAsia="Times New Roman" w:cs="Arial"/>
          <w:color w:val="000000"/>
        </w:rPr>
      </w:pPr>
      <w:proofErr w:type="gramStart"/>
      <w:r w:rsidRPr="004270C9">
        <w:rPr>
          <w:rFonts w:eastAsia="Times New Roman" w:cs="Arial" w:hint="eastAsia"/>
          <w:b/>
          <w:bCs/>
          <w:color w:val="000000"/>
        </w:rPr>
        <w:t>A,</w:t>
      </w:r>
      <w:proofErr w:type="gramEnd"/>
      <w:r w:rsidRPr="004270C9">
        <w:rPr>
          <w:rFonts w:eastAsia="Times New Roman" w:cs="Arial" w:hint="eastAsia"/>
          <w:color w:val="000000"/>
        </w:rPr>
        <w:t> Protein expression of oxidative phosphorylation (OXPHOS)-related proteins, Tom20, and UCP2 in breast cancer cell lines 48 h after AdipoRon exposure (10 or 40 µg/mL). C, control (DMSO); A10, 10 µg/mL AdipoRon; A40, 40 µg/mL AdipoRon.</w:t>
      </w:r>
    </w:p>
    <w:p w14:paraId="0158177C" w14:textId="2CB268F8" w:rsidR="00B97448" w:rsidRPr="004270C9" w:rsidRDefault="00B97448" w:rsidP="00B97448">
      <w:pPr>
        <w:spacing w:after="120" w:line="480" w:lineRule="auto"/>
        <w:rPr>
          <w:rFonts w:eastAsia="Times New Roman" w:cs="Arial"/>
          <w:color w:val="000000"/>
        </w:rPr>
      </w:pPr>
      <w:r w:rsidRPr="004270C9">
        <w:rPr>
          <w:rFonts w:eastAsia="Times New Roman" w:cs="Arial" w:hint="eastAsia"/>
          <w:b/>
          <w:bCs/>
          <w:color w:val="000000"/>
        </w:rPr>
        <w:t>B, Top:</w:t>
      </w:r>
      <w:r w:rsidRPr="004270C9">
        <w:rPr>
          <w:rFonts w:eastAsia="Times New Roman" w:cs="Arial" w:hint="eastAsia"/>
          <w:color w:val="000000"/>
        </w:rPr>
        <w:t> Snapshots of cells positive for 2-(N-(7-nitrobenz-2-oxa-1,3-diazol-4-yl)amino)-2-deoxyglucose (2-NBDG) detected by the Countess 3 FL. Quantification of 2-NBDG-positive cells in MCF7 and MDA-MB-231 cells with or without AdipoRon treatment (25 and 50 µM).</w:t>
      </w:r>
      <w:r w:rsidRPr="004270C9">
        <w:rPr>
          <w:rFonts w:eastAsia="Times New Roman" w:cs="Arial" w:hint="eastAsia"/>
          <w:color w:val="000000"/>
        </w:rPr>
        <w:br/>
      </w:r>
      <w:r w:rsidRPr="004270C9">
        <w:rPr>
          <w:rFonts w:eastAsia="Times New Roman" w:cs="Arial" w:hint="eastAsia"/>
          <w:b/>
          <w:bCs/>
          <w:color w:val="000000"/>
        </w:rPr>
        <w:t>Bottom:</w:t>
      </w:r>
      <w:r w:rsidRPr="004270C9">
        <w:rPr>
          <w:rFonts w:eastAsia="Times New Roman" w:cs="Arial" w:hint="eastAsia"/>
          <w:color w:val="000000"/>
        </w:rPr>
        <w:t> Relative cell viability following treatment with the glycolysis inhibitor 2-deoxy-D-glucose (2DG, 100 and 500 µM) and/or AdipoRon (20 and 40 µg/mL) in MCF7 and MDA-MB-231 cells. ***P &lt; 0.001; one-way ANOVA followed by Tukey’s multiple comparison test.</w:t>
      </w:r>
    </w:p>
    <w:p w14:paraId="2B8998E2" w14:textId="77777777" w:rsidR="00B97448" w:rsidRPr="004270C9" w:rsidRDefault="00B97448" w:rsidP="00B97448">
      <w:pPr>
        <w:spacing w:after="120" w:line="480" w:lineRule="auto"/>
        <w:rPr>
          <w:rFonts w:eastAsia="Times New Roman" w:cs="Arial"/>
          <w:color w:val="000000"/>
        </w:rPr>
      </w:pPr>
      <w:r w:rsidRPr="004270C9">
        <w:rPr>
          <w:rFonts w:eastAsia="Times New Roman" w:cs="Arial" w:hint="eastAsia"/>
          <w:b/>
          <w:bCs/>
          <w:color w:val="000000"/>
        </w:rPr>
        <w:t>C, Top:</w:t>
      </w:r>
      <w:r w:rsidRPr="004270C9">
        <w:rPr>
          <w:rFonts w:eastAsia="Times New Roman" w:cs="Arial" w:hint="eastAsia"/>
          <w:color w:val="000000"/>
        </w:rPr>
        <w:t> Representative immunohistochemical images of Tom20- and UCP2-stained breast cancer tissues with or without AdipoRon treatment.</w:t>
      </w:r>
      <w:r w:rsidRPr="004270C9">
        <w:rPr>
          <w:rFonts w:eastAsia="Times New Roman" w:cs="Arial" w:hint="eastAsia"/>
          <w:color w:val="000000"/>
        </w:rPr>
        <w:br/>
      </w:r>
      <w:r w:rsidRPr="004270C9">
        <w:rPr>
          <w:rFonts w:eastAsia="Times New Roman" w:cs="Arial" w:hint="eastAsia"/>
          <w:b/>
          <w:bCs/>
          <w:color w:val="000000"/>
        </w:rPr>
        <w:t>Bottom:</w:t>
      </w:r>
      <w:r w:rsidRPr="004270C9">
        <w:rPr>
          <w:rFonts w:eastAsia="Times New Roman" w:cs="Arial" w:hint="eastAsia"/>
          <w:color w:val="000000"/>
        </w:rPr>
        <w:t> H-scores of Tom20 and UCP2 in breast cancer tissues from control and AdipoRon-treated mice. n.s., not significant; unpaired two-tailed Welch’s t-test.</w:t>
      </w:r>
    </w:p>
    <w:p w14:paraId="32953FDC" w14:textId="77777777" w:rsidR="00B97448" w:rsidRPr="004270C9" w:rsidRDefault="00B97448" w:rsidP="005F152B">
      <w:pPr>
        <w:spacing w:after="120" w:line="480" w:lineRule="auto"/>
        <w:rPr>
          <w:rFonts w:eastAsia="Times New Roman" w:cs="Arial"/>
          <w:color w:val="000000"/>
        </w:rPr>
      </w:pPr>
    </w:p>
    <w:p w14:paraId="356236BB" w14:textId="4CF570B4" w:rsidR="00C21747" w:rsidRPr="004270C9" w:rsidRDefault="00C21747" w:rsidP="005F152B">
      <w:pPr>
        <w:spacing w:after="120" w:line="480" w:lineRule="auto"/>
        <w:rPr>
          <w:rFonts w:eastAsia="Times New Roman" w:cs="Arial"/>
          <w:b/>
          <w:bCs/>
          <w:color w:val="000000"/>
        </w:rPr>
      </w:pPr>
      <w:r w:rsidRPr="004270C9">
        <w:rPr>
          <w:rFonts w:eastAsia="Times New Roman" w:cs="Arial" w:hint="eastAsia"/>
          <w:b/>
          <w:bCs/>
          <w:color w:val="000000"/>
        </w:rPr>
        <w:t>S</w:t>
      </w:r>
      <w:r w:rsidRPr="004270C9">
        <w:rPr>
          <w:rFonts w:eastAsia="Times New Roman" w:cs="Arial"/>
          <w:b/>
          <w:bCs/>
          <w:color w:val="000000"/>
        </w:rPr>
        <w:t>upplementary Figure S3</w:t>
      </w:r>
    </w:p>
    <w:p w14:paraId="1529DEBE" w14:textId="40E37233" w:rsidR="001867AD" w:rsidRPr="004270C9" w:rsidRDefault="001867AD" w:rsidP="001867AD">
      <w:pPr>
        <w:spacing w:after="120" w:line="480" w:lineRule="auto"/>
        <w:rPr>
          <w:rFonts w:eastAsia="Times New Roman" w:cs="Arial"/>
          <w:b/>
          <w:bCs/>
          <w:color w:val="000000"/>
        </w:rPr>
      </w:pPr>
      <w:r w:rsidRPr="004270C9">
        <w:rPr>
          <w:rFonts w:eastAsia="Times New Roman" w:cs="Arial"/>
          <w:b/>
          <w:bCs/>
          <w:color w:val="000000"/>
        </w:rPr>
        <w:t>Correlation between cell growth effects of AdipoR</w:t>
      </w:r>
      <w:r w:rsidR="00307447" w:rsidRPr="004270C9">
        <w:rPr>
          <w:rFonts w:eastAsia="Times New Roman" w:cs="Arial"/>
          <w:b/>
          <w:bCs/>
          <w:color w:val="000000"/>
        </w:rPr>
        <w:t>on</w:t>
      </w:r>
      <w:r w:rsidRPr="004270C9">
        <w:rPr>
          <w:rFonts w:eastAsia="Times New Roman" w:cs="Arial"/>
          <w:b/>
          <w:bCs/>
          <w:color w:val="000000"/>
        </w:rPr>
        <w:t xml:space="preserve"> and AdipoR1 mRNA expression </w:t>
      </w:r>
      <w:r w:rsidRPr="004270C9">
        <w:rPr>
          <w:rFonts w:eastAsia="Times New Roman" w:cs="Arial"/>
          <w:b/>
          <w:bCs/>
          <w:color w:val="000000"/>
        </w:rPr>
        <w:lastRenderedPageBreak/>
        <w:t>in cell lines from public databases.</w:t>
      </w:r>
    </w:p>
    <w:p w14:paraId="0252DCFE" w14:textId="23B7B225" w:rsidR="001867AD" w:rsidRPr="004270C9" w:rsidRDefault="001867AD" w:rsidP="001867AD">
      <w:pPr>
        <w:spacing w:after="120" w:line="480" w:lineRule="auto"/>
        <w:rPr>
          <w:rFonts w:eastAsia="Times New Roman" w:cs="Arial"/>
          <w:color w:val="000000"/>
        </w:rPr>
      </w:pPr>
      <w:r w:rsidRPr="004270C9">
        <w:rPr>
          <w:rFonts w:eastAsia="Times New Roman" w:cs="Arial"/>
          <w:color w:val="000000"/>
        </w:rPr>
        <w:t>A. Correlation analysis of the inhibitory (left) and promoting (right) effects of AdipoR</w:t>
      </w:r>
      <w:r w:rsidR="00307447" w:rsidRPr="004270C9">
        <w:rPr>
          <w:rFonts w:eastAsia="Times New Roman" w:cs="Arial"/>
          <w:color w:val="000000"/>
        </w:rPr>
        <w:t>on</w:t>
      </w:r>
      <w:r w:rsidRPr="004270C9">
        <w:rPr>
          <w:rFonts w:eastAsia="Times New Roman" w:cs="Arial"/>
          <w:color w:val="000000"/>
        </w:rPr>
        <w:t xml:space="preserve"> (2.5 µM) on cell growth and their association with AdipoR1 mRNA expression in the 527 cancer cell lines.</w:t>
      </w:r>
    </w:p>
    <w:p w14:paraId="3FF4B811" w14:textId="6082E548" w:rsidR="001867AD" w:rsidRPr="004270C9" w:rsidRDefault="001867AD" w:rsidP="001867AD">
      <w:pPr>
        <w:spacing w:after="120" w:line="480" w:lineRule="auto"/>
        <w:rPr>
          <w:rFonts w:eastAsia="Times New Roman" w:cs="Arial"/>
          <w:color w:val="000000"/>
        </w:rPr>
      </w:pPr>
      <w:r w:rsidRPr="004270C9">
        <w:rPr>
          <w:rFonts w:eastAsia="Times New Roman" w:cs="Arial"/>
          <w:color w:val="000000"/>
        </w:rPr>
        <w:t>B. Correlation analysis of the inhibitory (left) and promoting (right) effects of AdipoR</w:t>
      </w:r>
      <w:r w:rsidR="00307447" w:rsidRPr="004270C9">
        <w:rPr>
          <w:rFonts w:eastAsia="Times New Roman" w:cs="Arial"/>
          <w:color w:val="000000"/>
        </w:rPr>
        <w:t>on</w:t>
      </w:r>
      <w:r w:rsidRPr="004270C9">
        <w:rPr>
          <w:rFonts w:eastAsia="Times New Roman" w:cs="Arial"/>
          <w:color w:val="000000"/>
        </w:rPr>
        <w:t xml:space="preserve"> (2.5 µM) on cell growth and their association with AdipoR1 mRNA expression in 13 breast cancer cell lines. Simple linear regression was used to assess correlations.</w:t>
      </w:r>
    </w:p>
    <w:p w14:paraId="7EF1968F" w14:textId="77777777" w:rsidR="001867AD" w:rsidRPr="004270C9" w:rsidRDefault="001867AD" w:rsidP="005F152B">
      <w:pPr>
        <w:spacing w:after="120" w:line="480" w:lineRule="auto"/>
        <w:rPr>
          <w:rFonts w:eastAsia="Times New Roman" w:cs="Arial"/>
          <w:color w:val="000000"/>
        </w:rPr>
      </w:pPr>
    </w:p>
    <w:p w14:paraId="09475C3D" w14:textId="3265AFAA" w:rsidR="00C21747" w:rsidRPr="004270C9" w:rsidRDefault="00C21747" w:rsidP="005F152B">
      <w:pPr>
        <w:spacing w:after="120" w:line="480" w:lineRule="auto"/>
        <w:rPr>
          <w:rFonts w:eastAsia="Times New Roman" w:cs="Arial"/>
          <w:b/>
          <w:bCs/>
          <w:color w:val="000000"/>
        </w:rPr>
      </w:pPr>
      <w:r w:rsidRPr="004270C9">
        <w:rPr>
          <w:rFonts w:eastAsia="Times New Roman" w:cs="Arial" w:hint="eastAsia"/>
          <w:b/>
          <w:bCs/>
          <w:color w:val="000000"/>
        </w:rPr>
        <w:t>S</w:t>
      </w:r>
      <w:r w:rsidRPr="004270C9">
        <w:rPr>
          <w:rFonts w:eastAsia="Times New Roman" w:cs="Arial"/>
          <w:b/>
          <w:bCs/>
          <w:color w:val="000000"/>
        </w:rPr>
        <w:t>upplementary Figure S4</w:t>
      </w:r>
    </w:p>
    <w:p w14:paraId="5CBED503" w14:textId="77777777" w:rsidR="006C34C4" w:rsidRPr="004270C9" w:rsidRDefault="006C34C4" w:rsidP="006C34C4">
      <w:pPr>
        <w:spacing w:after="120" w:line="480" w:lineRule="auto"/>
        <w:rPr>
          <w:rFonts w:eastAsia="Times New Roman" w:cs="Arial"/>
          <w:b/>
          <w:bCs/>
          <w:color w:val="000000"/>
        </w:rPr>
      </w:pPr>
      <w:r w:rsidRPr="004270C9">
        <w:rPr>
          <w:rFonts w:eastAsia="Times New Roman" w:cs="Arial"/>
          <w:b/>
          <w:bCs/>
          <w:color w:val="000000"/>
        </w:rPr>
        <w:t>Combination treatment in cells with manipulated AdipoR1 expression.</w:t>
      </w:r>
    </w:p>
    <w:p w14:paraId="0210E21B" w14:textId="5002FA8F" w:rsidR="006C34C4" w:rsidRPr="004270C9" w:rsidRDefault="006C34C4" w:rsidP="005F152B">
      <w:pPr>
        <w:spacing w:after="120" w:line="480" w:lineRule="auto"/>
        <w:rPr>
          <w:rFonts w:eastAsia="Times New Roman" w:cs="Arial"/>
          <w:color w:val="000000"/>
        </w:rPr>
      </w:pPr>
      <w:r w:rsidRPr="004270C9">
        <w:rPr>
          <w:rFonts w:eastAsia="Times New Roman" w:cs="Arial" w:hint="eastAsia"/>
          <w:color w:val="000000"/>
        </w:rPr>
        <w:t>CCK-8 assay of human breast cancer cell lines stably expressing shRNA targeting AdipoR1 (</w:t>
      </w:r>
      <w:proofErr w:type="spellStart"/>
      <w:r w:rsidRPr="004270C9">
        <w:rPr>
          <w:rFonts w:eastAsia="Times New Roman" w:cs="Arial" w:hint="eastAsia"/>
          <w:color w:val="000000"/>
        </w:rPr>
        <w:t>sh</w:t>
      </w:r>
      <w:proofErr w:type="spellEnd"/>
      <w:r w:rsidRPr="004270C9">
        <w:rPr>
          <w:rFonts w:eastAsia="Times New Roman" w:cs="Arial" w:hint="eastAsia"/>
          <w:color w:val="000000"/>
        </w:rPr>
        <w:t>) or overexpressing AdipoR1 (OE) after AdipoRon treatment. All cell lines were treated with 20</w:t>
      </w:r>
      <w:r w:rsidRPr="004270C9">
        <w:rPr>
          <w:rFonts w:eastAsia="Times New Roman" w:cs="Arial"/>
          <w:color w:val="000000"/>
        </w:rPr>
        <w:t xml:space="preserve"> µg</w:t>
      </w:r>
      <w:r w:rsidRPr="004270C9">
        <w:rPr>
          <w:rFonts w:eastAsia="Times New Roman" w:cs="Arial" w:hint="eastAsia"/>
          <w:color w:val="000000"/>
        </w:rPr>
        <w:t>/mL AdipoRon. MCF7 cells were treated with 5</w:t>
      </w:r>
      <w:r w:rsidRPr="004270C9">
        <w:rPr>
          <w:rFonts w:eastAsia="Times New Roman" w:cs="Arial"/>
          <w:color w:val="000000"/>
        </w:rPr>
        <w:t xml:space="preserve"> µM</w:t>
      </w:r>
      <w:r w:rsidRPr="004270C9">
        <w:rPr>
          <w:rFonts w:eastAsia="Times New Roman" w:cs="Arial" w:hint="eastAsia"/>
          <w:color w:val="000000"/>
        </w:rPr>
        <w:t xml:space="preserve"> </w:t>
      </w:r>
      <w:r w:rsidRPr="004270C9">
        <w:rPr>
          <w:rFonts w:eastAsia="Times New Roman" w:cs="Arial"/>
          <w:color w:val="000000"/>
        </w:rPr>
        <w:t>4-Hydroxytamoxifen (</w:t>
      </w:r>
      <w:r w:rsidRPr="004270C9">
        <w:rPr>
          <w:rFonts w:eastAsia="Times New Roman" w:cs="Arial" w:hint="eastAsia"/>
          <w:color w:val="000000"/>
        </w:rPr>
        <w:t>TAM), T47D cells with 10</w:t>
      </w:r>
      <w:r w:rsidRPr="004270C9">
        <w:rPr>
          <w:rFonts w:eastAsia="Times New Roman" w:cs="Arial"/>
          <w:color w:val="000000"/>
        </w:rPr>
        <w:t xml:space="preserve"> µM</w:t>
      </w:r>
      <w:r w:rsidRPr="004270C9">
        <w:rPr>
          <w:rFonts w:eastAsia="Times New Roman" w:cs="Arial" w:hint="eastAsia"/>
          <w:color w:val="000000"/>
        </w:rPr>
        <w:t xml:space="preserve"> TAM, and MDA-MB-231 cells with 1</w:t>
      </w:r>
      <w:r w:rsidRPr="004270C9">
        <w:rPr>
          <w:rFonts w:eastAsia="Times New Roman" w:cs="Arial"/>
          <w:color w:val="000000"/>
        </w:rPr>
        <w:t xml:space="preserve"> µM</w:t>
      </w:r>
      <w:r w:rsidRPr="004270C9">
        <w:rPr>
          <w:rFonts w:eastAsia="Times New Roman" w:cs="Arial" w:hint="eastAsia"/>
          <w:color w:val="000000"/>
        </w:rPr>
        <w:t xml:space="preserve"> </w:t>
      </w:r>
      <w:r w:rsidRPr="004270C9">
        <w:rPr>
          <w:rFonts w:eastAsia="Times New Roman" w:cs="Arial"/>
          <w:color w:val="000000"/>
        </w:rPr>
        <w:t>Doxorubicin hydrochloride (</w:t>
      </w:r>
      <w:r w:rsidRPr="004270C9">
        <w:rPr>
          <w:rFonts w:eastAsia="Times New Roman" w:cs="Arial" w:hint="eastAsia"/>
          <w:color w:val="000000"/>
        </w:rPr>
        <w:t xml:space="preserve">DOX). After 72 hours, cell proliferation was measured using CCK-8, and cell viability was assessed relative to untreated control cells. ***P &lt; 0.001; </w:t>
      </w:r>
      <w:r w:rsidRPr="004270C9">
        <w:rPr>
          <w:rFonts w:eastAsia="Times New Roman" w:cs="Arial"/>
          <w:color w:val="000000"/>
        </w:rPr>
        <w:t xml:space="preserve">one-way ANOVA </w:t>
      </w:r>
      <w:r w:rsidR="000002A1" w:rsidRPr="004270C9">
        <w:rPr>
          <w:rFonts w:eastAsia="Times New Roman" w:cs="Arial"/>
          <w:color w:val="000000"/>
        </w:rPr>
        <w:t>followed by Dunnett’s multiple comparison tests.</w:t>
      </w:r>
    </w:p>
    <w:p w14:paraId="1E3811FA" w14:textId="77777777" w:rsidR="00532AEC" w:rsidRPr="004270C9" w:rsidRDefault="00532AEC" w:rsidP="005F152B">
      <w:pPr>
        <w:spacing w:after="120" w:line="480" w:lineRule="auto"/>
        <w:rPr>
          <w:rFonts w:eastAsia="Times New Roman" w:cs="Arial"/>
          <w:b/>
          <w:bCs/>
          <w:color w:val="000000"/>
        </w:rPr>
      </w:pPr>
    </w:p>
    <w:p w14:paraId="343D1AA1" w14:textId="305A95F8" w:rsidR="00C21747" w:rsidRPr="004270C9" w:rsidRDefault="00C21747" w:rsidP="005F152B">
      <w:pPr>
        <w:spacing w:after="120" w:line="480" w:lineRule="auto"/>
        <w:rPr>
          <w:rFonts w:eastAsia="Times New Roman" w:cs="Arial"/>
          <w:b/>
          <w:bCs/>
          <w:color w:val="000000"/>
        </w:rPr>
      </w:pPr>
      <w:r w:rsidRPr="004270C9">
        <w:rPr>
          <w:rFonts w:eastAsia="Times New Roman" w:cs="Arial" w:hint="eastAsia"/>
          <w:b/>
          <w:bCs/>
          <w:color w:val="000000"/>
        </w:rPr>
        <w:t>S</w:t>
      </w:r>
      <w:r w:rsidRPr="004270C9">
        <w:rPr>
          <w:rFonts w:eastAsia="Times New Roman" w:cs="Arial"/>
          <w:b/>
          <w:bCs/>
          <w:color w:val="000000"/>
        </w:rPr>
        <w:t>upplementary Figure S5</w:t>
      </w:r>
    </w:p>
    <w:p w14:paraId="2DB471C7" w14:textId="18104515" w:rsidR="00532AEC" w:rsidRPr="004270C9" w:rsidRDefault="00532AEC" w:rsidP="005F152B">
      <w:pPr>
        <w:spacing w:after="120" w:line="480" w:lineRule="auto"/>
        <w:rPr>
          <w:rFonts w:eastAsia="Times New Roman" w:cs="Arial"/>
          <w:b/>
          <w:bCs/>
          <w:color w:val="000000"/>
        </w:rPr>
      </w:pPr>
      <w:r w:rsidRPr="004270C9">
        <w:rPr>
          <w:rFonts w:eastAsia="Times New Roman" w:cs="Arial" w:hint="eastAsia"/>
          <w:b/>
          <w:bCs/>
          <w:color w:val="000000"/>
        </w:rPr>
        <w:t>F</w:t>
      </w:r>
      <w:r w:rsidRPr="004270C9">
        <w:rPr>
          <w:rFonts w:eastAsia="Times New Roman" w:cs="Arial"/>
          <w:b/>
          <w:bCs/>
          <w:color w:val="000000"/>
        </w:rPr>
        <w:t>erroptosis assay, additional gene set enrichment analysis, and specific proteins and mRNAs regulated by AdipoRon.</w:t>
      </w:r>
    </w:p>
    <w:p w14:paraId="7EC507A0" w14:textId="5C1B4B17" w:rsidR="000002A1" w:rsidRPr="004270C9" w:rsidRDefault="009D058B" w:rsidP="000002A1">
      <w:pPr>
        <w:spacing w:after="120" w:line="480" w:lineRule="auto"/>
        <w:rPr>
          <w:rFonts w:eastAsia="Times New Roman" w:cs="Arial"/>
          <w:color w:val="000000"/>
        </w:rPr>
      </w:pPr>
      <w:r w:rsidRPr="004270C9">
        <w:rPr>
          <w:rFonts w:eastAsia="Times New Roman" w:cs="Arial"/>
          <w:color w:val="000000"/>
        </w:rPr>
        <w:t>A: Ferroptosis assay of breast cancer cell lines after the indicated treatments. Lipid peroxide was detected after 24 h of AdipoR</w:t>
      </w:r>
      <w:r w:rsidR="00307447" w:rsidRPr="004270C9">
        <w:rPr>
          <w:rFonts w:eastAsia="Times New Roman" w:cs="Arial"/>
          <w:color w:val="000000"/>
        </w:rPr>
        <w:t>on</w:t>
      </w:r>
      <w:r w:rsidRPr="004270C9">
        <w:rPr>
          <w:rFonts w:eastAsia="Times New Roman" w:cs="Arial"/>
          <w:color w:val="000000"/>
        </w:rPr>
        <w:t xml:space="preserve"> (10 or 40 µg/mL) or DMSO exposure. Left panel: representative image of MCF7 cells treated or not with AdipoR</w:t>
      </w:r>
      <w:r w:rsidR="00307447" w:rsidRPr="004270C9">
        <w:rPr>
          <w:rFonts w:eastAsia="Times New Roman" w:cs="Arial"/>
          <w:color w:val="000000"/>
        </w:rPr>
        <w:t>on</w:t>
      </w:r>
      <w:r w:rsidRPr="004270C9">
        <w:rPr>
          <w:rFonts w:eastAsia="Times New Roman" w:cs="Arial"/>
          <w:color w:val="000000"/>
        </w:rPr>
        <w:t>. Right panel: Lipid peroxide positivity after AdipoR</w:t>
      </w:r>
      <w:r w:rsidR="00307447" w:rsidRPr="004270C9">
        <w:rPr>
          <w:rFonts w:eastAsia="Times New Roman" w:cs="Arial"/>
          <w:color w:val="000000"/>
        </w:rPr>
        <w:t>on</w:t>
      </w:r>
      <w:r w:rsidRPr="004270C9">
        <w:rPr>
          <w:rFonts w:eastAsia="Times New Roman" w:cs="Arial"/>
          <w:color w:val="000000"/>
        </w:rPr>
        <w:t xml:space="preserve"> treatment in breast cancer cell lines. ***</w:t>
      </w:r>
      <w:r w:rsidRPr="004270C9">
        <w:rPr>
          <w:rFonts w:eastAsia="Times New Roman" w:cs="Arial"/>
          <w:i/>
          <w:iCs/>
          <w:color w:val="000000"/>
        </w:rPr>
        <w:t>p</w:t>
      </w:r>
      <w:r w:rsidRPr="004270C9">
        <w:rPr>
          <w:rFonts w:eastAsia="Times New Roman" w:cs="Arial"/>
          <w:color w:val="000000"/>
        </w:rPr>
        <w:t xml:space="preserve"> &lt; 0.001; one-way ANOVA followed by Dunnett’s multiple comparison tests. B: Gene set enrichment analysis related to lipid synthesis, insulin resistance, and TN-specific regulated pathways of breast cancer cell lines with or without AdipoR</w:t>
      </w:r>
      <w:r w:rsidR="00307447" w:rsidRPr="004270C9">
        <w:rPr>
          <w:rFonts w:eastAsia="Times New Roman" w:cs="Arial"/>
          <w:color w:val="000000"/>
        </w:rPr>
        <w:t>on</w:t>
      </w:r>
      <w:r w:rsidRPr="004270C9">
        <w:rPr>
          <w:rFonts w:eastAsia="Times New Roman" w:cs="Arial"/>
          <w:color w:val="000000"/>
        </w:rPr>
        <w:t xml:space="preserve"> treatment. C: Count data of RN-Seq analysis of Estrogen receptor, BRCA1, and BRCA2 in breast cancer cell lines with or without AdipoR</w:t>
      </w:r>
      <w:r w:rsidR="00307447" w:rsidRPr="004270C9">
        <w:rPr>
          <w:rFonts w:eastAsia="Times New Roman" w:cs="Arial"/>
          <w:color w:val="000000"/>
        </w:rPr>
        <w:t>on</w:t>
      </w:r>
      <w:r w:rsidRPr="004270C9">
        <w:rPr>
          <w:rFonts w:eastAsia="Times New Roman" w:cs="Arial"/>
          <w:color w:val="000000"/>
        </w:rPr>
        <w:t xml:space="preserve"> treatment. D: </w:t>
      </w:r>
      <w:r w:rsidR="000002A1" w:rsidRPr="004270C9">
        <w:rPr>
          <w:rFonts w:eastAsia="Times New Roman" w:cs="Arial"/>
          <w:color w:val="000000"/>
        </w:rPr>
        <w:t xml:space="preserve">Top: </w:t>
      </w:r>
      <w:r w:rsidRPr="004270C9">
        <w:rPr>
          <w:rFonts w:eastAsia="Times New Roman" w:cs="Arial"/>
          <w:color w:val="000000"/>
        </w:rPr>
        <w:t xml:space="preserve">Protein expression of TROP2 in </w:t>
      </w:r>
      <w:r w:rsidR="00C525F1" w:rsidRPr="004270C9">
        <w:rPr>
          <w:rFonts w:eastAsia="Times New Roman" w:cs="Arial"/>
          <w:color w:val="000000"/>
        </w:rPr>
        <w:t>MCF7 with or without AdipoRon treatment (</w:t>
      </w:r>
      <w:r w:rsidR="000002A1" w:rsidRPr="004270C9">
        <w:rPr>
          <w:rFonts w:eastAsia="Times New Roman" w:cs="Arial" w:hint="eastAsia"/>
          <w:color w:val="000000"/>
        </w:rPr>
        <w:t>20</w:t>
      </w:r>
      <w:r w:rsidR="000002A1" w:rsidRPr="004270C9">
        <w:rPr>
          <w:rFonts w:eastAsia="Times New Roman" w:cs="Arial"/>
          <w:color w:val="000000"/>
        </w:rPr>
        <w:t xml:space="preserve"> or 40 µg</w:t>
      </w:r>
      <w:r w:rsidR="000002A1" w:rsidRPr="004270C9">
        <w:rPr>
          <w:rFonts w:eastAsia="Times New Roman" w:cs="Arial" w:hint="eastAsia"/>
          <w:color w:val="000000"/>
        </w:rPr>
        <w:t>/mL</w:t>
      </w:r>
      <w:r w:rsidR="00C525F1" w:rsidRPr="004270C9">
        <w:rPr>
          <w:rFonts w:eastAsia="Times New Roman" w:cs="Arial"/>
          <w:color w:val="000000"/>
        </w:rPr>
        <w:t>)</w:t>
      </w:r>
      <w:r w:rsidR="000002A1" w:rsidRPr="004270C9">
        <w:rPr>
          <w:rFonts w:eastAsia="Times New Roman" w:cs="Arial"/>
          <w:color w:val="000000"/>
        </w:rPr>
        <w:t xml:space="preserve">. Bottom: TROP2 mRNA </w:t>
      </w:r>
      <w:r w:rsidR="00532AEC" w:rsidRPr="004270C9">
        <w:rPr>
          <w:rFonts w:eastAsia="Times New Roman" w:cs="Arial"/>
          <w:color w:val="000000"/>
        </w:rPr>
        <w:t xml:space="preserve">counts </w:t>
      </w:r>
      <w:r w:rsidR="000002A1" w:rsidRPr="004270C9">
        <w:rPr>
          <w:rFonts w:eastAsia="Times New Roman" w:cs="Arial"/>
          <w:color w:val="000000"/>
        </w:rPr>
        <w:t>from RNA-Seq result</w:t>
      </w:r>
      <w:r w:rsidR="00532AEC" w:rsidRPr="004270C9">
        <w:rPr>
          <w:rFonts w:eastAsia="Times New Roman" w:cs="Arial"/>
          <w:color w:val="000000"/>
        </w:rPr>
        <w:t>s</w:t>
      </w:r>
      <w:r w:rsidR="000002A1" w:rsidRPr="004270C9">
        <w:rPr>
          <w:rFonts w:eastAsia="Times New Roman" w:cs="Arial"/>
          <w:color w:val="000000"/>
        </w:rPr>
        <w:t>. ***</w:t>
      </w:r>
      <w:r w:rsidR="000002A1" w:rsidRPr="004270C9">
        <w:rPr>
          <w:rFonts w:eastAsia="Times New Roman" w:cs="Arial"/>
          <w:i/>
          <w:iCs/>
          <w:color w:val="000000"/>
        </w:rPr>
        <w:t>p</w:t>
      </w:r>
      <w:r w:rsidR="000002A1" w:rsidRPr="004270C9">
        <w:rPr>
          <w:rFonts w:eastAsia="Times New Roman" w:cs="Arial"/>
          <w:color w:val="000000"/>
        </w:rPr>
        <w:t xml:space="preserve"> &lt; 0.001; </w:t>
      </w:r>
      <w:r w:rsidR="000002A1" w:rsidRPr="004270C9">
        <w:rPr>
          <w:rFonts w:eastAsia="Times New Roman" w:cs="Arial" w:hint="eastAsia"/>
          <w:color w:val="000000"/>
        </w:rPr>
        <w:t>unpaired two-tailed Welch’s t-test.</w:t>
      </w:r>
    </w:p>
    <w:p w14:paraId="4893AADB" w14:textId="67C272BE" w:rsidR="009D058B" w:rsidRPr="004270C9" w:rsidRDefault="009D058B" w:rsidP="009D058B">
      <w:pPr>
        <w:spacing w:after="120" w:line="480" w:lineRule="auto"/>
        <w:rPr>
          <w:rFonts w:eastAsia="Times New Roman" w:cs="Arial"/>
          <w:color w:val="000000"/>
        </w:rPr>
      </w:pPr>
    </w:p>
    <w:p w14:paraId="4CD5989C" w14:textId="77777777" w:rsidR="00B97448" w:rsidRPr="004270C9" w:rsidRDefault="00B97448" w:rsidP="005F152B">
      <w:pPr>
        <w:spacing w:after="120" w:line="480" w:lineRule="auto"/>
        <w:rPr>
          <w:rFonts w:eastAsia="Times New Roman" w:cs="Arial"/>
          <w:color w:val="000000"/>
        </w:rPr>
      </w:pPr>
    </w:p>
    <w:p w14:paraId="53BF7535" w14:textId="4F27D9E4" w:rsidR="00C21747" w:rsidRPr="004270C9" w:rsidRDefault="00C21747" w:rsidP="005F152B">
      <w:pPr>
        <w:spacing w:after="120" w:line="480" w:lineRule="auto"/>
        <w:rPr>
          <w:rFonts w:eastAsia="Times New Roman" w:cs="Arial"/>
          <w:b/>
          <w:bCs/>
          <w:color w:val="000000"/>
        </w:rPr>
      </w:pPr>
      <w:r w:rsidRPr="004270C9">
        <w:rPr>
          <w:rFonts w:eastAsia="Times New Roman" w:cs="Arial" w:hint="eastAsia"/>
          <w:b/>
          <w:bCs/>
          <w:color w:val="000000"/>
        </w:rPr>
        <w:lastRenderedPageBreak/>
        <w:t>S</w:t>
      </w:r>
      <w:r w:rsidRPr="004270C9">
        <w:rPr>
          <w:rFonts w:eastAsia="Times New Roman" w:cs="Arial"/>
          <w:b/>
          <w:bCs/>
          <w:color w:val="000000"/>
        </w:rPr>
        <w:t>upplementary Figure S6</w:t>
      </w:r>
    </w:p>
    <w:p w14:paraId="25443803" w14:textId="77777777" w:rsidR="00C21747" w:rsidRPr="00C21747" w:rsidRDefault="00C21747" w:rsidP="00C21747">
      <w:pPr>
        <w:spacing w:after="120" w:line="480" w:lineRule="auto"/>
        <w:rPr>
          <w:rFonts w:eastAsia="Times New Roman" w:cs="Arial"/>
          <w:color w:val="000000"/>
        </w:rPr>
      </w:pPr>
      <w:r w:rsidRPr="004270C9">
        <w:rPr>
          <w:rFonts w:eastAsia="Times New Roman" w:cs="Arial" w:hint="eastAsia"/>
          <w:color w:val="000000"/>
        </w:rPr>
        <w:t xml:space="preserve">Effect of AdipoRon treatment on body weight, liver histology, and hepatic expression of </w:t>
      </w:r>
      <w:proofErr w:type="spellStart"/>
      <w:r w:rsidRPr="004270C9">
        <w:rPr>
          <w:rFonts w:eastAsia="Times New Roman" w:cs="Arial" w:hint="eastAsia"/>
          <w:color w:val="000000"/>
        </w:rPr>
        <w:t>aneima</w:t>
      </w:r>
      <w:proofErr w:type="spellEnd"/>
      <w:r w:rsidRPr="004270C9">
        <w:rPr>
          <w:rFonts w:eastAsia="Times New Roman" w:cs="Arial" w:hint="eastAsia"/>
          <w:color w:val="000000"/>
        </w:rPr>
        <w:t xml:space="preserve">-related proteins in tumor-bearing mice. </w:t>
      </w:r>
      <w:proofErr w:type="gramStart"/>
      <w:r w:rsidRPr="004270C9">
        <w:rPr>
          <w:rFonts w:eastAsia="Times New Roman" w:cs="Arial" w:hint="eastAsia"/>
          <w:color w:val="000000"/>
        </w:rPr>
        <w:t>A,</w:t>
      </w:r>
      <w:proofErr w:type="gramEnd"/>
      <w:r w:rsidRPr="004270C9">
        <w:rPr>
          <w:rFonts w:eastAsia="Times New Roman" w:cs="Arial" w:hint="eastAsia"/>
          <w:color w:val="000000"/>
        </w:rPr>
        <w:t xml:space="preserve"> top panel: The body weight of mice transplanted with EO771 cells, with or without AdipoRon treatment (n = 9 per group). One-way ANOVA followed by Dunnett’s multiple comparison tests was performed. Bottom panel: Representative images of H&amp;E-stained livers of control (0.4% </w:t>
      </w:r>
      <w:proofErr w:type="spellStart"/>
      <w:r w:rsidRPr="004270C9">
        <w:rPr>
          <w:rFonts w:eastAsia="Times New Roman" w:cs="Arial" w:hint="eastAsia"/>
          <w:color w:val="000000"/>
        </w:rPr>
        <w:t>cellurose</w:t>
      </w:r>
      <w:proofErr w:type="spellEnd"/>
      <w:r w:rsidRPr="004270C9">
        <w:rPr>
          <w:rFonts w:eastAsia="Times New Roman" w:cs="Arial" w:hint="eastAsia"/>
          <w:color w:val="000000"/>
        </w:rPr>
        <w:t>) and AdipoRon-treated mice. Scale bar = 100 µm</w:t>
      </w:r>
      <w:r w:rsidRPr="004270C9">
        <w:rPr>
          <w:rFonts w:eastAsia="Times New Roman" w:cs="Arial"/>
          <w:color w:val="000000"/>
        </w:rPr>
        <w:t>.</w:t>
      </w:r>
      <w:r w:rsidRPr="004270C9">
        <w:rPr>
          <w:rFonts w:eastAsia="Times New Roman" w:cs="Arial" w:hint="eastAsia"/>
          <w:color w:val="000000"/>
        </w:rPr>
        <w:t xml:space="preserve"> B, top panel: Representative images of erythropoietin (EPO) and HIF2</w:t>
      </w:r>
      <w:r w:rsidRPr="004270C9">
        <w:rPr>
          <w:rFonts w:eastAsia="Times New Roman" w:cs="Arial" w:hint="eastAsia"/>
          <w:color w:val="000000"/>
          <w:lang w:val="el-GR"/>
        </w:rPr>
        <w:t xml:space="preserve">α </w:t>
      </w:r>
      <w:r w:rsidRPr="004270C9">
        <w:rPr>
          <w:rFonts w:eastAsia="Times New Roman" w:cs="Arial" w:hint="eastAsia"/>
          <w:color w:val="000000"/>
        </w:rPr>
        <w:t>immunohistochemistry (IHC) in the livers of control and AdipoRon-treated mice. Scale bar = 100 µm. Bottom panel: H-scores of EPO and HIF2</w:t>
      </w:r>
      <w:r w:rsidRPr="004270C9">
        <w:rPr>
          <w:rFonts w:eastAsia="Times New Roman" w:cs="Arial" w:hint="eastAsia"/>
          <w:color w:val="000000"/>
          <w:lang w:val="el-GR"/>
        </w:rPr>
        <w:t xml:space="preserve">α </w:t>
      </w:r>
      <w:r w:rsidRPr="004270C9">
        <w:rPr>
          <w:rFonts w:eastAsia="Times New Roman" w:cs="Arial" w:hint="eastAsia"/>
          <w:color w:val="000000"/>
        </w:rPr>
        <w:t>in the livers of control and AdipoRon-treated mice. n.s., not significant; unpaired two-tailed Welch’s t-test.</w:t>
      </w:r>
    </w:p>
    <w:p w14:paraId="46DEF025" w14:textId="77777777" w:rsidR="00C21747" w:rsidRPr="00C21747" w:rsidRDefault="00C21747" w:rsidP="005F152B">
      <w:pPr>
        <w:spacing w:after="120" w:line="480" w:lineRule="auto"/>
        <w:rPr>
          <w:rFonts w:eastAsia="Times New Roman" w:cs="Arial"/>
          <w:color w:val="000000"/>
        </w:rPr>
      </w:pPr>
    </w:p>
    <w:p w14:paraId="2B0119B5" w14:textId="25532C76" w:rsidR="00AB33A8" w:rsidRPr="005F152B" w:rsidRDefault="00AB33A8"/>
    <w:sectPr w:rsidR="00AB33A8" w:rsidRPr="005F152B" w:rsidSect="00461529">
      <w:footerReference w:type="even" r:id="rId6"/>
      <w:footerReference w:type="default" r:id="rId7"/>
      <w:pgSz w:w="11900" w:h="16840"/>
      <w:pgMar w:top="1985" w:right="1701" w:bottom="1701" w:left="1701" w:header="851" w:footer="992" w:gutter="0"/>
      <w:lnNumType w:countBy="1" w:restart="continuous"/>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4CFC5D" w14:textId="77777777" w:rsidR="00BF245D" w:rsidRDefault="00BF245D" w:rsidP="00BA14A9">
      <w:r>
        <w:separator/>
      </w:r>
    </w:p>
  </w:endnote>
  <w:endnote w:type="continuationSeparator" w:id="0">
    <w:p w14:paraId="0CA44A49" w14:textId="77777777" w:rsidR="00BF245D" w:rsidRDefault="00BF245D" w:rsidP="00BA14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本文のフォント - コンプレ">
    <w:altName w:val="ＭＳ 明朝"/>
    <w:panose1 w:val="020B0604020202020204"/>
    <w:charset w:val="80"/>
    <w:family w:val="roman"/>
    <w:notTrueType/>
    <w:pitch w:val="default"/>
  </w:font>
  <w:font w:name="ＭＳ Ｐゴシック">
    <w:altName w:val="MS PGothic"/>
    <w:panose1 w:val="020B0600070205080204"/>
    <w:charset w:val="80"/>
    <w:family w:val="swiss"/>
    <w:pitch w:val="variable"/>
    <w:sig w:usb0="E00002FF" w:usb1="6AC7FDFB" w:usb2="08000012" w:usb3="00000000" w:csb0="0002009F" w:csb1="00000000"/>
  </w:font>
  <w:font w:name="Symbol">
    <w:panose1 w:val="05050102010706020507"/>
    <w:charset w:val="02"/>
    <w:family w:val="decorative"/>
    <w:pitch w:val="variable"/>
    <w:sig w:usb0="00000000" w:usb1="10000000" w:usb2="00000000" w:usb3="00000000" w:csb0="80000000" w:csb1="00000000"/>
  </w:font>
  <w:font w:name="ＭＳ 明朝">
    <w:altName w:val="MS Mincho"/>
    <w:panose1 w:val="02020609040205080304"/>
    <w:charset w:val="80"/>
    <w:family w:val="modern"/>
    <w:pitch w:val="fixed"/>
    <w:sig w:usb0="E00002FF" w:usb1="6AC7FDFB" w:usb2="08000012" w:usb3="00000000" w:csb0="0002009F" w:csb1="00000000"/>
  </w:font>
  <w:font w:name="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5"/>
      </w:rPr>
      <w:id w:val="1091971971"/>
      <w:docPartObj>
        <w:docPartGallery w:val="Page Numbers (Bottom of Page)"/>
        <w:docPartUnique/>
      </w:docPartObj>
    </w:sdtPr>
    <w:sdtEndPr>
      <w:rPr>
        <w:rStyle w:val="a5"/>
      </w:rPr>
    </w:sdtEndPr>
    <w:sdtContent>
      <w:p w14:paraId="3C689E2A" w14:textId="521F945A" w:rsidR="00BA14A9" w:rsidRDefault="00BA14A9" w:rsidP="00AE4219">
        <w:pPr>
          <w:pStyle w:val="a3"/>
          <w:framePr w:wrap="none" w:vAnchor="text" w:hAnchor="margin" w:xAlign="right" w:y="1"/>
          <w:rPr>
            <w:rStyle w:val="a5"/>
          </w:rPr>
        </w:pPr>
        <w:r>
          <w:rPr>
            <w:rStyle w:val="a5"/>
          </w:rPr>
          <w:fldChar w:fldCharType="begin"/>
        </w:r>
        <w:r>
          <w:rPr>
            <w:rStyle w:val="a5"/>
          </w:rPr>
          <w:instrText xml:space="preserve"> PAGE </w:instrText>
        </w:r>
        <w:r>
          <w:rPr>
            <w:rStyle w:val="a5"/>
          </w:rPr>
          <w:fldChar w:fldCharType="end"/>
        </w:r>
      </w:p>
    </w:sdtContent>
  </w:sdt>
  <w:p w14:paraId="34BFC801" w14:textId="77777777" w:rsidR="00BA14A9" w:rsidRDefault="00BA14A9" w:rsidP="00BA14A9">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5"/>
      </w:rPr>
      <w:id w:val="98687405"/>
      <w:docPartObj>
        <w:docPartGallery w:val="Page Numbers (Bottom of Page)"/>
        <w:docPartUnique/>
      </w:docPartObj>
    </w:sdtPr>
    <w:sdtEndPr>
      <w:rPr>
        <w:rStyle w:val="a5"/>
      </w:rPr>
    </w:sdtEndPr>
    <w:sdtContent>
      <w:p w14:paraId="3E3981FA" w14:textId="60FD44F6" w:rsidR="00BA14A9" w:rsidRDefault="00BA14A9" w:rsidP="00AE4219">
        <w:pPr>
          <w:pStyle w:val="a3"/>
          <w:framePr w:wrap="none" w:vAnchor="text" w:hAnchor="margin" w:xAlign="right" w:y="1"/>
          <w:rPr>
            <w:rStyle w:val="a5"/>
          </w:rPr>
        </w:pPr>
        <w:r>
          <w:rPr>
            <w:rStyle w:val="a5"/>
          </w:rPr>
          <w:fldChar w:fldCharType="begin"/>
        </w:r>
        <w:r>
          <w:rPr>
            <w:rStyle w:val="a5"/>
          </w:rPr>
          <w:instrText xml:space="preserve"> PAGE </w:instrText>
        </w:r>
        <w:r>
          <w:rPr>
            <w:rStyle w:val="a5"/>
          </w:rPr>
          <w:fldChar w:fldCharType="separate"/>
        </w:r>
        <w:r>
          <w:rPr>
            <w:rStyle w:val="a5"/>
            <w:noProof/>
          </w:rPr>
          <w:t>1</w:t>
        </w:r>
        <w:r>
          <w:rPr>
            <w:rStyle w:val="a5"/>
          </w:rPr>
          <w:fldChar w:fldCharType="end"/>
        </w:r>
      </w:p>
    </w:sdtContent>
  </w:sdt>
  <w:p w14:paraId="00DD20A1" w14:textId="77777777" w:rsidR="00BA14A9" w:rsidRDefault="00BA14A9" w:rsidP="00BA14A9">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F44038" w14:textId="77777777" w:rsidR="00BF245D" w:rsidRDefault="00BF245D" w:rsidP="00BA14A9">
      <w:r>
        <w:separator/>
      </w:r>
    </w:p>
  </w:footnote>
  <w:footnote w:type="continuationSeparator" w:id="0">
    <w:p w14:paraId="3E02975E" w14:textId="77777777" w:rsidR="00BF245D" w:rsidRDefault="00BF245D" w:rsidP="00BA14A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1"/>
  <w:bordersDoNotSurroundHeader/>
  <w:bordersDoNotSurroundFooter/>
  <w:proofState w:spelling="clean" w:grammar="clean"/>
  <w:defaultTabStop w:val="840"/>
  <w:drawingGridHorizontalSpacing w:val="105"/>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5F152B"/>
    <w:rsid w:val="000002A1"/>
    <w:rsid w:val="0000722A"/>
    <w:rsid w:val="00022528"/>
    <w:rsid w:val="00022F80"/>
    <w:rsid w:val="000400A7"/>
    <w:rsid w:val="00061377"/>
    <w:rsid w:val="00087E76"/>
    <w:rsid w:val="000C2192"/>
    <w:rsid w:val="000C33C8"/>
    <w:rsid w:val="000E03ED"/>
    <w:rsid w:val="000F4911"/>
    <w:rsid w:val="001205CB"/>
    <w:rsid w:val="00122890"/>
    <w:rsid w:val="00152B46"/>
    <w:rsid w:val="0018444D"/>
    <w:rsid w:val="001867AD"/>
    <w:rsid w:val="00191257"/>
    <w:rsid w:val="001A1BD8"/>
    <w:rsid w:val="001A35C5"/>
    <w:rsid w:val="001B3E9D"/>
    <w:rsid w:val="001B7A66"/>
    <w:rsid w:val="001C7F3F"/>
    <w:rsid w:val="001D1264"/>
    <w:rsid w:val="001D589E"/>
    <w:rsid w:val="001E117D"/>
    <w:rsid w:val="00243BB8"/>
    <w:rsid w:val="00251A7B"/>
    <w:rsid w:val="00261491"/>
    <w:rsid w:val="002677A1"/>
    <w:rsid w:val="002728F5"/>
    <w:rsid w:val="00276709"/>
    <w:rsid w:val="00297263"/>
    <w:rsid w:val="002B2374"/>
    <w:rsid w:val="002B712D"/>
    <w:rsid w:val="002C23EB"/>
    <w:rsid w:val="002C5F68"/>
    <w:rsid w:val="002E45C8"/>
    <w:rsid w:val="002F599B"/>
    <w:rsid w:val="00307447"/>
    <w:rsid w:val="003377C1"/>
    <w:rsid w:val="00350871"/>
    <w:rsid w:val="003927CF"/>
    <w:rsid w:val="003A282C"/>
    <w:rsid w:val="003C2BA6"/>
    <w:rsid w:val="003F7AAA"/>
    <w:rsid w:val="004270C9"/>
    <w:rsid w:val="00450319"/>
    <w:rsid w:val="00457565"/>
    <w:rsid w:val="00461529"/>
    <w:rsid w:val="004872CB"/>
    <w:rsid w:val="004912FA"/>
    <w:rsid w:val="004A0042"/>
    <w:rsid w:val="004B0A75"/>
    <w:rsid w:val="004C03B9"/>
    <w:rsid w:val="004C4878"/>
    <w:rsid w:val="004C5363"/>
    <w:rsid w:val="004E0B44"/>
    <w:rsid w:val="004E2C11"/>
    <w:rsid w:val="004E5112"/>
    <w:rsid w:val="00500B10"/>
    <w:rsid w:val="00514208"/>
    <w:rsid w:val="00527893"/>
    <w:rsid w:val="00532AEC"/>
    <w:rsid w:val="00546EC5"/>
    <w:rsid w:val="005501DE"/>
    <w:rsid w:val="00557324"/>
    <w:rsid w:val="00566475"/>
    <w:rsid w:val="00571869"/>
    <w:rsid w:val="0057797B"/>
    <w:rsid w:val="00595940"/>
    <w:rsid w:val="005C6C6A"/>
    <w:rsid w:val="005E3F06"/>
    <w:rsid w:val="005F152B"/>
    <w:rsid w:val="005F29C3"/>
    <w:rsid w:val="006008AD"/>
    <w:rsid w:val="00616E6F"/>
    <w:rsid w:val="00617DD5"/>
    <w:rsid w:val="00620D45"/>
    <w:rsid w:val="00633357"/>
    <w:rsid w:val="0064020C"/>
    <w:rsid w:val="00645DC1"/>
    <w:rsid w:val="00655DCB"/>
    <w:rsid w:val="00660CBF"/>
    <w:rsid w:val="006629F1"/>
    <w:rsid w:val="00692CC8"/>
    <w:rsid w:val="006C34C4"/>
    <w:rsid w:val="00724404"/>
    <w:rsid w:val="00731E66"/>
    <w:rsid w:val="00764B8B"/>
    <w:rsid w:val="0076602D"/>
    <w:rsid w:val="00796DAF"/>
    <w:rsid w:val="007B72E7"/>
    <w:rsid w:val="007F3F53"/>
    <w:rsid w:val="00804576"/>
    <w:rsid w:val="008446ED"/>
    <w:rsid w:val="008546CB"/>
    <w:rsid w:val="00861BA6"/>
    <w:rsid w:val="00871D6B"/>
    <w:rsid w:val="008A1825"/>
    <w:rsid w:val="008A2E5B"/>
    <w:rsid w:val="008A39E5"/>
    <w:rsid w:val="008B47F6"/>
    <w:rsid w:val="008B5EEE"/>
    <w:rsid w:val="008D0CF2"/>
    <w:rsid w:val="008E17AC"/>
    <w:rsid w:val="00907E8B"/>
    <w:rsid w:val="00930A7C"/>
    <w:rsid w:val="009322D0"/>
    <w:rsid w:val="00955D25"/>
    <w:rsid w:val="009812BC"/>
    <w:rsid w:val="009A6D19"/>
    <w:rsid w:val="009B10EE"/>
    <w:rsid w:val="009C2C42"/>
    <w:rsid w:val="009D058B"/>
    <w:rsid w:val="009E4EC5"/>
    <w:rsid w:val="009F5226"/>
    <w:rsid w:val="00A179F2"/>
    <w:rsid w:val="00A27F64"/>
    <w:rsid w:val="00A43DFB"/>
    <w:rsid w:val="00A45140"/>
    <w:rsid w:val="00A812BE"/>
    <w:rsid w:val="00A925AE"/>
    <w:rsid w:val="00A96B6D"/>
    <w:rsid w:val="00AA1B22"/>
    <w:rsid w:val="00AB33A8"/>
    <w:rsid w:val="00AB58BA"/>
    <w:rsid w:val="00AD07EC"/>
    <w:rsid w:val="00AD7298"/>
    <w:rsid w:val="00AE10FD"/>
    <w:rsid w:val="00AE3F31"/>
    <w:rsid w:val="00AE4219"/>
    <w:rsid w:val="00B0142E"/>
    <w:rsid w:val="00B05FB0"/>
    <w:rsid w:val="00B16A27"/>
    <w:rsid w:val="00B336C6"/>
    <w:rsid w:val="00B347FB"/>
    <w:rsid w:val="00B66602"/>
    <w:rsid w:val="00B80B5B"/>
    <w:rsid w:val="00B8183F"/>
    <w:rsid w:val="00B83772"/>
    <w:rsid w:val="00B86ADB"/>
    <w:rsid w:val="00B97448"/>
    <w:rsid w:val="00BA14A9"/>
    <w:rsid w:val="00BA78FE"/>
    <w:rsid w:val="00BB70B2"/>
    <w:rsid w:val="00BB7337"/>
    <w:rsid w:val="00BC1EE5"/>
    <w:rsid w:val="00BF245D"/>
    <w:rsid w:val="00BF40FB"/>
    <w:rsid w:val="00C06445"/>
    <w:rsid w:val="00C11B0F"/>
    <w:rsid w:val="00C15E2B"/>
    <w:rsid w:val="00C21747"/>
    <w:rsid w:val="00C30EC4"/>
    <w:rsid w:val="00C369AA"/>
    <w:rsid w:val="00C525F1"/>
    <w:rsid w:val="00C56BD0"/>
    <w:rsid w:val="00C575EA"/>
    <w:rsid w:val="00C71248"/>
    <w:rsid w:val="00C976D5"/>
    <w:rsid w:val="00CA11EF"/>
    <w:rsid w:val="00CE5C1D"/>
    <w:rsid w:val="00D56B63"/>
    <w:rsid w:val="00D56E8E"/>
    <w:rsid w:val="00D650FE"/>
    <w:rsid w:val="00D84D17"/>
    <w:rsid w:val="00D90BD9"/>
    <w:rsid w:val="00DA5DDA"/>
    <w:rsid w:val="00DD6F1E"/>
    <w:rsid w:val="00DE30AF"/>
    <w:rsid w:val="00DE33D2"/>
    <w:rsid w:val="00DE3FA0"/>
    <w:rsid w:val="00E14F6F"/>
    <w:rsid w:val="00E21FB4"/>
    <w:rsid w:val="00E25A1D"/>
    <w:rsid w:val="00E32BDE"/>
    <w:rsid w:val="00E50319"/>
    <w:rsid w:val="00E56221"/>
    <w:rsid w:val="00E750A0"/>
    <w:rsid w:val="00E81751"/>
    <w:rsid w:val="00E92D4D"/>
    <w:rsid w:val="00EA4748"/>
    <w:rsid w:val="00EC122B"/>
    <w:rsid w:val="00EE7C5E"/>
    <w:rsid w:val="00F04A87"/>
    <w:rsid w:val="00F04F7A"/>
    <w:rsid w:val="00F1390D"/>
    <w:rsid w:val="00F20957"/>
    <w:rsid w:val="00F42908"/>
    <w:rsid w:val="00F46419"/>
    <w:rsid w:val="00F5614B"/>
    <w:rsid w:val="00F777EA"/>
    <w:rsid w:val="00F82FA1"/>
    <w:rsid w:val="00FA28F1"/>
    <w:rsid w:val="00FA7DED"/>
    <w:rsid w:val="00FB357E"/>
    <w:rsid w:val="00FB5B4A"/>
    <w:rsid w:val="00FB6BF1"/>
    <w:rsid w:val="00FD07EE"/>
    <w:rsid w:val="00FD3680"/>
    <w:rsid w:val="00FE2AF9"/>
    <w:rsid w:val="00FE659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B8A9451"/>
  <w15:docId w15:val="{A0AF8133-87EA-F046-8ACC-BCE3381875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61529"/>
    <w:pPr>
      <w:widowControl w:val="0"/>
      <w:jc w:val="both"/>
    </w:pPr>
    <w:rPr>
      <w:rFonts w:ascii="Arial" w:hAnsi="Arial" w:cs="Times New Roman (本文のフォント - コンプレ"/>
    </w:rPr>
  </w:style>
  <w:style w:type="paragraph" w:styleId="1">
    <w:name w:val="heading 1"/>
    <w:basedOn w:val="a"/>
    <w:next w:val="a"/>
    <w:link w:val="10"/>
    <w:qFormat/>
    <w:rsid w:val="005F152B"/>
    <w:pPr>
      <w:widowControl/>
      <w:spacing w:after="120"/>
      <w:jc w:val="left"/>
      <w:outlineLvl w:val="0"/>
    </w:pPr>
    <w:rPr>
      <w:rFonts w:eastAsia="Arial" w:cs="Arial"/>
      <w:b/>
      <w:caps/>
      <w:color w:val="AB4C4C"/>
      <w:kern w:val="0"/>
      <w:sz w:val="20"/>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rsid w:val="005F152B"/>
    <w:rPr>
      <w:rFonts w:ascii="Arial" w:eastAsia="Arial" w:hAnsi="Arial" w:cs="Arial"/>
      <w:b/>
      <w:caps/>
      <w:color w:val="AB4C4C"/>
      <w:kern w:val="0"/>
      <w:sz w:val="20"/>
      <w:szCs w:val="22"/>
      <w:lang w:eastAsia="en-US"/>
    </w:rPr>
  </w:style>
  <w:style w:type="paragraph" w:styleId="a3">
    <w:name w:val="footer"/>
    <w:basedOn w:val="a"/>
    <w:link w:val="a4"/>
    <w:uiPriority w:val="99"/>
    <w:unhideWhenUsed/>
    <w:rsid w:val="00BA14A9"/>
    <w:pPr>
      <w:tabs>
        <w:tab w:val="center" w:pos="4252"/>
        <w:tab w:val="right" w:pos="8504"/>
      </w:tabs>
      <w:snapToGrid w:val="0"/>
    </w:pPr>
  </w:style>
  <w:style w:type="character" w:customStyle="1" w:styleId="a4">
    <w:name w:val="フッター (文字)"/>
    <w:basedOn w:val="a0"/>
    <w:link w:val="a3"/>
    <w:uiPriority w:val="99"/>
    <w:rsid w:val="00BA14A9"/>
  </w:style>
  <w:style w:type="character" w:styleId="a5">
    <w:name w:val="page number"/>
    <w:basedOn w:val="a0"/>
    <w:uiPriority w:val="99"/>
    <w:semiHidden/>
    <w:unhideWhenUsed/>
    <w:rsid w:val="00BA14A9"/>
  </w:style>
  <w:style w:type="character" w:styleId="a6">
    <w:name w:val="line number"/>
    <w:basedOn w:val="a0"/>
    <w:uiPriority w:val="99"/>
    <w:semiHidden/>
    <w:unhideWhenUsed/>
    <w:rsid w:val="004615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0640447">
      <w:bodyDiv w:val="1"/>
      <w:marLeft w:val="0"/>
      <w:marRight w:val="0"/>
      <w:marTop w:val="0"/>
      <w:marBottom w:val="0"/>
      <w:divBdr>
        <w:top w:val="none" w:sz="0" w:space="0" w:color="auto"/>
        <w:left w:val="none" w:sz="0" w:space="0" w:color="auto"/>
        <w:bottom w:val="none" w:sz="0" w:space="0" w:color="auto"/>
        <w:right w:val="none" w:sz="0" w:space="0" w:color="auto"/>
      </w:divBdr>
    </w:div>
    <w:div w:id="2043819652">
      <w:bodyDiv w:val="1"/>
      <w:marLeft w:val="0"/>
      <w:marRight w:val="0"/>
      <w:marTop w:val="0"/>
      <w:marBottom w:val="0"/>
      <w:divBdr>
        <w:top w:val="none" w:sz="0" w:space="0" w:color="auto"/>
        <w:left w:val="none" w:sz="0" w:space="0" w:color="auto"/>
        <w:bottom w:val="none" w:sz="0" w:space="0" w:color="auto"/>
        <w:right w:val="none" w:sz="0" w:space="0" w:color="auto"/>
      </w:divBdr>
      <w:divsChild>
        <w:div w:id="1268007824">
          <w:marLeft w:val="0"/>
          <w:marRight w:val="0"/>
          <w:marTop w:val="0"/>
          <w:marBottom w:val="0"/>
          <w:divBdr>
            <w:top w:val="none" w:sz="0" w:space="0" w:color="auto"/>
            <w:left w:val="none" w:sz="0" w:space="0" w:color="auto"/>
            <w:bottom w:val="none" w:sz="0" w:space="0" w:color="auto"/>
            <w:right w:val="none" w:sz="0" w:space="0" w:color="auto"/>
          </w:divBdr>
          <w:divsChild>
            <w:div w:id="693847307">
              <w:marLeft w:val="0"/>
              <w:marRight w:val="0"/>
              <w:marTop w:val="0"/>
              <w:marBottom w:val="0"/>
              <w:divBdr>
                <w:top w:val="none" w:sz="0" w:space="0" w:color="auto"/>
                <w:left w:val="none" w:sz="0" w:space="0" w:color="auto"/>
                <w:bottom w:val="none" w:sz="0" w:space="0" w:color="auto"/>
                <w:right w:val="none" w:sz="0" w:space="0" w:color="auto"/>
              </w:divBdr>
              <w:divsChild>
                <w:div w:id="1979069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22</Pages>
  <Words>4155</Words>
  <Characters>23687</Characters>
  <Application>Microsoft Office Word</Application>
  <DocSecurity>0</DocSecurity>
  <Lines>197</Lines>
  <Paragraphs>55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27787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慎哉 佐藤</dc:creator>
  <cp:keywords/>
  <dc:description/>
  <cp:lastModifiedBy>慎哉 佐藤</cp:lastModifiedBy>
  <cp:revision>3</cp:revision>
  <dcterms:created xsi:type="dcterms:W3CDTF">2026-02-10T03:10:00Z</dcterms:created>
  <dcterms:modified xsi:type="dcterms:W3CDTF">2026-02-10T03:34:00Z</dcterms:modified>
</cp:coreProperties>
</file>