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7987" w14:textId="77777777" w:rsidR="00034431" w:rsidRPr="00E63684" w:rsidRDefault="00034431" w:rsidP="00034431">
      <w:pPr>
        <w:spacing w:line="480" w:lineRule="auto"/>
        <w:rPr>
          <w:rFonts w:ascii="Arial" w:hAnsi="Arial" w:cs="Arial"/>
          <w:b/>
          <w:bCs/>
        </w:rPr>
      </w:pPr>
      <w:r w:rsidRPr="00E63684">
        <w:rPr>
          <w:rFonts w:ascii="Arial" w:hAnsi="Arial" w:cs="Arial"/>
          <w:b/>
          <w:bCs/>
        </w:rPr>
        <w:t xml:space="preserve">Functional analysis of the human </w:t>
      </w:r>
      <w:proofErr w:type="spellStart"/>
      <w:r w:rsidRPr="00E63684">
        <w:rPr>
          <w:rFonts w:ascii="Arial" w:hAnsi="Arial" w:cs="Arial"/>
          <w:b/>
          <w:bCs/>
        </w:rPr>
        <w:t>miRNome</w:t>
      </w:r>
      <w:proofErr w:type="spellEnd"/>
      <w:r w:rsidRPr="00E63684">
        <w:rPr>
          <w:rFonts w:ascii="Arial" w:hAnsi="Arial" w:cs="Arial"/>
          <w:b/>
          <w:bCs/>
        </w:rPr>
        <w:t xml:space="preserve"> in non-small cell lung cancer unveils a novel miR-92b-3p/NOTCH3 axis that drives tumor progression.</w:t>
      </w:r>
    </w:p>
    <w:p w14:paraId="41139727" w14:textId="77777777" w:rsidR="00034431" w:rsidRPr="00E63684" w:rsidRDefault="00034431" w:rsidP="00A75262">
      <w:pPr>
        <w:spacing w:line="480" w:lineRule="auto"/>
        <w:rPr>
          <w:rFonts w:ascii="Arial" w:hAnsi="Arial" w:cs="Arial"/>
          <w:b/>
          <w:bCs/>
        </w:rPr>
      </w:pPr>
    </w:p>
    <w:p w14:paraId="79B1F0CE" w14:textId="4B74209A" w:rsidR="008C2090" w:rsidRPr="00E63684" w:rsidRDefault="00EF46F4" w:rsidP="00A75262">
      <w:pPr>
        <w:spacing w:line="480" w:lineRule="auto"/>
        <w:rPr>
          <w:rFonts w:ascii="Arial" w:hAnsi="Arial" w:cs="Arial"/>
          <w:b/>
          <w:bCs/>
        </w:rPr>
      </w:pPr>
      <w:r w:rsidRPr="00E63684">
        <w:rPr>
          <w:rFonts w:ascii="Arial" w:hAnsi="Arial" w:cs="Arial"/>
          <w:b/>
          <w:bCs/>
        </w:rPr>
        <w:t>SUPPLEMENTAL</w:t>
      </w:r>
      <w:r w:rsidR="00A46C02" w:rsidRPr="00E63684">
        <w:rPr>
          <w:rFonts w:ascii="Arial" w:hAnsi="Arial" w:cs="Arial"/>
          <w:b/>
          <w:bCs/>
        </w:rPr>
        <w:t xml:space="preserve"> </w:t>
      </w:r>
      <w:r w:rsidR="0010356B" w:rsidRPr="00E63684">
        <w:rPr>
          <w:rFonts w:ascii="Arial" w:hAnsi="Arial" w:cs="Arial"/>
          <w:b/>
          <w:bCs/>
        </w:rPr>
        <w:t>MATERIAL</w:t>
      </w:r>
    </w:p>
    <w:p w14:paraId="3A700692" w14:textId="77777777" w:rsidR="00EF46F4" w:rsidRPr="00E63684" w:rsidRDefault="00EF46F4" w:rsidP="00A75262">
      <w:pPr>
        <w:spacing w:line="480" w:lineRule="auto"/>
        <w:rPr>
          <w:rFonts w:ascii="Arial" w:hAnsi="Arial" w:cs="Arial"/>
        </w:rPr>
      </w:pPr>
    </w:p>
    <w:p w14:paraId="75EDF1E4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  <w:r w:rsidRPr="00E63684">
        <w:rPr>
          <w:rFonts w:ascii="Arial" w:hAnsi="Arial" w:cs="Arial"/>
          <w:b/>
          <w:lang w:val="en-US"/>
        </w:rPr>
        <w:t>SUPPLEMENTAL TABLES LEGENDS</w:t>
      </w:r>
    </w:p>
    <w:p w14:paraId="44659C4F" w14:textId="101FBEEF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  <w:r w:rsidRPr="00E63684">
        <w:rPr>
          <w:rFonts w:ascii="Arial" w:hAnsi="Arial" w:cs="Arial"/>
          <w:b/>
          <w:lang w:val="en-US"/>
        </w:rPr>
        <w:t xml:space="preserve">Table S1. Normalized counts of miRNAs in the proliferation (PRO), migration (MIG) and invasion (INV) assay. </w:t>
      </w:r>
      <w:r w:rsidRPr="00E63684">
        <w:rPr>
          <w:rFonts w:ascii="Arial" w:hAnsi="Arial" w:cs="Arial"/>
          <w:bCs/>
          <w:lang w:val="en-US"/>
        </w:rPr>
        <w:t xml:space="preserve">Lists of miRNAs (with MIMAT_ID) and their normalized counts in the PRO </w:t>
      </w:r>
      <w:r w:rsidR="008366F9" w:rsidRPr="00E63684">
        <w:rPr>
          <w:rFonts w:ascii="Arial" w:hAnsi="Arial" w:cs="Arial"/>
          <w:bCs/>
          <w:lang w:val="en-US"/>
        </w:rPr>
        <w:t>(</w:t>
      </w:r>
      <w:r w:rsidRPr="00E63684">
        <w:rPr>
          <w:rFonts w:ascii="Arial" w:hAnsi="Arial" w:cs="Arial"/>
          <w:bCs/>
          <w:lang w:val="en-US"/>
        </w:rPr>
        <w:t>A), MIG (B) and INV (C) assay. DESeq2 and BRB-</w:t>
      </w:r>
      <w:proofErr w:type="spellStart"/>
      <w:r w:rsidRPr="00E63684">
        <w:rPr>
          <w:rFonts w:ascii="Arial" w:hAnsi="Arial" w:cs="Arial"/>
          <w:bCs/>
          <w:lang w:val="en-US"/>
        </w:rPr>
        <w:t>Qtrait</w:t>
      </w:r>
      <w:proofErr w:type="spellEnd"/>
      <w:r w:rsidRPr="00E63684">
        <w:rPr>
          <w:rFonts w:ascii="Arial" w:hAnsi="Arial" w:cs="Arial"/>
          <w:bCs/>
          <w:lang w:val="en-US"/>
        </w:rPr>
        <w:t xml:space="preserve"> p-values are reported. NS, not significant.</w:t>
      </w:r>
    </w:p>
    <w:p w14:paraId="092A4C82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</w:p>
    <w:p w14:paraId="36C5C77B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  <w:r w:rsidRPr="00E63684">
        <w:rPr>
          <w:rFonts w:ascii="Arial" w:hAnsi="Arial" w:cs="Arial"/>
          <w:b/>
          <w:lang w:val="en-US"/>
        </w:rPr>
        <w:t xml:space="preserve">Table S2. Enriched/depleted miRNAs in the proliferation (PRO), migration (MIG) and invasion (INV) assay. </w:t>
      </w:r>
      <w:r w:rsidRPr="00E63684">
        <w:rPr>
          <w:rFonts w:ascii="Arial" w:hAnsi="Arial" w:cs="Arial"/>
          <w:bCs/>
          <w:lang w:val="en-US"/>
        </w:rPr>
        <w:t>Lists of miRNAs (with MIMAT IDs) associated with PRO (A), MIG (B), and INV (C). For each miRNA, fold-changes in individual replicates and the corresponding mean fold-change (</w:t>
      </w:r>
      <w:proofErr w:type="spellStart"/>
      <w:r w:rsidRPr="00E63684">
        <w:rPr>
          <w:rFonts w:ascii="Arial" w:hAnsi="Arial" w:cs="Arial"/>
          <w:bCs/>
          <w:lang w:val="en-US"/>
        </w:rPr>
        <w:t>Mean_FC</w:t>
      </w:r>
      <w:proofErr w:type="spellEnd"/>
      <w:r w:rsidRPr="00E63684">
        <w:rPr>
          <w:rFonts w:ascii="Arial" w:hAnsi="Arial" w:cs="Arial"/>
          <w:bCs/>
          <w:lang w:val="en-US"/>
        </w:rPr>
        <w:t>) are shown. The direction of regulation (up/down) and concordance across replicates are indicated. DESeq2 and BRB-</w:t>
      </w:r>
      <w:proofErr w:type="spellStart"/>
      <w:r w:rsidRPr="00E63684">
        <w:rPr>
          <w:rFonts w:ascii="Arial" w:hAnsi="Arial" w:cs="Arial"/>
          <w:bCs/>
          <w:lang w:val="en-US"/>
        </w:rPr>
        <w:t>Qtrait</w:t>
      </w:r>
      <w:proofErr w:type="spellEnd"/>
      <w:r w:rsidRPr="00E63684">
        <w:rPr>
          <w:rFonts w:ascii="Arial" w:hAnsi="Arial" w:cs="Arial"/>
          <w:bCs/>
          <w:lang w:val="en-US"/>
        </w:rPr>
        <w:t xml:space="preserve"> p-values are reported, together with the indication of the subset of miRNAs passing predefined thresholds in both analyses.</w:t>
      </w:r>
      <w:r w:rsidRPr="00E63684">
        <w:rPr>
          <w:rFonts w:ascii="Arial" w:hAnsi="Arial" w:cs="Arial"/>
          <w:b/>
          <w:lang w:val="en-US"/>
        </w:rPr>
        <w:t xml:space="preserve"> </w:t>
      </w:r>
    </w:p>
    <w:p w14:paraId="5C82929F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</w:p>
    <w:p w14:paraId="183FCEE8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bCs/>
          <w:lang w:val="en-US"/>
        </w:rPr>
      </w:pPr>
      <w:r w:rsidRPr="00E63684">
        <w:rPr>
          <w:rFonts w:ascii="Arial" w:hAnsi="Arial" w:cs="Arial"/>
          <w:b/>
          <w:bCs/>
          <w:lang w:val="en-US"/>
        </w:rPr>
        <w:t xml:space="preserve">Table S3. Association of proliferative (PRO), migratory (MIG), and invasive (INV) miRNAs with tumor size, lymph node involvement, and metastasis (TNM parameters) in the TCGA LUAD cohort. </w:t>
      </w:r>
      <w:r w:rsidRPr="00E63684">
        <w:rPr>
          <w:rFonts w:ascii="Arial" w:hAnsi="Arial" w:cs="Arial"/>
          <w:bCs/>
          <w:lang w:val="en-US"/>
        </w:rPr>
        <w:t xml:space="preserve">List of miRNAs (with MIMAT IDs) categorized as PRO-, INV-, or MIG-miRNAs, together with their observed enrichment trends (up- or downregulated). Associations were tested with tumor size (T1–T2a vs. T2b–T4), lymph node involvement </w:t>
      </w:r>
      <w:r w:rsidRPr="00E63684">
        <w:rPr>
          <w:rFonts w:ascii="Arial" w:hAnsi="Arial" w:cs="Arial"/>
          <w:bCs/>
          <w:lang w:val="en-US"/>
        </w:rPr>
        <w:lastRenderedPageBreak/>
        <w:t>(N0–N1 vs. N2–N3), and metastasis status (M0 vs. M1) using chi-square test. P-values are reported.</w:t>
      </w:r>
    </w:p>
    <w:p w14:paraId="62F15865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bCs/>
          <w:lang w:val="en-US"/>
        </w:rPr>
      </w:pPr>
    </w:p>
    <w:p w14:paraId="5FD90AC8" w14:textId="33DB2B89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Cs/>
          <w:lang w:val="en-US"/>
        </w:rPr>
      </w:pPr>
      <w:r w:rsidRPr="00E63684">
        <w:rPr>
          <w:rFonts w:ascii="Arial" w:hAnsi="Arial" w:cs="Arial"/>
          <w:b/>
          <w:lang w:val="en-US"/>
        </w:rPr>
        <w:t xml:space="preserve">Table S4. Multivariable Cox proportional hazards models in the TCGA LUAD cohort evaluating the prognostic value of 22-miRNA and 15-miRNA scores. </w:t>
      </w:r>
      <w:r w:rsidRPr="00E63684">
        <w:rPr>
          <w:rFonts w:ascii="Arial" w:hAnsi="Arial" w:cs="Arial"/>
          <w:bCs/>
          <w:lang w:val="en-US"/>
        </w:rPr>
        <w:t xml:space="preserve">(A) Model including the 22-miRNA score as predictor, adjusted for age at diagnosis, gender, smoking status, and stage (TCGA LUAD, N = 491 with follow-up and clinicopathological data; 135 deaths within 3 years). (B) Model including the 15-miRNA score as predictor, adjusted for age at diagnosis, gender, smoking status, and stage (TCGA LUAD, N = 491 with follow-up and </w:t>
      </w:r>
      <w:r w:rsidR="003000DC" w:rsidRPr="00E63684">
        <w:rPr>
          <w:rFonts w:ascii="Arial" w:hAnsi="Arial" w:cs="Arial"/>
          <w:bCs/>
          <w:lang w:val="en-US"/>
        </w:rPr>
        <w:t>clinico</w:t>
      </w:r>
      <w:r w:rsidRPr="00E63684">
        <w:rPr>
          <w:rFonts w:ascii="Arial" w:hAnsi="Arial" w:cs="Arial"/>
          <w:bCs/>
          <w:lang w:val="en-US"/>
        </w:rPr>
        <w:t>pathological data; 135 deaths within 3 years).</w:t>
      </w:r>
    </w:p>
    <w:p w14:paraId="247F90AC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Cs/>
          <w:lang w:val="en-US"/>
        </w:rPr>
      </w:pPr>
    </w:p>
    <w:p w14:paraId="4CDDCD2E" w14:textId="1A5FC745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  <w:r w:rsidRPr="00E63684">
        <w:rPr>
          <w:rFonts w:ascii="Arial" w:hAnsi="Arial" w:cs="Arial"/>
          <w:b/>
          <w:lang w:val="en-US"/>
        </w:rPr>
        <w:t xml:space="preserve">Table S5. Clinical-pathological feature of patients' sample used in ST. </w:t>
      </w:r>
      <w:r w:rsidRPr="00E63684">
        <w:rPr>
          <w:rFonts w:ascii="Arial" w:hAnsi="Arial" w:cs="Arial"/>
          <w:bCs/>
          <w:lang w:val="en-US"/>
        </w:rPr>
        <w:t xml:space="preserve">Clinical information of patients used in spatial transcriptomics (ST). Abbreviation: WT, Wild type; NA, </w:t>
      </w:r>
      <w:proofErr w:type="gramStart"/>
      <w:r w:rsidRPr="00E63684">
        <w:rPr>
          <w:rFonts w:ascii="Arial" w:hAnsi="Arial" w:cs="Arial"/>
          <w:bCs/>
          <w:lang w:val="en-US"/>
        </w:rPr>
        <w:t>Not</w:t>
      </w:r>
      <w:proofErr w:type="gramEnd"/>
      <w:r w:rsidRPr="00E63684">
        <w:rPr>
          <w:rFonts w:ascii="Arial" w:hAnsi="Arial" w:cs="Arial"/>
          <w:bCs/>
          <w:lang w:val="en-US"/>
        </w:rPr>
        <w:t xml:space="preserve"> available; Neg, negative.</w:t>
      </w:r>
    </w:p>
    <w:p w14:paraId="39FEAAF1" w14:textId="77777777" w:rsidR="0010356B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</w:p>
    <w:p w14:paraId="76B8F2EA" w14:textId="79F0B4BE" w:rsidR="00EF46F4" w:rsidRPr="00E63684" w:rsidRDefault="0010356B" w:rsidP="0010356B">
      <w:pPr>
        <w:pStyle w:val="NormalWeb"/>
        <w:spacing w:line="480" w:lineRule="auto"/>
        <w:ind w:firstLine="0"/>
        <w:contextualSpacing/>
        <w:mirrorIndents/>
        <w:rPr>
          <w:rFonts w:ascii="Arial" w:hAnsi="Arial" w:cs="Arial"/>
          <w:b/>
          <w:lang w:val="en-US"/>
        </w:rPr>
      </w:pPr>
      <w:r w:rsidRPr="00E63684">
        <w:rPr>
          <w:rFonts w:ascii="Arial" w:hAnsi="Arial" w:cs="Arial"/>
          <w:b/>
          <w:lang w:val="en-US"/>
        </w:rPr>
        <w:t>SUPPLEMENTAL FIGURES LEGENDS</w:t>
      </w:r>
    </w:p>
    <w:p w14:paraId="304C0015" w14:textId="77777777" w:rsidR="00EF46F4" w:rsidRPr="00E63684" w:rsidRDefault="00EF46F4" w:rsidP="00A75262">
      <w:pPr>
        <w:spacing w:line="480" w:lineRule="auto"/>
        <w:contextualSpacing/>
        <w:jc w:val="both"/>
        <w:rPr>
          <w:rFonts w:ascii="Arial" w:hAnsi="Arial" w:cs="Arial"/>
          <w:b/>
        </w:rPr>
      </w:pPr>
      <w:r w:rsidRPr="00E63684">
        <w:rPr>
          <w:rFonts w:ascii="Arial" w:hAnsi="Arial" w:cs="Arial"/>
          <w:b/>
        </w:rPr>
        <w:t xml:space="preserve">Supplemental Figure 1 – Functional validation of </w:t>
      </w:r>
      <w:r w:rsidRPr="00E63684">
        <w:rPr>
          <w:rFonts w:ascii="Arial" w:hAnsi="Arial" w:cs="Arial"/>
          <w:b/>
          <w:bCs/>
        </w:rPr>
        <w:t>selected miRNAs in regulating migration and invasion of A549 cells.</w:t>
      </w:r>
    </w:p>
    <w:p w14:paraId="6EABEFE1" w14:textId="1214A445" w:rsidR="00EF46F4" w:rsidRPr="00E63684" w:rsidRDefault="00EF46F4" w:rsidP="00A75262">
      <w:pPr>
        <w:spacing w:line="480" w:lineRule="auto"/>
        <w:contextualSpacing/>
        <w:jc w:val="both"/>
        <w:rPr>
          <w:rFonts w:ascii="Arial" w:hAnsi="Arial" w:cs="Arial"/>
          <w:b/>
        </w:rPr>
      </w:pPr>
      <w:r w:rsidRPr="00E63684">
        <w:rPr>
          <w:rFonts w:ascii="Arial" w:hAnsi="Arial" w:cs="Arial"/>
        </w:rPr>
        <w:t xml:space="preserve">Representative fluorescence image of invading (left) and migrating (right) A549 cells transduced with lentiviral vectors overexpressing individual miRNAs (miR-582-5p, miR-92b-3p, miR-379-3p) or a not-targeting scramble sequence (CTRL). DAPI (light blue) visualizes nuclei. Scale Bar: </w:t>
      </w:r>
      <w:r w:rsidR="00FC029A" w:rsidRPr="00E63684">
        <w:rPr>
          <w:rFonts w:ascii="Arial" w:hAnsi="Arial" w:cs="Arial"/>
        </w:rPr>
        <w:t>350</w:t>
      </w:r>
      <w:r w:rsidRPr="00E63684">
        <w:rPr>
          <w:rFonts w:ascii="Arial" w:hAnsi="Arial" w:cs="Arial"/>
        </w:rPr>
        <w:t>µM.</w:t>
      </w:r>
    </w:p>
    <w:p w14:paraId="551E8B2A" w14:textId="77777777" w:rsidR="00EF46F4" w:rsidRPr="00E63684" w:rsidRDefault="00EF46F4" w:rsidP="00A75262">
      <w:pPr>
        <w:pStyle w:val="MDPI31text"/>
        <w:spacing w:line="480" w:lineRule="auto"/>
        <w:ind w:firstLine="0"/>
        <w:contextualSpacing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</w:p>
    <w:p w14:paraId="0FCDB0D7" w14:textId="77777777" w:rsidR="00EF46F4" w:rsidRPr="00E63684" w:rsidRDefault="00EF46F4" w:rsidP="00A75262">
      <w:pPr>
        <w:pStyle w:val="MDPI31text"/>
        <w:spacing w:line="480" w:lineRule="auto"/>
        <w:ind w:firstLine="0"/>
        <w:contextualSpacing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  <w:r w:rsidRPr="00E63684">
        <w:rPr>
          <w:rFonts w:ascii="Arial" w:hAnsi="Arial" w:cs="Arial"/>
          <w:b/>
          <w:bCs/>
          <w:color w:val="auto"/>
          <w:spacing w:val="-2"/>
          <w:sz w:val="24"/>
          <w:szCs w:val="24"/>
        </w:rPr>
        <w:t xml:space="preserve">Supplemental Figure 2- Effects of </w:t>
      </w:r>
      <w:r w:rsidRPr="00E63684">
        <w:rPr>
          <w:rFonts w:ascii="Arial" w:hAnsi="Arial" w:cs="Arial"/>
          <w:b/>
          <w:bCs/>
          <w:sz w:val="24"/>
          <w:szCs w:val="24"/>
        </w:rPr>
        <w:t>selected miRNAs in regulating the proliferation of a549 cells</w:t>
      </w:r>
    </w:p>
    <w:p w14:paraId="6105CEC4" w14:textId="67534DD5" w:rsidR="00EF46F4" w:rsidRPr="00E63684" w:rsidRDefault="00EF46F4" w:rsidP="00A75262">
      <w:pPr>
        <w:spacing w:line="480" w:lineRule="auto"/>
        <w:contextualSpacing/>
        <w:jc w:val="both"/>
        <w:rPr>
          <w:rFonts w:ascii="Arial" w:hAnsi="Arial" w:cs="Arial"/>
        </w:rPr>
      </w:pPr>
      <w:r w:rsidRPr="00E63684">
        <w:rPr>
          <w:rFonts w:ascii="Arial" w:hAnsi="Arial" w:cs="Arial"/>
        </w:rPr>
        <w:lastRenderedPageBreak/>
        <w:t>(A) Proliferation rate of A549 CTRL and A549 miR-92b-3p OE cells cultured for 96 hours. Fold changes</w:t>
      </w:r>
      <w:r w:rsidR="00244BC8" w:rsidRPr="00E63684">
        <w:rPr>
          <w:rFonts w:ascii="Arial" w:hAnsi="Arial" w:cs="Arial"/>
        </w:rPr>
        <w:t xml:space="preserve"> of proliferation</w:t>
      </w:r>
      <w:r w:rsidRPr="00E63684">
        <w:rPr>
          <w:rFonts w:ascii="Arial" w:hAnsi="Arial" w:cs="Arial"/>
        </w:rPr>
        <w:t xml:space="preserve"> </w:t>
      </w:r>
      <w:r w:rsidR="00244BC8" w:rsidRPr="00E63684">
        <w:rPr>
          <w:rFonts w:ascii="Arial" w:hAnsi="Arial" w:cs="Arial"/>
        </w:rPr>
        <w:t xml:space="preserve">rate </w:t>
      </w:r>
      <w:r w:rsidRPr="00E63684">
        <w:rPr>
          <w:rFonts w:ascii="Arial" w:hAnsi="Arial" w:cs="Arial"/>
        </w:rPr>
        <w:t>are calculated relative to the time of seeding. Bars represent mean ± SEM (</w:t>
      </w:r>
      <w:r w:rsidRPr="00E63684">
        <w:rPr>
          <w:rFonts w:ascii="Arial" w:hAnsi="Arial" w:cs="Arial"/>
          <w:i/>
          <w:iCs/>
        </w:rPr>
        <w:t>n</w:t>
      </w:r>
      <w:r w:rsidRPr="00E63684">
        <w:rPr>
          <w:rFonts w:ascii="Arial" w:hAnsi="Arial" w:cs="Arial"/>
        </w:rPr>
        <w:t> = 3). A two</w:t>
      </w:r>
      <w:r w:rsidRPr="00E63684">
        <w:rPr>
          <w:rFonts w:ascii="Cambria Math" w:hAnsi="Cambria Math" w:cs="Cambria Math"/>
        </w:rPr>
        <w:t>‐</w:t>
      </w:r>
      <w:r w:rsidRPr="00E63684">
        <w:rPr>
          <w:rFonts w:ascii="Arial" w:hAnsi="Arial" w:cs="Arial"/>
        </w:rPr>
        <w:t xml:space="preserve">tailed unpaired </w:t>
      </w:r>
      <w:r w:rsidRPr="00E63684">
        <w:rPr>
          <w:rFonts w:ascii="Arial" w:hAnsi="Arial" w:cs="Arial"/>
          <w:i/>
          <w:iCs/>
        </w:rPr>
        <w:t>t</w:t>
      </w:r>
      <w:r w:rsidRPr="00E63684">
        <w:rPr>
          <w:rFonts w:ascii="Cambria Math" w:hAnsi="Cambria Math" w:cs="Cambria Math"/>
        </w:rPr>
        <w:t>‐</w:t>
      </w:r>
      <w:r w:rsidRPr="00E63684">
        <w:rPr>
          <w:rFonts w:ascii="Arial" w:hAnsi="Arial" w:cs="Arial"/>
        </w:rPr>
        <w:t>test was performed. (B) Proliferation rate of A549 CTRL and A549 miR-582-5p OE cells cultured for 96 hours. Fold changes are calculated relative to the time of seeding. Bars represent mean ± SEM (</w:t>
      </w:r>
      <w:r w:rsidRPr="00E63684">
        <w:rPr>
          <w:rFonts w:ascii="Arial" w:hAnsi="Arial" w:cs="Arial"/>
          <w:i/>
          <w:iCs/>
        </w:rPr>
        <w:t>n</w:t>
      </w:r>
      <w:r w:rsidRPr="00E63684">
        <w:rPr>
          <w:rFonts w:ascii="Arial" w:hAnsi="Arial" w:cs="Arial"/>
        </w:rPr>
        <w:t> = 3). A two</w:t>
      </w:r>
      <w:r w:rsidRPr="00E63684">
        <w:rPr>
          <w:rFonts w:ascii="Cambria Math" w:hAnsi="Cambria Math" w:cs="Cambria Math"/>
        </w:rPr>
        <w:t>‐</w:t>
      </w:r>
      <w:r w:rsidRPr="00E63684">
        <w:rPr>
          <w:rFonts w:ascii="Arial" w:hAnsi="Arial" w:cs="Arial"/>
        </w:rPr>
        <w:t xml:space="preserve">tailed unpaired </w:t>
      </w:r>
      <w:r w:rsidRPr="00E63684">
        <w:rPr>
          <w:rFonts w:ascii="Arial" w:hAnsi="Arial" w:cs="Arial"/>
          <w:i/>
          <w:iCs/>
        </w:rPr>
        <w:t>t</w:t>
      </w:r>
      <w:r w:rsidRPr="00E63684">
        <w:rPr>
          <w:rFonts w:ascii="Cambria Math" w:hAnsi="Cambria Math" w:cs="Cambria Math"/>
        </w:rPr>
        <w:t>‐</w:t>
      </w:r>
      <w:r w:rsidRPr="00E63684">
        <w:rPr>
          <w:rFonts w:ascii="Arial" w:hAnsi="Arial" w:cs="Arial"/>
        </w:rPr>
        <w:t>test was performed. (C) Proliferation rate of A549 CTRL and A549 miR-379-3p OE cells cultured for 96 hours. Fold changes are calculated relative to the time of seeding. Bars represent mean ± SEM (</w:t>
      </w:r>
      <w:r w:rsidRPr="00E63684">
        <w:rPr>
          <w:rFonts w:ascii="Arial" w:hAnsi="Arial" w:cs="Arial"/>
          <w:i/>
          <w:iCs/>
        </w:rPr>
        <w:t>n</w:t>
      </w:r>
      <w:r w:rsidRPr="00E63684">
        <w:rPr>
          <w:rFonts w:ascii="Arial" w:hAnsi="Arial" w:cs="Arial"/>
        </w:rPr>
        <w:t> = 3). A two</w:t>
      </w:r>
      <w:r w:rsidRPr="00E63684">
        <w:rPr>
          <w:rFonts w:ascii="Cambria Math" w:hAnsi="Cambria Math" w:cs="Cambria Math"/>
        </w:rPr>
        <w:t>‐</w:t>
      </w:r>
      <w:r w:rsidRPr="00E63684">
        <w:rPr>
          <w:rFonts w:ascii="Arial" w:hAnsi="Arial" w:cs="Arial"/>
        </w:rPr>
        <w:t xml:space="preserve">tailed unpaired </w:t>
      </w:r>
      <w:r w:rsidRPr="00E63684">
        <w:rPr>
          <w:rFonts w:ascii="Arial" w:hAnsi="Arial" w:cs="Arial"/>
          <w:i/>
          <w:iCs/>
        </w:rPr>
        <w:t>t</w:t>
      </w:r>
      <w:r w:rsidRPr="00E63684">
        <w:rPr>
          <w:rFonts w:ascii="Cambria Math" w:hAnsi="Cambria Math" w:cs="Cambria Math"/>
        </w:rPr>
        <w:t>‐</w:t>
      </w:r>
      <w:r w:rsidRPr="00E63684">
        <w:rPr>
          <w:rFonts w:ascii="Arial" w:hAnsi="Arial" w:cs="Arial"/>
        </w:rPr>
        <w:t xml:space="preserve">test was performed. </w:t>
      </w:r>
    </w:p>
    <w:p w14:paraId="36DA2AEB" w14:textId="77777777" w:rsidR="00EF46F4" w:rsidRPr="00E63684" w:rsidRDefault="00EF46F4" w:rsidP="00A75262">
      <w:pPr>
        <w:spacing w:line="480" w:lineRule="auto"/>
        <w:rPr>
          <w:rFonts w:ascii="Arial" w:hAnsi="Arial" w:cs="Arial"/>
        </w:rPr>
      </w:pPr>
    </w:p>
    <w:p w14:paraId="6AAD3A8E" w14:textId="77777777" w:rsidR="00EF46F4" w:rsidRPr="00E63684" w:rsidRDefault="00EF46F4" w:rsidP="00A75262">
      <w:pPr>
        <w:pStyle w:val="MDPI31text"/>
        <w:spacing w:line="480" w:lineRule="auto"/>
        <w:ind w:firstLine="0"/>
        <w:contextualSpacing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  <w:r w:rsidRPr="00E63684">
        <w:rPr>
          <w:rFonts w:ascii="Arial" w:hAnsi="Arial" w:cs="Arial"/>
          <w:b/>
          <w:bCs/>
          <w:color w:val="auto"/>
          <w:spacing w:val="-2"/>
          <w:sz w:val="24"/>
          <w:szCs w:val="24"/>
        </w:rPr>
        <w:t>Supplemental Figure 3 – Role of miR-92b-3p in regulating the migration and invasion of NCI-H1975</w:t>
      </w:r>
    </w:p>
    <w:p w14:paraId="12AC5AD7" w14:textId="46EB26A3" w:rsidR="00EF46F4" w:rsidRPr="00E63684" w:rsidRDefault="00EF46F4" w:rsidP="00A75262">
      <w:pPr>
        <w:spacing w:line="480" w:lineRule="auto"/>
        <w:jc w:val="both"/>
        <w:rPr>
          <w:rFonts w:ascii="Arial" w:eastAsia="Times New Roman" w:hAnsi="Arial" w:cs="Arial"/>
          <w:lang w:eastAsia="it-IT"/>
        </w:rPr>
      </w:pPr>
      <w:r w:rsidRPr="00E63684">
        <w:rPr>
          <w:rFonts w:ascii="Arial" w:hAnsi="Arial" w:cs="Arial"/>
        </w:rPr>
        <w:t xml:space="preserve">(A) </w:t>
      </w:r>
      <w:proofErr w:type="spellStart"/>
      <w:r w:rsidRPr="00E63684">
        <w:rPr>
          <w:rFonts w:ascii="Arial" w:eastAsia="Times New Roman" w:hAnsi="Arial" w:cs="Arial"/>
          <w:lang w:eastAsia="it-IT"/>
        </w:rPr>
        <w:t>qRT</w:t>
      </w:r>
      <w:proofErr w:type="spellEnd"/>
      <w:r w:rsidRPr="00E63684">
        <w:rPr>
          <w:rFonts w:ascii="Arial" w:eastAsia="Times New Roman" w:hAnsi="Arial" w:cs="Arial"/>
          <w:lang w:eastAsia="it-IT"/>
        </w:rPr>
        <w:t>-PCR of the miR-92b-3p expression in NCI-</w:t>
      </w:r>
      <w:r w:rsidR="008D5B5A" w:rsidRPr="00E63684">
        <w:rPr>
          <w:rFonts w:ascii="Arial" w:eastAsia="Times New Roman" w:hAnsi="Arial" w:cs="Arial"/>
          <w:lang w:eastAsia="it-IT"/>
        </w:rPr>
        <w:t xml:space="preserve">H1975 </w:t>
      </w:r>
      <w:r w:rsidRPr="00E63684">
        <w:rPr>
          <w:rFonts w:ascii="Arial" w:eastAsia="Times New Roman" w:hAnsi="Arial" w:cs="Arial"/>
          <w:lang w:eastAsia="it-IT"/>
        </w:rPr>
        <w:t xml:space="preserve">cells transduced with lentiviral vectors overexpressing miR-92b-3p or a not-targeting scramble sequence (CTRL). Data, expressed as normalized </w:t>
      </w:r>
      <w:proofErr w:type="spellStart"/>
      <w:r w:rsidRPr="00E63684">
        <w:rPr>
          <w:rFonts w:ascii="Arial" w:eastAsia="Times New Roman" w:hAnsi="Arial" w:cs="Arial"/>
          <w:lang w:eastAsia="it-IT"/>
        </w:rPr>
        <w:t>Cq</w:t>
      </w:r>
      <w:proofErr w:type="spellEnd"/>
      <w:r w:rsidRPr="00E63684">
        <w:rPr>
          <w:rFonts w:ascii="Arial" w:eastAsia="Times New Roman" w:hAnsi="Arial" w:cs="Arial"/>
          <w:lang w:eastAsia="it-IT"/>
        </w:rPr>
        <w:t xml:space="preserve"> (</w:t>
      </w:r>
      <w:proofErr w:type="spellStart"/>
      <w:r w:rsidRPr="00E63684">
        <w:rPr>
          <w:rFonts w:ascii="Arial" w:eastAsia="Times New Roman" w:hAnsi="Arial" w:cs="Arial"/>
          <w:lang w:eastAsia="it-IT"/>
        </w:rPr>
        <w:t>Cqn</w:t>
      </w:r>
      <w:proofErr w:type="spellEnd"/>
      <w:r w:rsidRPr="00E63684">
        <w:rPr>
          <w:rFonts w:ascii="Arial" w:eastAsia="Times New Roman" w:hAnsi="Arial" w:cs="Arial"/>
          <w:lang w:eastAsia="it-IT"/>
        </w:rPr>
        <w:t>), are mean ± SEM (N = 3). P</w:t>
      </w:r>
      <w:r w:rsidR="00B72A9A" w:rsidRPr="00E63684">
        <w:rPr>
          <w:rFonts w:ascii="Arial" w:eastAsia="Times New Roman" w:hAnsi="Arial" w:cs="Arial"/>
          <w:lang w:eastAsia="it-IT"/>
        </w:rPr>
        <w:t>-</w:t>
      </w:r>
      <w:r w:rsidRPr="00E63684">
        <w:rPr>
          <w:rFonts w:ascii="Arial" w:eastAsia="Times New Roman" w:hAnsi="Arial" w:cs="Arial"/>
          <w:lang w:eastAsia="it-IT"/>
        </w:rPr>
        <w:t xml:space="preserve">value was calculated by unpaired t test with Welch's correction. (B) Left panel: Representative fluorescence image of invading NCI-H1975 miR-92b-3p OE versus CTRL. DAPI (light blue) visualizes nuclei. Scale Bar: </w:t>
      </w:r>
      <w:r w:rsidR="00FC029A" w:rsidRPr="00E63684">
        <w:rPr>
          <w:rFonts w:ascii="Arial" w:eastAsia="Times New Roman" w:hAnsi="Arial" w:cs="Arial"/>
          <w:lang w:eastAsia="it-IT"/>
        </w:rPr>
        <w:t>350</w:t>
      </w:r>
      <w:r w:rsidRPr="00E63684">
        <w:rPr>
          <w:rFonts w:ascii="Arial" w:eastAsia="Times New Roman" w:hAnsi="Arial" w:cs="Arial"/>
          <w:lang w:eastAsia="it-IT"/>
        </w:rPr>
        <w:t xml:space="preserve">µM. Right panel: Bar plot showing the invasion rate of NCI-H1975 miR-92b-3p OE versus CTRL. Data represent mean ± SEM (n=4). P-value was calculated by one sample t-test. (C) Left panel: Representative fluorescence image of migrating NCI-H1975 miR-92b-3p OE versus CTRL. DAPI (light blue) visualizes nuclei. Scale Bar: </w:t>
      </w:r>
      <w:r w:rsidR="00FC029A" w:rsidRPr="00E63684">
        <w:rPr>
          <w:rFonts w:ascii="Arial" w:eastAsia="Times New Roman" w:hAnsi="Arial" w:cs="Arial"/>
          <w:lang w:eastAsia="it-IT"/>
        </w:rPr>
        <w:t>350</w:t>
      </w:r>
      <w:r w:rsidRPr="00E63684">
        <w:rPr>
          <w:rFonts w:ascii="Arial" w:eastAsia="Times New Roman" w:hAnsi="Arial" w:cs="Arial"/>
          <w:lang w:eastAsia="it-IT"/>
        </w:rPr>
        <w:t>µM. Right panel: Bar plot showing the migration rate of NCI-H1975 miR-92b-3p OE versus CTRL. Data represent mean ± SEM (n=5). P-value was calculated by one sample t-test.</w:t>
      </w:r>
    </w:p>
    <w:p w14:paraId="7925AA3E" w14:textId="77777777" w:rsidR="00EF46F4" w:rsidRPr="00E63684" w:rsidRDefault="00EF46F4" w:rsidP="00A75262">
      <w:pPr>
        <w:spacing w:line="480" w:lineRule="auto"/>
        <w:jc w:val="both"/>
        <w:rPr>
          <w:rFonts w:ascii="Arial" w:hAnsi="Arial" w:cs="Arial"/>
          <w:b/>
        </w:rPr>
      </w:pPr>
    </w:p>
    <w:p w14:paraId="3500F8F2" w14:textId="77777777" w:rsidR="00EF46F4" w:rsidRPr="00E63684" w:rsidRDefault="00EF46F4" w:rsidP="00A75262">
      <w:pPr>
        <w:spacing w:line="480" w:lineRule="auto"/>
        <w:jc w:val="both"/>
        <w:rPr>
          <w:rFonts w:ascii="Arial" w:hAnsi="Arial" w:cs="Arial"/>
          <w:b/>
        </w:rPr>
      </w:pPr>
      <w:r w:rsidRPr="00E63684">
        <w:rPr>
          <w:rFonts w:ascii="Arial" w:hAnsi="Arial" w:cs="Arial"/>
          <w:b/>
        </w:rPr>
        <w:t xml:space="preserve">Supplemental Figure 4 – Survival analysis of TGCA-LUAD patients according miR-92b-3p and miR-92a-3p expression </w:t>
      </w:r>
    </w:p>
    <w:p w14:paraId="015B2F77" w14:textId="28F53D15" w:rsidR="00EF46F4" w:rsidRPr="00E63684" w:rsidRDefault="00EF46F4" w:rsidP="00A75262">
      <w:pPr>
        <w:spacing w:line="480" w:lineRule="auto"/>
        <w:jc w:val="both"/>
        <w:rPr>
          <w:rFonts w:ascii="Arial" w:hAnsi="Arial" w:cs="Arial"/>
          <w:bCs/>
        </w:rPr>
      </w:pPr>
      <w:r w:rsidRPr="00E63684">
        <w:rPr>
          <w:rFonts w:ascii="Arial" w:hAnsi="Arial" w:cs="Arial"/>
          <w:bCs/>
        </w:rPr>
        <w:lastRenderedPageBreak/>
        <w:t>(A) Kaplan–Meier curves for 3-years overall survival of TGCA-LUAD patients stratified by high and low miR-92b-3p expression in all stages (left), only stage I (center) and advanced stages (right). Log-rank p-values are shown for high and low miR-92b-3p comparison. (B) Kaplan–Meier curves for 3-years overall survival of TGCA-LUAD patients stratified by high and low miR-92a-3p expression in all stages (left), only stage I (center) and advanced stages (right). Log-rank p-values are shown for high and low miR-92b-3p comparison.</w:t>
      </w:r>
    </w:p>
    <w:p w14:paraId="223889A7" w14:textId="77777777" w:rsidR="00EF46F4" w:rsidRPr="00E63684" w:rsidRDefault="00EF46F4" w:rsidP="00A75262">
      <w:pPr>
        <w:spacing w:line="480" w:lineRule="auto"/>
        <w:rPr>
          <w:rFonts w:ascii="Arial" w:hAnsi="Arial" w:cs="Arial"/>
        </w:rPr>
      </w:pPr>
    </w:p>
    <w:p w14:paraId="6E057F98" w14:textId="77777777" w:rsidR="00EF46F4" w:rsidRPr="00E63684" w:rsidRDefault="00EF46F4" w:rsidP="00A75262">
      <w:pPr>
        <w:pStyle w:val="MDPI31text"/>
        <w:spacing w:line="480" w:lineRule="auto"/>
        <w:ind w:firstLine="0"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  <w:r w:rsidRPr="00E63684">
        <w:rPr>
          <w:rFonts w:ascii="Arial" w:hAnsi="Arial" w:cs="Arial"/>
          <w:b/>
          <w:bCs/>
          <w:color w:val="auto"/>
          <w:spacing w:val="-2"/>
          <w:sz w:val="24"/>
          <w:szCs w:val="24"/>
        </w:rPr>
        <w:t>Supplemental Figure 5 – Analysis of the 15-miRNA signature in a publicly available dataset comparing highly invasive and low invasive A549 human lung adenocarcinoma cells</w:t>
      </w:r>
    </w:p>
    <w:p w14:paraId="63FCCAD6" w14:textId="6E7DF52B" w:rsidR="00EF46F4" w:rsidRPr="00E63684" w:rsidRDefault="00EF46F4" w:rsidP="00A75262">
      <w:pPr>
        <w:pStyle w:val="MDPI31text"/>
        <w:snapToGrid/>
        <w:spacing w:line="480" w:lineRule="auto"/>
        <w:ind w:firstLine="0"/>
        <w:contextualSpacing/>
        <w:rPr>
          <w:rFonts w:ascii="Arial" w:hAnsi="Arial" w:cs="Arial"/>
          <w:color w:val="auto"/>
          <w:spacing w:val="-2"/>
          <w:sz w:val="24"/>
          <w:szCs w:val="24"/>
        </w:rPr>
      </w:pPr>
      <w:r w:rsidRPr="00E63684">
        <w:rPr>
          <w:rFonts w:ascii="Arial" w:hAnsi="Arial" w:cs="Arial"/>
          <w:color w:val="auto"/>
          <w:spacing w:val="-2"/>
          <w:sz w:val="24"/>
          <w:szCs w:val="24"/>
        </w:rPr>
        <w:t xml:space="preserve">Bubble plot showing the enrichment/depletion of 15 miRNA signature in the </w:t>
      </w:r>
      <w:r w:rsidR="00C81D3B" w:rsidRPr="00E63684">
        <w:rPr>
          <w:rFonts w:ascii="Arial" w:hAnsi="Arial" w:cs="Arial"/>
          <w:color w:val="auto"/>
          <w:spacing w:val="-2"/>
          <w:sz w:val="24"/>
          <w:szCs w:val="24"/>
        </w:rPr>
        <w:t>invasive-A549 (INV) vs. bulk cells (Basal)</w:t>
      </w:r>
      <w:r w:rsidRPr="00E63684">
        <w:rPr>
          <w:rFonts w:ascii="Arial" w:hAnsi="Arial" w:cs="Arial"/>
          <w:color w:val="auto"/>
          <w:spacing w:val="-2"/>
          <w:sz w:val="24"/>
          <w:szCs w:val="24"/>
        </w:rPr>
        <w:t xml:space="preserve"> and the relative expression regulation in the GSE47056 dataset. Color and size of the bubbles indicate the log2 ratio and the P-value (-log P-value), respectively.</w:t>
      </w:r>
    </w:p>
    <w:p w14:paraId="7F74B2F0" w14:textId="77777777" w:rsidR="00A75262" w:rsidRPr="00E63684" w:rsidRDefault="00A75262" w:rsidP="00A75262">
      <w:pPr>
        <w:spacing w:line="480" w:lineRule="auto"/>
        <w:rPr>
          <w:rFonts w:ascii="Arial" w:hAnsi="Arial" w:cs="Arial"/>
        </w:rPr>
      </w:pPr>
    </w:p>
    <w:p w14:paraId="3B01A49D" w14:textId="57F5E702" w:rsidR="00A75262" w:rsidRPr="00E63684" w:rsidRDefault="00A75262" w:rsidP="00686A53">
      <w:pPr>
        <w:spacing w:line="480" w:lineRule="auto"/>
        <w:jc w:val="both"/>
        <w:rPr>
          <w:rFonts w:ascii="Arial" w:hAnsi="Arial" w:cs="Arial"/>
          <w:b/>
          <w:bCs/>
        </w:rPr>
      </w:pPr>
      <w:r w:rsidRPr="00E63684">
        <w:rPr>
          <w:rFonts w:ascii="Arial" w:hAnsi="Arial" w:cs="Arial"/>
          <w:b/>
          <w:bCs/>
        </w:rPr>
        <w:t xml:space="preserve">Supplemental Figure </w:t>
      </w:r>
      <w:r w:rsidR="008D5B5A" w:rsidRPr="00E63684">
        <w:rPr>
          <w:rFonts w:ascii="Arial" w:hAnsi="Arial" w:cs="Arial"/>
          <w:b/>
          <w:bCs/>
        </w:rPr>
        <w:t xml:space="preserve">6 </w:t>
      </w:r>
      <w:r w:rsidR="00C660FE" w:rsidRPr="00E63684">
        <w:rPr>
          <w:rFonts w:ascii="Arial" w:hAnsi="Arial" w:cs="Arial"/>
          <w:b/>
          <w:bCs/>
        </w:rPr>
        <w:t>– Gene expression analysis of NOTCH3 in different experimental settings.</w:t>
      </w:r>
    </w:p>
    <w:p w14:paraId="4914E570" w14:textId="53B2788B" w:rsidR="00A75262" w:rsidRPr="00E63684" w:rsidRDefault="008D5B5A" w:rsidP="008D5B5A">
      <w:pPr>
        <w:spacing w:line="480" w:lineRule="auto"/>
        <w:jc w:val="both"/>
        <w:rPr>
          <w:rFonts w:ascii="Arial" w:hAnsi="Arial" w:cs="Arial"/>
        </w:rPr>
      </w:pPr>
      <w:r w:rsidRPr="00E63684">
        <w:rPr>
          <w:rFonts w:ascii="Arial" w:hAnsi="Arial" w:cs="Arial"/>
        </w:rPr>
        <w:t xml:space="preserve">(A) </w:t>
      </w:r>
      <w:r w:rsidR="00381F6C" w:rsidRPr="00E63684">
        <w:rPr>
          <w:rFonts w:ascii="Arial" w:hAnsi="Arial" w:cs="Arial"/>
        </w:rPr>
        <w:t>On the left, fold changes in NOTCH3 and HES4 expression in NCI-H1975 (</w:t>
      </w:r>
      <w:proofErr w:type="spellStart"/>
      <w:r w:rsidR="00381F6C" w:rsidRPr="00E63684">
        <w:rPr>
          <w:rFonts w:ascii="Arial" w:hAnsi="Arial" w:cs="Arial"/>
        </w:rPr>
        <w:t>EGFRmut</w:t>
      </w:r>
      <w:proofErr w:type="spellEnd"/>
      <w:r w:rsidR="00381F6C" w:rsidRPr="00E63684">
        <w:rPr>
          <w:rFonts w:ascii="Arial" w:hAnsi="Arial" w:cs="Arial"/>
        </w:rPr>
        <w:t xml:space="preserve">, T790M) miR-92b-3p OE cells versus NCI-H1975 CTRL cells (see also Supplemental Figure 3A). </w:t>
      </w:r>
      <w:proofErr w:type="spellStart"/>
      <w:r w:rsidR="00381F6C" w:rsidRPr="00E63684">
        <w:rPr>
          <w:rFonts w:ascii="Arial" w:hAnsi="Arial" w:cs="Arial"/>
        </w:rPr>
        <w:t>qRT</w:t>
      </w:r>
      <w:proofErr w:type="spellEnd"/>
      <w:r w:rsidR="00381F6C" w:rsidRPr="00E63684">
        <w:rPr>
          <w:rFonts w:ascii="Arial" w:hAnsi="Arial" w:cs="Arial"/>
        </w:rPr>
        <w:t>–PCR data represent the mean ± SEM (</w:t>
      </w:r>
      <w:r w:rsidR="00381F6C" w:rsidRPr="00E63684">
        <w:rPr>
          <w:rFonts w:ascii="Arial" w:hAnsi="Arial" w:cs="Arial"/>
          <w:i/>
          <w:iCs/>
        </w:rPr>
        <w:t>n</w:t>
      </w:r>
      <w:r w:rsidR="00381F6C" w:rsidRPr="00E63684">
        <w:rPr>
          <w:rFonts w:ascii="Arial" w:hAnsi="Arial" w:cs="Arial"/>
        </w:rPr>
        <w:t xml:space="preserve"> = 3). P-value was computed by using one sample T-test. On the right, immunoblot analysis of NOTCH3 in NCI-H1975 miR-92b-3p OE cells versus CTRL. </w:t>
      </w:r>
      <w:r w:rsidR="00381F6C" w:rsidRPr="00E63684">
        <w:rPr>
          <w:rFonts w:ascii="beta" w:hAnsi="beta" w:cs="Arial"/>
        </w:rPr>
        <w:t>β</w:t>
      </w:r>
      <w:r w:rsidR="00381F6C" w:rsidRPr="00E63684">
        <w:rPr>
          <w:rFonts w:ascii="Arial" w:hAnsi="Arial" w:cs="Arial"/>
        </w:rPr>
        <w:t xml:space="preserve">-Tubulin was used as loading control. FL: full length NOTCH3; NTM: NOTCH3 transmembrane fragment. Results are representative of three independent observations. </w:t>
      </w:r>
      <w:r w:rsidR="0006116A" w:rsidRPr="00E63684">
        <w:rPr>
          <w:rFonts w:ascii="Arial" w:hAnsi="Arial" w:cs="Arial"/>
        </w:rPr>
        <w:t xml:space="preserve">(B) </w:t>
      </w:r>
      <w:r w:rsidR="00381F6C" w:rsidRPr="00E63684">
        <w:rPr>
          <w:rFonts w:ascii="Arial" w:hAnsi="Arial" w:cs="Arial"/>
        </w:rPr>
        <w:t xml:space="preserve">On the left, </w:t>
      </w:r>
      <w:proofErr w:type="spellStart"/>
      <w:r w:rsidR="00381F6C" w:rsidRPr="00E63684">
        <w:rPr>
          <w:rFonts w:ascii="Arial" w:hAnsi="Arial" w:cs="Arial"/>
        </w:rPr>
        <w:t>qRT</w:t>
      </w:r>
      <w:proofErr w:type="spellEnd"/>
      <w:r w:rsidR="00381F6C" w:rsidRPr="00E63684">
        <w:rPr>
          <w:rFonts w:ascii="Arial" w:hAnsi="Arial" w:cs="Arial"/>
        </w:rPr>
        <w:t xml:space="preserve">–PCR analysis </w:t>
      </w:r>
      <w:r w:rsidR="00381F6C" w:rsidRPr="00E63684">
        <w:rPr>
          <w:rFonts w:ascii="Arial" w:eastAsia="Times New Roman" w:hAnsi="Arial" w:cs="Arial"/>
          <w:lang w:eastAsia="it-IT"/>
        </w:rPr>
        <w:t xml:space="preserve">of the miR-92b-3p expression in </w:t>
      </w:r>
      <w:r w:rsidR="00381F6C" w:rsidRPr="00E63684">
        <w:rPr>
          <w:rFonts w:ascii="Arial" w:hAnsi="Arial" w:cs="Arial"/>
        </w:rPr>
        <w:t xml:space="preserve">NCI-H1944 </w:t>
      </w:r>
      <w:r w:rsidR="00381F6C" w:rsidRPr="00E63684">
        <w:rPr>
          <w:rFonts w:ascii="Arial" w:eastAsia="Times New Roman" w:hAnsi="Arial" w:cs="Arial"/>
          <w:lang w:eastAsia="it-IT"/>
        </w:rPr>
        <w:t xml:space="preserve">cells </w:t>
      </w:r>
      <w:r w:rsidR="00381F6C" w:rsidRPr="00E63684">
        <w:rPr>
          <w:rFonts w:ascii="Arial" w:hAnsi="Arial" w:cs="Arial"/>
        </w:rPr>
        <w:t>(</w:t>
      </w:r>
      <w:proofErr w:type="spellStart"/>
      <w:r w:rsidR="00381F6C" w:rsidRPr="00E63684">
        <w:rPr>
          <w:rFonts w:ascii="Arial" w:hAnsi="Arial" w:cs="Arial"/>
        </w:rPr>
        <w:t>KRASmut</w:t>
      </w:r>
      <w:proofErr w:type="spellEnd"/>
      <w:r w:rsidR="00381F6C" w:rsidRPr="00E63684">
        <w:rPr>
          <w:rFonts w:ascii="Arial" w:hAnsi="Arial" w:cs="Arial"/>
        </w:rPr>
        <w:t>, G13N)</w:t>
      </w:r>
      <w:r w:rsidR="00381F6C" w:rsidRPr="00E63684">
        <w:rPr>
          <w:rFonts w:ascii="Arial" w:eastAsia="Times New Roman" w:hAnsi="Arial" w:cs="Arial"/>
          <w:lang w:eastAsia="it-IT"/>
        </w:rPr>
        <w:t xml:space="preserve"> transduced with lentiviral vectors overexpressing miR-92b-3p or a not-targeting scramble sequence (CTRL). Data, expressed as normalized </w:t>
      </w:r>
      <w:proofErr w:type="spellStart"/>
      <w:r w:rsidR="00381F6C" w:rsidRPr="00E63684">
        <w:rPr>
          <w:rFonts w:ascii="Arial" w:eastAsia="Times New Roman" w:hAnsi="Arial" w:cs="Arial"/>
          <w:lang w:eastAsia="it-IT"/>
        </w:rPr>
        <w:t>Cq</w:t>
      </w:r>
      <w:proofErr w:type="spellEnd"/>
      <w:r w:rsidR="00381F6C" w:rsidRPr="00E63684">
        <w:rPr>
          <w:rFonts w:ascii="Arial" w:eastAsia="Times New Roman" w:hAnsi="Arial" w:cs="Arial"/>
          <w:lang w:eastAsia="it-IT"/>
        </w:rPr>
        <w:t xml:space="preserve"> (</w:t>
      </w:r>
      <w:proofErr w:type="spellStart"/>
      <w:r w:rsidR="00381F6C" w:rsidRPr="00E63684">
        <w:rPr>
          <w:rFonts w:ascii="Arial" w:eastAsia="Times New Roman" w:hAnsi="Arial" w:cs="Arial"/>
          <w:lang w:eastAsia="it-IT"/>
        </w:rPr>
        <w:t>Cqn</w:t>
      </w:r>
      <w:proofErr w:type="spellEnd"/>
      <w:r w:rsidR="00381F6C" w:rsidRPr="00E63684">
        <w:rPr>
          <w:rFonts w:ascii="Arial" w:eastAsia="Times New Roman" w:hAnsi="Arial" w:cs="Arial"/>
          <w:lang w:eastAsia="it-IT"/>
        </w:rPr>
        <w:t xml:space="preserve">), </w:t>
      </w:r>
      <w:r w:rsidR="00381F6C" w:rsidRPr="00E63684">
        <w:rPr>
          <w:rFonts w:ascii="Arial" w:eastAsia="Times New Roman" w:hAnsi="Arial" w:cs="Arial"/>
          <w:lang w:eastAsia="it-IT"/>
        </w:rPr>
        <w:lastRenderedPageBreak/>
        <w:t>are mean ± SEM (N = 3). P-value was calculated by unpaired t test with Welch's correction. On the right,</w:t>
      </w:r>
      <w:r w:rsidR="00381F6C" w:rsidRPr="00E63684">
        <w:rPr>
          <w:rFonts w:ascii="Arial" w:hAnsi="Arial" w:cs="Arial"/>
        </w:rPr>
        <w:t xml:space="preserve"> fold changes in NOTCH3 and HES4 expression in NCI-H1944 miR-92b-3p OE cells versus NCI-H1944 CTRL cells. </w:t>
      </w:r>
      <w:proofErr w:type="spellStart"/>
      <w:r w:rsidR="00381F6C" w:rsidRPr="00E63684">
        <w:rPr>
          <w:rFonts w:ascii="Arial" w:hAnsi="Arial" w:cs="Arial"/>
        </w:rPr>
        <w:t>qRT</w:t>
      </w:r>
      <w:proofErr w:type="spellEnd"/>
      <w:r w:rsidR="00381F6C" w:rsidRPr="00E63684">
        <w:rPr>
          <w:rFonts w:ascii="Arial" w:hAnsi="Arial" w:cs="Arial"/>
        </w:rPr>
        <w:t>–PCR data represent the mean ± SEM (</w:t>
      </w:r>
      <w:r w:rsidR="00381F6C" w:rsidRPr="00E63684">
        <w:rPr>
          <w:rFonts w:ascii="Arial" w:hAnsi="Arial" w:cs="Arial"/>
          <w:i/>
          <w:iCs/>
        </w:rPr>
        <w:t>n</w:t>
      </w:r>
      <w:r w:rsidR="00381F6C" w:rsidRPr="00E63684">
        <w:rPr>
          <w:rFonts w:ascii="Arial" w:hAnsi="Arial" w:cs="Arial"/>
        </w:rPr>
        <w:t xml:space="preserve"> = 3). P-value was computed by using one sample T-test. </w:t>
      </w:r>
      <w:r w:rsidR="00A75262" w:rsidRPr="00E63684">
        <w:rPr>
          <w:rFonts w:ascii="Arial" w:hAnsi="Arial" w:cs="Arial"/>
        </w:rPr>
        <w:t>(</w:t>
      </w:r>
      <w:r w:rsidR="0006116A" w:rsidRPr="00E63684">
        <w:rPr>
          <w:rFonts w:ascii="Arial" w:hAnsi="Arial" w:cs="Arial"/>
        </w:rPr>
        <w:t>C</w:t>
      </w:r>
      <w:r w:rsidR="00A75262" w:rsidRPr="00E63684">
        <w:rPr>
          <w:rFonts w:ascii="Arial" w:hAnsi="Arial" w:cs="Arial"/>
        </w:rPr>
        <w:t xml:space="preserve">) </w:t>
      </w:r>
      <w:r w:rsidR="001D60D1" w:rsidRPr="00E63684">
        <w:rPr>
          <w:rFonts w:ascii="Arial" w:hAnsi="Arial" w:cs="Arial"/>
        </w:rPr>
        <w:t xml:space="preserve">On the left, </w:t>
      </w:r>
      <w:proofErr w:type="spellStart"/>
      <w:r w:rsidR="001D60D1" w:rsidRPr="00E63684">
        <w:rPr>
          <w:rFonts w:ascii="Arial" w:hAnsi="Arial" w:cs="Arial"/>
        </w:rPr>
        <w:t>qRT</w:t>
      </w:r>
      <w:proofErr w:type="spellEnd"/>
      <w:r w:rsidR="001D60D1" w:rsidRPr="00E63684">
        <w:rPr>
          <w:rFonts w:ascii="Arial" w:hAnsi="Arial" w:cs="Arial"/>
        </w:rPr>
        <w:t xml:space="preserve">–PCR analysis </w:t>
      </w:r>
      <w:r w:rsidR="001D60D1" w:rsidRPr="00E63684">
        <w:rPr>
          <w:rFonts w:ascii="Arial" w:eastAsia="Times New Roman" w:hAnsi="Arial" w:cs="Arial"/>
          <w:lang w:eastAsia="it-IT"/>
        </w:rPr>
        <w:t xml:space="preserve">of the miR-92b-3p expression in </w:t>
      </w:r>
      <w:r w:rsidR="001D60D1" w:rsidRPr="00E63684">
        <w:rPr>
          <w:rFonts w:ascii="Arial" w:hAnsi="Arial" w:cs="Arial"/>
        </w:rPr>
        <w:t xml:space="preserve">NCI-H838 </w:t>
      </w:r>
      <w:r w:rsidR="001D60D1" w:rsidRPr="00E63684">
        <w:rPr>
          <w:rFonts w:ascii="Arial" w:eastAsia="Times New Roman" w:hAnsi="Arial" w:cs="Arial"/>
          <w:lang w:eastAsia="it-IT"/>
        </w:rPr>
        <w:t xml:space="preserve">cells (KRAS and EGFR wild-type) transduced with lentiviral vectors overexpressing miR-92b-3p or a not-targeting scramble sequence (CTRL). Data, expressed as normalized </w:t>
      </w:r>
      <w:proofErr w:type="spellStart"/>
      <w:r w:rsidR="001D60D1" w:rsidRPr="00E63684">
        <w:rPr>
          <w:rFonts w:ascii="Arial" w:eastAsia="Times New Roman" w:hAnsi="Arial" w:cs="Arial"/>
          <w:lang w:eastAsia="it-IT"/>
        </w:rPr>
        <w:t>Cq</w:t>
      </w:r>
      <w:proofErr w:type="spellEnd"/>
      <w:r w:rsidR="001D60D1" w:rsidRPr="00E63684">
        <w:rPr>
          <w:rFonts w:ascii="Arial" w:eastAsia="Times New Roman" w:hAnsi="Arial" w:cs="Arial"/>
          <w:lang w:eastAsia="it-IT"/>
        </w:rPr>
        <w:t xml:space="preserve"> (</w:t>
      </w:r>
      <w:proofErr w:type="spellStart"/>
      <w:r w:rsidR="001D60D1" w:rsidRPr="00E63684">
        <w:rPr>
          <w:rFonts w:ascii="Arial" w:eastAsia="Times New Roman" w:hAnsi="Arial" w:cs="Arial"/>
          <w:lang w:eastAsia="it-IT"/>
        </w:rPr>
        <w:t>Cqn</w:t>
      </w:r>
      <w:proofErr w:type="spellEnd"/>
      <w:r w:rsidR="001D60D1" w:rsidRPr="00E63684">
        <w:rPr>
          <w:rFonts w:ascii="Arial" w:eastAsia="Times New Roman" w:hAnsi="Arial" w:cs="Arial"/>
          <w:lang w:eastAsia="it-IT"/>
        </w:rPr>
        <w:t>), are mean ± SEM (N = 3). P-value was calculated by unpaired t test with Welch's correction. On the right,</w:t>
      </w:r>
      <w:r w:rsidR="001D60D1" w:rsidRPr="00E63684">
        <w:rPr>
          <w:rFonts w:ascii="Arial" w:hAnsi="Arial" w:cs="Arial"/>
        </w:rPr>
        <w:t xml:space="preserve"> fold changes in NOTCH3 and HES4 expression in NCI-H838 miR-92b-3p OE cells versus NCI-H838 CTRL cells. </w:t>
      </w:r>
      <w:proofErr w:type="spellStart"/>
      <w:r w:rsidR="001D60D1" w:rsidRPr="00E63684">
        <w:rPr>
          <w:rFonts w:ascii="Arial" w:hAnsi="Arial" w:cs="Arial"/>
        </w:rPr>
        <w:t>qRT</w:t>
      </w:r>
      <w:proofErr w:type="spellEnd"/>
      <w:r w:rsidR="001D60D1" w:rsidRPr="00E63684">
        <w:rPr>
          <w:rFonts w:ascii="Arial" w:hAnsi="Arial" w:cs="Arial"/>
        </w:rPr>
        <w:t>–PCR data represent the mean ± SEM (</w:t>
      </w:r>
      <w:r w:rsidR="001D60D1" w:rsidRPr="00E63684">
        <w:rPr>
          <w:rFonts w:ascii="Arial" w:hAnsi="Arial" w:cs="Arial"/>
          <w:i/>
          <w:iCs/>
        </w:rPr>
        <w:t>n</w:t>
      </w:r>
      <w:r w:rsidR="001D60D1" w:rsidRPr="00E63684">
        <w:rPr>
          <w:rFonts w:ascii="Arial" w:hAnsi="Arial" w:cs="Arial"/>
        </w:rPr>
        <w:t xml:space="preserve"> = 3). P-value was computed by using one sample T-test. </w:t>
      </w:r>
    </w:p>
    <w:p w14:paraId="5033560F" w14:textId="40D110E2" w:rsidR="008D5B5A" w:rsidRPr="00E63684" w:rsidRDefault="008D5B5A" w:rsidP="008D5B5A">
      <w:pPr>
        <w:spacing w:line="480" w:lineRule="auto"/>
        <w:jc w:val="both"/>
        <w:rPr>
          <w:rFonts w:ascii="Arial" w:hAnsi="Arial" w:cs="Arial"/>
        </w:rPr>
      </w:pPr>
    </w:p>
    <w:p w14:paraId="3ACDDC69" w14:textId="043B4983" w:rsidR="008D5B5A" w:rsidRPr="00E63684" w:rsidRDefault="008D5B5A" w:rsidP="008D5B5A">
      <w:pPr>
        <w:spacing w:after="200" w:line="480" w:lineRule="auto"/>
        <w:contextualSpacing/>
        <w:rPr>
          <w:rFonts w:ascii="Arial" w:hAnsi="Arial" w:cs="Arial"/>
        </w:rPr>
      </w:pPr>
      <w:r w:rsidRPr="00E63684">
        <w:rPr>
          <w:rFonts w:ascii="Arial" w:hAnsi="Arial" w:cs="Arial"/>
          <w:b/>
          <w:bCs/>
        </w:rPr>
        <w:t>Supplemental Figure 7 – Histological staining and pathologist annotations of spatial transcriptomic slides from LUAD patients.</w:t>
      </w:r>
    </w:p>
    <w:p w14:paraId="068D6896" w14:textId="77777777" w:rsidR="008D5B5A" w:rsidRPr="00E63684" w:rsidRDefault="008D5B5A" w:rsidP="008D5B5A">
      <w:pPr>
        <w:spacing w:line="480" w:lineRule="auto"/>
        <w:contextualSpacing/>
        <w:jc w:val="both"/>
        <w:rPr>
          <w:rFonts w:ascii="Arial" w:hAnsi="Arial" w:cs="Arial"/>
        </w:rPr>
      </w:pPr>
      <w:r w:rsidRPr="00E63684">
        <w:rPr>
          <w:rFonts w:ascii="Arial" w:hAnsi="Arial" w:cs="Arial"/>
        </w:rPr>
        <w:t xml:space="preserve">(A) Hematoxylin and eosin (H&amp;E) staining of tumor tissues on the 10x </w:t>
      </w:r>
      <w:proofErr w:type="spellStart"/>
      <w:r w:rsidRPr="00E63684">
        <w:rPr>
          <w:rFonts w:ascii="Arial" w:hAnsi="Arial" w:cs="Arial"/>
        </w:rPr>
        <w:t>Visium</w:t>
      </w:r>
      <w:proofErr w:type="spellEnd"/>
      <w:r w:rsidRPr="00E63684">
        <w:rPr>
          <w:rFonts w:ascii="Arial" w:hAnsi="Arial" w:cs="Arial"/>
        </w:rPr>
        <w:t xml:space="preserve"> capture slides from patient#1 (top), patient#2 (center) and patient#3 (bottom).  (B)  Pathologist annotation of spots captured with 10x </w:t>
      </w:r>
      <w:proofErr w:type="spellStart"/>
      <w:r w:rsidRPr="00E63684">
        <w:rPr>
          <w:rFonts w:ascii="Arial" w:hAnsi="Arial" w:cs="Arial"/>
        </w:rPr>
        <w:t>Visium</w:t>
      </w:r>
      <w:proofErr w:type="spellEnd"/>
      <w:r w:rsidRPr="00E63684">
        <w:rPr>
          <w:rFonts w:ascii="Arial" w:hAnsi="Arial" w:cs="Arial"/>
        </w:rPr>
        <w:t xml:space="preserve"> capture slides from patient#1 (top), patient#2 (center) and patient#3 (bottom).   </w:t>
      </w:r>
    </w:p>
    <w:p w14:paraId="1FF54E6D" w14:textId="77777777" w:rsidR="00382FD7" w:rsidRPr="00E63684" w:rsidRDefault="00382FD7" w:rsidP="008D5B5A">
      <w:pPr>
        <w:spacing w:line="480" w:lineRule="auto"/>
        <w:contextualSpacing/>
        <w:jc w:val="both"/>
        <w:rPr>
          <w:rFonts w:ascii="Arial" w:hAnsi="Arial" w:cs="Arial"/>
        </w:rPr>
      </w:pPr>
    </w:p>
    <w:p w14:paraId="4B38613C" w14:textId="34830FA9" w:rsidR="00C76D59" w:rsidRPr="00E63684" w:rsidRDefault="00C76D59" w:rsidP="00C76D59">
      <w:pPr>
        <w:spacing w:line="480" w:lineRule="auto"/>
        <w:jc w:val="both"/>
        <w:rPr>
          <w:rFonts w:ascii="Arial" w:hAnsi="Arial" w:cs="Arial"/>
        </w:rPr>
      </w:pPr>
      <w:r w:rsidRPr="00E63684">
        <w:rPr>
          <w:rFonts w:ascii="Arial" w:hAnsi="Arial" w:cs="Arial"/>
          <w:b/>
          <w:bCs/>
        </w:rPr>
        <w:t>Supplemental Figure 8</w:t>
      </w:r>
    </w:p>
    <w:p w14:paraId="2C345C02" w14:textId="1B21CE2B" w:rsidR="00C76D59" w:rsidRPr="0010356B" w:rsidRDefault="00C76D59" w:rsidP="00C76D59">
      <w:pPr>
        <w:spacing w:line="480" w:lineRule="auto"/>
        <w:jc w:val="both"/>
        <w:rPr>
          <w:rFonts w:ascii="Arial" w:hAnsi="Arial" w:cs="Arial"/>
        </w:rPr>
      </w:pPr>
      <w:r w:rsidRPr="00E63684">
        <w:rPr>
          <w:rFonts w:ascii="Arial" w:hAnsi="Arial" w:cs="Arial"/>
        </w:rPr>
        <w:t>(A) Box plot analysis showing the expression of NOTCH3 gene in the TCGA-LUAD cohort of samples. Y-axes, Log2 normalized counts</w:t>
      </w:r>
      <w:r w:rsidR="002E3FEA" w:rsidRPr="00E63684">
        <w:rPr>
          <w:rFonts w:ascii="Arial" w:hAnsi="Arial" w:cs="Arial"/>
        </w:rPr>
        <w:t>;</w:t>
      </w:r>
      <w:r w:rsidRPr="00E63684">
        <w:rPr>
          <w:rFonts w:ascii="Arial" w:hAnsi="Arial" w:cs="Arial"/>
        </w:rPr>
        <w:t xml:space="preserve"> X-axes, samples categories defined by the median of expression of miR-92b-3p in the samples of the cohort (i.e. High- miR-92b-3p ≥ median; Low- &lt; median). P-value was calculated using Wald Test.</w:t>
      </w:r>
      <w:r w:rsidR="00763560" w:rsidRPr="00E63684">
        <w:rPr>
          <w:rFonts w:ascii="Arial" w:hAnsi="Arial" w:cs="Arial"/>
        </w:rPr>
        <w:t xml:space="preserve"> </w:t>
      </w:r>
      <w:r w:rsidR="00763560" w:rsidRPr="00E63684">
        <w:rPr>
          <w:rFonts w:ascii="Arial" w:hAnsi="Arial" w:cs="Arial"/>
          <w:color w:val="000000" w:themeColor="text1"/>
        </w:rPr>
        <w:t xml:space="preserve">(B) </w:t>
      </w:r>
      <w:r w:rsidR="00861F56" w:rsidRPr="00E63684">
        <w:rPr>
          <w:rFonts w:ascii="Arial" w:hAnsi="Arial" w:cs="Arial"/>
          <w:color w:val="000000" w:themeColor="text1"/>
        </w:rPr>
        <w:t>ATXN1 and CPEB3 expression</w:t>
      </w:r>
      <w:r w:rsidR="002E3FEA" w:rsidRPr="00E63684">
        <w:rPr>
          <w:rFonts w:ascii="Arial" w:hAnsi="Arial" w:cs="Arial"/>
          <w:color w:val="000000" w:themeColor="text1"/>
        </w:rPr>
        <w:t xml:space="preserve"> profile analysis (RNA-seq) </w:t>
      </w:r>
      <w:r w:rsidR="00861F56" w:rsidRPr="00E63684">
        <w:rPr>
          <w:rFonts w:ascii="Arial" w:hAnsi="Arial" w:cs="Arial"/>
          <w:color w:val="000000" w:themeColor="text1"/>
        </w:rPr>
        <w:t xml:space="preserve">upon miR-92b-3p OE in </w:t>
      </w:r>
      <w:r w:rsidR="002E3FEA" w:rsidRPr="00E63684">
        <w:rPr>
          <w:rFonts w:ascii="Arial" w:hAnsi="Arial" w:cs="Arial"/>
          <w:color w:val="000000" w:themeColor="text1"/>
        </w:rPr>
        <w:t xml:space="preserve">A549 cells and A549 CTRL cells. </w:t>
      </w:r>
      <w:r w:rsidR="002E3FEA" w:rsidRPr="00E63684">
        <w:rPr>
          <w:rFonts w:ascii="Arial" w:hAnsi="Arial" w:cs="Arial"/>
        </w:rPr>
        <w:t>Y-axes, Log2 normalized counts; X-axes, samples categories</w:t>
      </w:r>
      <w:r w:rsidR="00A643F6" w:rsidRPr="00E63684">
        <w:rPr>
          <w:rFonts w:ascii="Arial" w:hAnsi="Arial" w:cs="Arial"/>
        </w:rPr>
        <w:t xml:space="preserve"> as per the legend. P-value was calculated using Wald Test.</w:t>
      </w:r>
    </w:p>
    <w:p w14:paraId="4E584AA4" w14:textId="77777777" w:rsidR="00C76D59" w:rsidRPr="0010356B" w:rsidRDefault="00C76D59" w:rsidP="008D5B5A">
      <w:pPr>
        <w:spacing w:line="480" w:lineRule="auto"/>
        <w:contextualSpacing/>
        <w:jc w:val="both"/>
        <w:rPr>
          <w:rFonts w:ascii="Arial" w:hAnsi="Arial" w:cs="Arial"/>
        </w:rPr>
      </w:pPr>
    </w:p>
    <w:p w14:paraId="2F818C36" w14:textId="77777777" w:rsidR="008D5B5A" w:rsidRPr="0010356B" w:rsidRDefault="008D5B5A" w:rsidP="008D5B5A">
      <w:pPr>
        <w:spacing w:line="480" w:lineRule="auto"/>
        <w:jc w:val="both"/>
        <w:rPr>
          <w:rFonts w:ascii="Arial" w:hAnsi="Arial" w:cs="Arial"/>
        </w:rPr>
      </w:pPr>
    </w:p>
    <w:p w14:paraId="41B2E1B0" w14:textId="77777777" w:rsidR="00EF46F4" w:rsidRPr="0010356B" w:rsidRDefault="00EF46F4" w:rsidP="00A75262">
      <w:pPr>
        <w:spacing w:line="480" w:lineRule="auto"/>
        <w:rPr>
          <w:rFonts w:ascii="Arial" w:hAnsi="Arial" w:cs="Arial"/>
          <w:sz w:val="20"/>
          <w:szCs w:val="20"/>
        </w:rPr>
      </w:pPr>
    </w:p>
    <w:p w14:paraId="501C7A34" w14:textId="77777777" w:rsidR="00EF46F4" w:rsidRPr="0010356B" w:rsidRDefault="00EF46F4" w:rsidP="00A75262">
      <w:pPr>
        <w:spacing w:line="480" w:lineRule="auto"/>
        <w:rPr>
          <w:rFonts w:ascii="Arial" w:hAnsi="Arial" w:cs="Arial"/>
        </w:rPr>
      </w:pPr>
    </w:p>
    <w:sectPr w:rsidR="00EF46F4" w:rsidRPr="0010356B" w:rsidSect="00EF46F4">
      <w:pgSz w:w="11901" w:h="16840" w:code="1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eta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7F51"/>
    <w:multiLevelType w:val="hybridMultilevel"/>
    <w:tmpl w:val="57B2A59E"/>
    <w:lvl w:ilvl="0" w:tplc="7E22403A">
      <w:start w:val="1"/>
      <w:numFmt w:val="upperLetter"/>
      <w:lvlText w:val="(%1)"/>
      <w:lvlJc w:val="left"/>
      <w:pPr>
        <w:ind w:left="800" w:hanging="4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07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F4"/>
    <w:rsid w:val="00005804"/>
    <w:rsid w:val="00006BFF"/>
    <w:rsid w:val="00015FB0"/>
    <w:rsid w:val="000236FA"/>
    <w:rsid w:val="00034431"/>
    <w:rsid w:val="000440C8"/>
    <w:rsid w:val="0006116A"/>
    <w:rsid w:val="000801EA"/>
    <w:rsid w:val="00092C44"/>
    <w:rsid w:val="00097974"/>
    <w:rsid w:val="0010328C"/>
    <w:rsid w:val="0010356B"/>
    <w:rsid w:val="00126952"/>
    <w:rsid w:val="00146193"/>
    <w:rsid w:val="0015016E"/>
    <w:rsid w:val="00163B32"/>
    <w:rsid w:val="00164746"/>
    <w:rsid w:val="001C48D2"/>
    <w:rsid w:val="001D60D1"/>
    <w:rsid w:val="002229CE"/>
    <w:rsid w:val="00244BC8"/>
    <w:rsid w:val="00251CB8"/>
    <w:rsid w:val="0025526D"/>
    <w:rsid w:val="00271D6D"/>
    <w:rsid w:val="00273A53"/>
    <w:rsid w:val="00295ABA"/>
    <w:rsid w:val="002B632C"/>
    <w:rsid w:val="002E3FEA"/>
    <w:rsid w:val="002F4D4A"/>
    <w:rsid w:val="002F5C0D"/>
    <w:rsid w:val="003000DC"/>
    <w:rsid w:val="00302521"/>
    <w:rsid w:val="003264E4"/>
    <w:rsid w:val="00334307"/>
    <w:rsid w:val="0037064A"/>
    <w:rsid w:val="003762FE"/>
    <w:rsid w:val="00381A17"/>
    <w:rsid w:val="00381F6C"/>
    <w:rsid w:val="00382FD7"/>
    <w:rsid w:val="003862CC"/>
    <w:rsid w:val="003A00DD"/>
    <w:rsid w:val="003A1133"/>
    <w:rsid w:val="003B249D"/>
    <w:rsid w:val="003C5208"/>
    <w:rsid w:val="003F3E3C"/>
    <w:rsid w:val="00402C33"/>
    <w:rsid w:val="00403D99"/>
    <w:rsid w:val="0044557C"/>
    <w:rsid w:val="00465CCA"/>
    <w:rsid w:val="004761F8"/>
    <w:rsid w:val="00483CE5"/>
    <w:rsid w:val="004B0BCE"/>
    <w:rsid w:val="004B2D6F"/>
    <w:rsid w:val="004C5FB1"/>
    <w:rsid w:val="004D3337"/>
    <w:rsid w:val="004E285B"/>
    <w:rsid w:val="00521C3E"/>
    <w:rsid w:val="005408C1"/>
    <w:rsid w:val="005612B0"/>
    <w:rsid w:val="005742FE"/>
    <w:rsid w:val="0058193E"/>
    <w:rsid w:val="005B01A9"/>
    <w:rsid w:val="005C3BD2"/>
    <w:rsid w:val="005D2FE9"/>
    <w:rsid w:val="005D7FE0"/>
    <w:rsid w:val="00602877"/>
    <w:rsid w:val="00604C10"/>
    <w:rsid w:val="006264FB"/>
    <w:rsid w:val="00627992"/>
    <w:rsid w:val="00632746"/>
    <w:rsid w:val="006354F3"/>
    <w:rsid w:val="00643DAA"/>
    <w:rsid w:val="00650277"/>
    <w:rsid w:val="0066306B"/>
    <w:rsid w:val="006668B0"/>
    <w:rsid w:val="00686A53"/>
    <w:rsid w:val="00691148"/>
    <w:rsid w:val="006E4462"/>
    <w:rsid w:val="006E6807"/>
    <w:rsid w:val="00705CEA"/>
    <w:rsid w:val="0073120F"/>
    <w:rsid w:val="0074304A"/>
    <w:rsid w:val="00763560"/>
    <w:rsid w:val="007B5AC9"/>
    <w:rsid w:val="007B5C0C"/>
    <w:rsid w:val="007D3A76"/>
    <w:rsid w:val="007D6508"/>
    <w:rsid w:val="0080324D"/>
    <w:rsid w:val="00807817"/>
    <w:rsid w:val="0083002B"/>
    <w:rsid w:val="00833BA2"/>
    <w:rsid w:val="008366F9"/>
    <w:rsid w:val="0084341A"/>
    <w:rsid w:val="008517ED"/>
    <w:rsid w:val="00861F56"/>
    <w:rsid w:val="00895E77"/>
    <w:rsid w:val="00896686"/>
    <w:rsid w:val="00896D66"/>
    <w:rsid w:val="008C2090"/>
    <w:rsid w:val="008C23C6"/>
    <w:rsid w:val="008C5674"/>
    <w:rsid w:val="008D5B5A"/>
    <w:rsid w:val="009076B9"/>
    <w:rsid w:val="009357FF"/>
    <w:rsid w:val="0094613B"/>
    <w:rsid w:val="00951022"/>
    <w:rsid w:val="009777B0"/>
    <w:rsid w:val="00985115"/>
    <w:rsid w:val="00985D11"/>
    <w:rsid w:val="009918D2"/>
    <w:rsid w:val="009B71AB"/>
    <w:rsid w:val="009E2D7F"/>
    <w:rsid w:val="009F16F7"/>
    <w:rsid w:val="00A018F5"/>
    <w:rsid w:val="00A06664"/>
    <w:rsid w:val="00A46C02"/>
    <w:rsid w:val="00A5367D"/>
    <w:rsid w:val="00A643F6"/>
    <w:rsid w:val="00A738C9"/>
    <w:rsid w:val="00A75262"/>
    <w:rsid w:val="00A86BB6"/>
    <w:rsid w:val="00AE6DD3"/>
    <w:rsid w:val="00B1121B"/>
    <w:rsid w:val="00B20C8D"/>
    <w:rsid w:val="00B4673F"/>
    <w:rsid w:val="00B51F14"/>
    <w:rsid w:val="00B5493B"/>
    <w:rsid w:val="00B60CBE"/>
    <w:rsid w:val="00B72A9A"/>
    <w:rsid w:val="00B769F6"/>
    <w:rsid w:val="00B93521"/>
    <w:rsid w:val="00B96889"/>
    <w:rsid w:val="00BD7A4D"/>
    <w:rsid w:val="00BF331C"/>
    <w:rsid w:val="00BF5A96"/>
    <w:rsid w:val="00C07748"/>
    <w:rsid w:val="00C129E1"/>
    <w:rsid w:val="00C60E00"/>
    <w:rsid w:val="00C660FE"/>
    <w:rsid w:val="00C7285D"/>
    <w:rsid w:val="00C76D59"/>
    <w:rsid w:val="00C80301"/>
    <w:rsid w:val="00C81D3B"/>
    <w:rsid w:val="00C87561"/>
    <w:rsid w:val="00CB4862"/>
    <w:rsid w:val="00CB49B6"/>
    <w:rsid w:val="00CE144D"/>
    <w:rsid w:val="00D058C0"/>
    <w:rsid w:val="00D1208E"/>
    <w:rsid w:val="00D73E4B"/>
    <w:rsid w:val="00D84FB8"/>
    <w:rsid w:val="00D95BAB"/>
    <w:rsid w:val="00DA339D"/>
    <w:rsid w:val="00DA7727"/>
    <w:rsid w:val="00DB6B08"/>
    <w:rsid w:val="00DE7109"/>
    <w:rsid w:val="00DF5FF8"/>
    <w:rsid w:val="00DF68EB"/>
    <w:rsid w:val="00E0669B"/>
    <w:rsid w:val="00E15EB4"/>
    <w:rsid w:val="00E36AC4"/>
    <w:rsid w:val="00E56425"/>
    <w:rsid w:val="00E63684"/>
    <w:rsid w:val="00E85DFE"/>
    <w:rsid w:val="00E964CF"/>
    <w:rsid w:val="00EA0969"/>
    <w:rsid w:val="00EA1591"/>
    <w:rsid w:val="00EB3C52"/>
    <w:rsid w:val="00EC70F5"/>
    <w:rsid w:val="00EE6C2F"/>
    <w:rsid w:val="00EF46F4"/>
    <w:rsid w:val="00F0343A"/>
    <w:rsid w:val="00F04A65"/>
    <w:rsid w:val="00F261C8"/>
    <w:rsid w:val="00F35AB0"/>
    <w:rsid w:val="00F473E8"/>
    <w:rsid w:val="00FA060A"/>
    <w:rsid w:val="00FB3B98"/>
    <w:rsid w:val="00FC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61A013"/>
  <w15:chartTrackingRefBased/>
  <w15:docId w15:val="{A2715E2F-8391-9444-8272-5B93F24E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26952"/>
  </w:style>
  <w:style w:type="character" w:customStyle="1" w:styleId="Heading1Char">
    <w:name w:val="Heading 1 Char"/>
    <w:basedOn w:val="DefaultParagraphFont"/>
    <w:link w:val="Heading1"/>
    <w:uiPriority w:val="9"/>
    <w:rsid w:val="00EF46F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F4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F4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F4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F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F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F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F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F46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F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F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F46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F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F4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F4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F46F4"/>
    <w:rPr>
      <w:b/>
      <w:bCs/>
      <w:smallCaps/>
      <w:color w:val="2F5496" w:themeColor="accent1" w:themeShade="BF"/>
      <w:spacing w:val="5"/>
    </w:rPr>
  </w:style>
  <w:style w:type="paragraph" w:customStyle="1" w:styleId="MDPI31text">
    <w:name w:val="MDPI_3.1_text"/>
    <w:qFormat/>
    <w:rsid w:val="00EF46F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75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2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26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262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D5B5A"/>
    <w:rPr>
      <w:lang w:val="en-US"/>
    </w:rPr>
  </w:style>
  <w:style w:type="paragraph" w:styleId="NormalWeb">
    <w:name w:val="Normal (Web)"/>
    <w:basedOn w:val="Normal"/>
    <w:uiPriority w:val="99"/>
    <w:unhideWhenUsed/>
    <w:rsid w:val="0010356B"/>
    <w:pPr>
      <w:spacing w:before="100" w:beforeAutospacing="1" w:after="100" w:afterAutospacing="1" w:line="360" w:lineRule="auto"/>
      <w:ind w:firstLine="709"/>
      <w:jc w:val="both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1254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Bianchi</dc:creator>
  <cp:keywords/>
  <dc:description/>
  <cp:lastModifiedBy>Fabrizio Bianchi</cp:lastModifiedBy>
  <cp:revision>2</cp:revision>
  <dcterms:created xsi:type="dcterms:W3CDTF">2026-03-09T14:42:00Z</dcterms:created>
  <dcterms:modified xsi:type="dcterms:W3CDTF">2026-03-09T14:42:00Z</dcterms:modified>
</cp:coreProperties>
</file>