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Arial Bold" w:hAnsi="Arial Bold" w:cs="Arial Bold" w:eastAsiaTheme="minorEastAsia"/>
          <w:b/>
          <w:bCs/>
          <w:sz w:val="24"/>
          <w:szCs w:val="28"/>
          <w:highlight w:val="none"/>
          <w:lang w:val="en-US" w:eastAsia="zh-CN"/>
        </w:rPr>
      </w:pPr>
      <w:r>
        <w:rPr>
          <w:rFonts w:hint="eastAsia" w:ascii="Arial Bold" w:hAnsi="Arial Bold" w:cs="Arial Bold" w:eastAsiaTheme="minorEastAsia"/>
          <w:b/>
          <w:bCs/>
          <w:sz w:val="24"/>
          <w:szCs w:val="28"/>
          <w:highlight w:val="none"/>
          <w:lang w:val="en-US" w:eastAsia="zh-CN"/>
        </w:rPr>
        <w:drawing>
          <wp:inline distT="0" distB="0" distL="114300" distR="114300">
            <wp:extent cx="4004945" cy="3039110"/>
            <wp:effectExtent l="0" t="0" r="8255" b="8890"/>
            <wp:docPr id="2" name="图片 2" descr="资源 1@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资源 1@4x"/>
                    <pic:cNvPicPr>
                      <a:picLocks noChangeAspect="1"/>
                    </pic:cNvPicPr>
                  </pic:nvPicPr>
                  <pic:blipFill>
                    <a:blip r:embed="rId5"/>
                    <a:stretch>
                      <a:fillRect/>
                    </a:stretch>
                  </pic:blipFill>
                  <pic:spPr>
                    <a:xfrm>
                      <a:off x="0" y="0"/>
                      <a:ext cx="4004945" cy="3039110"/>
                    </a:xfrm>
                    <a:prstGeom prst="rect">
                      <a:avLst/>
                    </a:prstGeom>
                  </pic:spPr>
                </pic:pic>
              </a:graphicData>
            </a:graphic>
          </wp:inline>
        </w:drawing>
      </w:r>
    </w:p>
    <w:p>
      <w:pPr>
        <w:spacing w:line="480" w:lineRule="auto"/>
        <w:rPr>
          <w:rFonts w:hint="eastAsia" w:ascii="Arial Bold" w:hAnsi="Arial Bold" w:cs="Arial Bold"/>
          <w:b/>
          <w:bCs/>
          <w:sz w:val="24"/>
          <w:szCs w:val="28"/>
          <w:highlight w:val="none"/>
          <w:lang w:val="en-US"/>
        </w:rPr>
      </w:pPr>
      <w:r>
        <w:rPr>
          <w:rFonts w:hint="eastAsia" w:ascii="Arial Bold" w:hAnsi="Arial Bold" w:cs="Arial Bold"/>
          <w:b/>
          <w:bCs/>
          <w:sz w:val="24"/>
          <w:szCs w:val="28"/>
          <w:highlight w:val="none"/>
          <w:lang w:val="en-US"/>
        </w:rPr>
        <w:t xml:space="preserve">Supplementary figure 1. </w:t>
      </w:r>
      <w:r>
        <w:rPr>
          <w:rFonts w:hint="eastAsia" w:ascii="Arial Bold" w:hAnsi="Arial Bold" w:cs="Arial Bold"/>
          <w:b/>
          <w:bCs/>
          <w:sz w:val="24"/>
          <w:szCs w:val="28"/>
          <w:highlight w:val="none"/>
          <w:lang w:val="en-US" w:eastAsia="zh-CN"/>
        </w:rPr>
        <w:t>Validation of P1705434 targeted protein expression in HK2 cell line</w:t>
      </w:r>
      <w:r>
        <w:rPr>
          <w:rFonts w:hint="eastAsia" w:ascii="Arial Bold" w:hAnsi="Arial Bold" w:cs="Arial Bold"/>
          <w:b/>
          <w:bCs/>
          <w:sz w:val="24"/>
          <w:szCs w:val="28"/>
          <w:highlight w:val="none"/>
          <w:lang w:val="en-US"/>
        </w:rPr>
        <w:t>.</w:t>
      </w:r>
    </w:p>
    <w:p>
      <w:pPr>
        <w:spacing w:line="480" w:lineRule="auto"/>
        <w:rPr>
          <w:rFonts w:hint="eastAsia" w:ascii="Arial Regular" w:hAnsi="Arial Regular" w:cs="Arial Regular"/>
          <w:sz w:val="24"/>
          <w:szCs w:val="28"/>
          <w:highlight w:val="none"/>
          <w:lang w:val="en-US"/>
        </w:rPr>
      </w:pPr>
      <w:r>
        <w:rPr>
          <w:rFonts w:hint="eastAsia" w:ascii="Arial Regular" w:hAnsi="Arial Regular" w:cs="Arial Regular"/>
          <w:sz w:val="24"/>
          <w:szCs w:val="28"/>
          <w:highlight w:val="none"/>
          <w:lang w:val="en-US"/>
        </w:rPr>
        <w:t>(</w:t>
      </w:r>
      <w:r>
        <w:rPr>
          <w:rFonts w:hint="eastAsia" w:ascii="Arial Regular" w:hAnsi="Arial Regular" w:cs="Arial Regular"/>
          <w:sz w:val="24"/>
          <w:szCs w:val="28"/>
          <w:highlight w:val="none"/>
          <w:lang w:val="en-US" w:eastAsia="zh-CN"/>
        </w:rPr>
        <w:t>A</w:t>
      </w:r>
      <w:r>
        <w:rPr>
          <w:rFonts w:hint="eastAsia" w:ascii="Arial Regular" w:hAnsi="Arial Regular" w:cs="Arial Regular"/>
          <w:sz w:val="24"/>
          <w:szCs w:val="28"/>
          <w:highlight w:val="none"/>
          <w:lang w:val="en-US"/>
        </w:rPr>
        <w:t>) Wes</w:t>
      </w:r>
      <w:r>
        <w:rPr>
          <w:rFonts w:hint="default" w:ascii="Arial Regular" w:hAnsi="Arial Regular" w:cs="Arial Regular"/>
          <w:sz w:val="24"/>
          <w:szCs w:val="28"/>
          <w:highlight w:val="none"/>
          <w:lang w:val="en-US"/>
        </w:rPr>
        <w:t>tern blot analyses of P1705434 targeted protein expression and quantification of (</w:t>
      </w:r>
      <w:r>
        <w:rPr>
          <w:rFonts w:hint="eastAsia" w:ascii="Arial Regular" w:hAnsi="Arial Regular" w:cs="Arial Regular"/>
          <w:sz w:val="24"/>
          <w:szCs w:val="28"/>
          <w:highlight w:val="none"/>
          <w:lang w:val="en-US" w:eastAsia="zh-CN"/>
        </w:rPr>
        <w:t>B</w:t>
      </w:r>
      <w:r>
        <w:rPr>
          <w:rFonts w:hint="default" w:ascii="Arial Regular" w:hAnsi="Arial Regular" w:cs="Arial Regular"/>
          <w:sz w:val="24"/>
          <w:szCs w:val="28"/>
          <w:highlight w:val="none"/>
          <w:lang w:val="en-US"/>
        </w:rPr>
        <w:t>) HIF-1α, (</w:t>
      </w:r>
      <w:r>
        <w:rPr>
          <w:rFonts w:hint="eastAsia" w:ascii="Arial Regular" w:hAnsi="Arial Regular" w:cs="Arial Regular"/>
          <w:sz w:val="24"/>
          <w:szCs w:val="28"/>
          <w:highlight w:val="none"/>
          <w:lang w:val="en-US" w:eastAsia="zh-CN"/>
        </w:rPr>
        <w:t>C</w:t>
      </w:r>
      <w:r>
        <w:rPr>
          <w:rFonts w:hint="default" w:ascii="Arial Regular" w:hAnsi="Arial Regular" w:cs="Arial Regular"/>
          <w:sz w:val="24"/>
          <w:szCs w:val="28"/>
          <w:highlight w:val="none"/>
          <w:lang w:val="en-US"/>
        </w:rPr>
        <w:t>) HIF-2α</w:t>
      </w:r>
      <w:r>
        <w:rPr>
          <w:rFonts w:hint="eastAsia" w:ascii="Arial Regular" w:hAnsi="Arial Regular" w:cs="Arial Regular"/>
          <w:sz w:val="24"/>
          <w:szCs w:val="28"/>
          <w:highlight w:val="none"/>
          <w:lang w:val="en-US" w:eastAsia="zh-CN"/>
        </w:rPr>
        <w:t xml:space="preserve"> and </w:t>
      </w:r>
      <w:r>
        <w:rPr>
          <w:rFonts w:hint="default" w:ascii="Arial Regular" w:hAnsi="Arial Regular" w:cs="Arial Regular"/>
          <w:sz w:val="24"/>
          <w:szCs w:val="28"/>
          <w:highlight w:val="none"/>
          <w:lang w:val="en-US"/>
        </w:rPr>
        <w:t>(</w:t>
      </w:r>
      <w:r>
        <w:rPr>
          <w:rFonts w:hint="eastAsia" w:ascii="Arial Regular" w:hAnsi="Arial Regular" w:cs="Arial Regular"/>
          <w:sz w:val="24"/>
          <w:szCs w:val="28"/>
          <w:highlight w:val="none"/>
          <w:lang w:val="en-US" w:eastAsia="zh-CN"/>
        </w:rPr>
        <w:t>D</w:t>
      </w:r>
      <w:r>
        <w:rPr>
          <w:rFonts w:hint="default" w:ascii="Arial Regular" w:hAnsi="Arial Regular" w:cs="Arial Regular"/>
          <w:sz w:val="24"/>
          <w:szCs w:val="28"/>
          <w:highlight w:val="none"/>
          <w:lang w:val="en-US"/>
        </w:rPr>
        <w:t xml:space="preserve">) </w:t>
      </w:r>
      <w:r>
        <w:rPr>
          <w:rFonts w:hint="eastAsia" w:ascii="Arial Regular" w:hAnsi="Arial Regular" w:cs="Arial Regular"/>
          <w:sz w:val="24"/>
          <w:szCs w:val="28"/>
          <w:highlight w:val="none"/>
          <w:lang w:val="en-US"/>
        </w:rPr>
        <w:t>Smad3 in cisplatin treated HK-2 cell (n = 3). Data are means ± SD, *P &lt; 0.05, **P &lt; 0.01, ***P &lt; 0.001.</w:t>
      </w:r>
    </w:p>
    <w:p>
      <w:pPr>
        <w:rPr>
          <w:rStyle w:val="17"/>
          <w:rFonts w:hint="eastAsia" w:eastAsiaTheme="minorEastAsia"/>
          <w:highlight w:val="none"/>
          <w:lang w:val="en-US" w:eastAsia="zh-CN"/>
        </w:rPr>
      </w:pPr>
      <w:r>
        <w:rPr>
          <w:rStyle w:val="17"/>
          <w:rFonts w:hint="eastAsia" w:eastAsiaTheme="minorEastAsia"/>
          <w:highlight w:val="none"/>
          <w:lang w:val="en-US" w:eastAsia="zh-CN"/>
        </w:rPr>
        <w:br w:type="page"/>
      </w:r>
    </w:p>
    <w:p>
      <w:pPr>
        <w:jc w:val="center"/>
        <w:rPr>
          <w:rStyle w:val="17"/>
          <w:rFonts w:hint="eastAsia" w:eastAsiaTheme="minorEastAsia"/>
          <w:highlight w:val="none"/>
          <w:lang w:val="en-US" w:eastAsia="zh-CN"/>
        </w:rPr>
      </w:pPr>
      <w:r>
        <w:rPr>
          <w:rStyle w:val="17"/>
          <w:rFonts w:hint="eastAsia" w:eastAsiaTheme="minorEastAsia"/>
          <w:highlight w:val="none"/>
          <w:lang w:val="en-US" w:eastAsia="zh-CN"/>
        </w:rPr>
        <w:drawing>
          <wp:inline distT="0" distB="0" distL="114300" distR="114300">
            <wp:extent cx="6322695" cy="7588250"/>
            <wp:effectExtent l="0" t="0" r="1905" b="6350"/>
            <wp:docPr id="3" name="图片 3"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2"/>
                    <pic:cNvPicPr>
                      <a:picLocks noChangeAspect="1"/>
                    </pic:cNvPicPr>
                  </pic:nvPicPr>
                  <pic:blipFill>
                    <a:blip r:embed="rId6"/>
                    <a:stretch>
                      <a:fillRect/>
                    </a:stretch>
                  </pic:blipFill>
                  <pic:spPr>
                    <a:xfrm>
                      <a:off x="0" y="0"/>
                      <a:ext cx="6322695" cy="7588250"/>
                    </a:xfrm>
                    <a:prstGeom prst="rect">
                      <a:avLst/>
                    </a:prstGeom>
                  </pic:spPr>
                </pic:pic>
              </a:graphicData>
            </a:graphic>
          </wp:inline>
        </w:drawing>
      </w:r>
    </w:p>
    <w:p>
      <w:pPr>
        <w:numPr>
          <w:ilvl w:val="255"/>
          <w:numId w:val="0"/>
        </w:numPr>
        <w:spacing w:line="480" w:lineRule="auto"/>
        <w:rPr>
          <w:rFonts w:hint="default" w:ascii="Arial Regular" w:hAnsi="Arial Regular" w:cs="Arial Regular"/>
          <w:sz w:val="24"/>
          <w:szCs w:val="28"/>
          <w:highlight w:val="none"/>
          <w:lang w:val="en-US" w:eastAsia="zh-CN"/>
        </w:rPr>
      </w:pPr>
      <w:r>
        <w:rPr>
          <w:rFonts w:hint="default" w:ascii="Arial Bold" w:hAnsi="Arial Bold" w:cs="Arial Bold"/>
          <w:b/>
          <w:bCs/>
          <w:sz w:val="24"/>
          <w:szCs w:val="28"/>
          <w:highlight w:val="none"/>
          <w:lang w:val="en-US" w:eastAsia="zh-CN"/>
        </w:rPr>
        <w:t>Supplementary Figure 2. Comparable efficacy of P1705434 and SIS3+FG-4592 combination therapy in FAN mice.</w:t>
      </w:r>
      <w:r>
        <w:rPr>
          <w:rFonts w:hint="default" w:ascii="Arial Regular" w:hAnsi="Arial Regular" w:cs="Arial Regular"/>
          <w:sz w:val="24"/>
          <w:szCs w:val="28"/>
          <w:highlight w:val="none"/>
          <w:lang w:val="en-US" w:eastAsia="zh-CN"/>
        </w:rPr>
        <w:t xml:space="preserve"> </w:t>
      </w:r>
    </w:p>
    <w:p>
      <w:pPr>
        <w:numPr>
          <w:ilvl w:val="255"/>
          <w:numId w:val="0"/>
        </w:numPr>
        <w:spacing w:line="480" w:lineRule="auto"/>
        <w:rPr>
          <w:rFonts w:ascii="Arial Regular" w:hAnsi="Arial Regular" w:cs="Arial Regular"/>
          <w:sz w:val="24"/>
          <w:szCs w:val="28"/>
          <w:highlight w:val="none"/>
          <w:lang w:val="en-US"/>
        </w:rPr>
      </w:pPr>
      <w:r>
        <w:rPr>
          <w:rFonts w:hint="default" w:ascii="Arial Regular" w:hAnsi="Arial Regular" w:cs="Arial Regular"/>
          <w:sz w:val="24"/>
          <w:szCs w:val="28"/>
          <w:highlight w:val="none"/>
          <w:lang w:val="en-US" w:eastAsia="zh-CN"/>
        </w:rPr>
        <w:t>(A) Schematic of the experimental design for the comparative study in the FAN model. Renal function was evaluated with (B, C) Cystatin C, (D, E) serum creatinine and (F, G) BUN at day2 and day28 (n=8). (H) Representative images of Masson’s trichrome staining at day 28. (I) Representative IHC staining image of α-SMA among indicated groups at day 28. (J) Quantification of positive area of Masson’s trichrome and (K) α-SMA positive area at day 28. (n = 6). (L) Representative western blots showing protein levels of Smad3, HIF-2α, and α-tubulin at the indicated time points after drug removal. Quantification of (M) HIF-2α and (N) Smad3 protein levels were normalized to α-tubulin (n=3). FA = folic acid. Data are means ± SD, *P &lt; 0.05, **P &lt; 0.01, ***P &lt; 0.001, ****P &lt; 0.0001. Scale bars: 100 μm.</w:t>
      </w:r>
    </w:p>
    <w:p>
      <w:pPr>
        <w:rPr>
          <w:rStyle w:val="17"/>
          <w:highlight w:val="none"/>
          <w:lang w:val="en-US"/>
        </w:rPr>
      </w:pPr>
      <w:r>
        <w:rPr>
          <w:rStyle w:val="17"/>
          <w:highlight w:val="none"/>
          <w:lang w:val="en-US"/>
        </w:rPr>
        <w:br w:type="page"/>
      </w:r>
      <w:bookmarkStart w:id="0" w:name="_GoBack"/>
      <w:bookmarkEnd w:id="0"/>
    </w:p>
    <w:p>
      <w:pPr>
        <w:numPr>
          <w:ilvl w:val="255"/>
          <w:numId w:val="0"/>
        </w:numPr>
        <w:spacing w:line="480" w:lineRule="auto"/>
        <w:jc w:val="center"/>
        <w:rPr>
          <w:rStyle w:val="17"/>
          <w:rFonts w:hint="eastAsia" w:eastAsiaTheme="minorEastAsia"/>
          <w:highlight w:val="none"/>
          <w:lang w:val="en-US" w:eastAsia="zh-CN"/>
        </w:rPr>
      </w:pPr>
      <w:r>
        <w:rPr>
          <w:rStyle w:val="17"/>
          <w:rFonts w:hint="eastAsia" w:eastAsiaTheme="minorEastAsia"/>
          <w:highlight w:val="none"/>
          <w:lang w:val="en-US" w:eastAsia="zh-CN"/>
        </w:rPr>
        <w:drawing>
          <wp:inline distT="0" distB="0" distL="114300" distR="114300">
            <wp:extent cx="5494020" cy="2179320"/>
            <wp:effectExtent l="0" t="0" r="17780" b="5080"/>
            <wp:docPr id="4" name="图片 4" descr="FigS3@4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3@4x"/>
                    <pic:cNvPicPr>
                      <a:picLocks noChangeAspect="1"/>
                    </pic:cNvPicPr>
                  </pic:nvPicPr>
                  <pic:blipFill>
                    <a:blip r:embed="rId7"/>
                    <a:stretch>
                      <a:fillRect/>
                    </a:stretch>
                  </pic:blipFill>
                  <pic:spPr>
                    <a:xfrm>
                      <a:off x="0" y="0"/>
                      <a:ext cx="5494020" cy="2179320"/>
                    </a:xfrm>
                    <a:prstGeom prst="rect">
                      <a:avLst/>
                    </a:prstGeom>
                  </pic:spPr>
                </pic:pic>
              </a:graphicData>
            </a:graphic>
          </wp:inline>
        </w:drawing>
      </w:r>
    </w:p>
    <w:p>
      <w:pPr>
        <w:spacing w:line="480" w:lineRule="auto"/>
        <w:rPr>
          <w:rStyle w:val="17"/>
          <w:rFonts w:hint="eastAsia" w:ascii="Arial Bold" w:hAnsi="Arial Bold" w:cs="Arial Bold"/>
          <w:b/>
          <w:bCs/>
          <w:highlight w:val="none"/>
          <w:lang w:val="en-US"/>
        </w:rPr>
      </w:pPr>
      <w:r>
        <w:rPr>
          <w:rFonts w:ascii="Arial Bold" w:hAnsi="Arial Bold" w:cs="Arial Bold"/>
          <w:b/>
          <w:bCs/>
          <w:sz w:val="24"/>
          <w:szCs w:val="28"/>
          <w:highlight w:val="none"/>
        </w:rPr>
        <w:t>Supplementa</w:t>
      </w:r>
      <w:r>
        <w:rPr>
          <w:rFonts w:hint="eastAsia" w:ascii="Arial Bold" w:hAnsi="Arial Bold" w:cs="Arial Bold"/>
          <w:b/>
          <w:bCs/>
          <w:sz w:val="24"/>
          <w:szCs w:val="28"/>
          <w:highlight w:val="none"/>
        </w:rPr>
        <w:t>ry</w:t>
      </w:r>
      <w:r>
        <w:rPr>
          <w:rFonts w:hint="eastAsia" w:ascii="Arial Bold" w:hAnsi="Arial Bold" w:cs="Arial Bold"/>
          <w:b/>
          <w:bCs/>
          <w:sz w:val="24"/>
          <w:szCs w:val="28"/>
          <w:highlight w:val="none"/>
          <w:lang w:val="en-US"/>
        </w:rPr>
        <w:t xml:space="preserve"> F</w:t>
      </w:r>
      <w:r>
        <w:rPr>
          <w:rFonts w:ascii="Arial Bold" w:hAnsi="Arial Bold" w:cs="Arial Bold"/>
          <w:b/>
          <w:bCs/>
          <w:sz w:val="24"/>
          <w:szCs w:val="28"/>
          <w:highlight w:val="none"/>
        </w:rPr>
        <w:t>igure</w:t>
      </w:r>
      <w:r>
        <w:rPr>
          <w:rFonts w:hint="eastAsia" w:ascii="Arial Bold" w:hAnsi="Arial Bold" w:cs="Arial Bold"/>
          <w:b/>
          <w:bCs/>
          <w:sz w:val="24"/>
          <w:szCs w:val="28"/>
          <w:highlight w:val="none"/>
          <w:lang w:val="en-US"/>
        </w:rPr>
        <w:t xml:space="preserve"> </w:t>
      </w:r>
      <w:r>
        <w:rPr>
          <w:rFonts w:hint="eastAsia" w:ascii="Arial Bold" w:hAnsi="Arial Bold" w:cs="Arial Bold"/>
          <w:b/>
          <w:bCs/>
          <w:sz w:val="24"/>
          <w:szCs w:val="28"/>
          <w:highlight w:val="none"/>
          <w:lang w:val="en-US" w:eastAsia="zh-CN"/>
        </w:rPr>
        <w:t>3</w:t>
      </w:r>
      <w:r>
        <w:rPr>
          <w:rFonts w:ascii="Arial Bold" w:hAnsi="Arial Bold" w:cs="Arial Bold"/>
          <w:b/>
          <w:bCs/>
          <w:sz w:val="24"/>
          <w:szCs w:val="28"/>
          <w:highlight w:val="none"/>
        </w:rPr>
        <w:t>.</w:t>
      </w:r>
      <w:r>
        <w:rPr>
          <w:rFonts w:hint="eastAsia" w:ascii="Arial Bold" w:hAnsi="Arial Bold" w:cs="Arial Bold"/>
          <w:b/>
          <w:bCs/>
          <w:sz w:val="24"/>
          <w:szCs w:val="28"/>
          <w:highlight w:val="none"/>
          <w:lang w:val="en-US"/>
        </w:rPr>
        <w:t xml:space="preserve"> </w:t>
      </w:r>
      <w:r>
        <w:rPr>
          <w:rFonts w:ascii="Arial Bold" w:hAnsi="Arial Bold" w:cs="Arial Bold"/>
          <w:b/>
          <w:bCs/>
          <w:sz w:val="24"/>
          <w:szCs w:val="28"/>
          <w:highlight w:val="none"/>
        </w:rPr>
        <w:t>CD cells have the potential to differentiate into fibroblasts</w:t>
      </w:r>
      <w:r>
        <w:rPr>
          <w:rFonts w:ascii="Arial Bold" w:hAnsi="Arial Bold" w:cs="Arial Bold"/>
          <w:b/>
          <w:bCs/>
          <w:sz w:val="24"/>
          <w:szCs w:val="28"/>
          <w:highlight w:val="none"/>
          <w:lang w:val="en-US"/>
        </w:rPr>
        <w:t>.</w:t>
      </w:r>
    </w:p>
    <w:p>
      <w:pPr>
        <w:numPr>
          <w:ilvl w:val="255"/>
          <w:numId w:val="0"/>
        </w:numPr>
        <w:spacing w:line="480" w:lineRule="auto"/>
        <w:rPr>
          <w:rFonts w:hint="eastAsia"/>
          <w:highlight w:val="none"/>
          <w:lang w:val="en-US"/>
        </w:rPr>
      </w:pPr>
      <w:r>
        <w:rPr>
          <w:rFonts w:ascii="Arial Regular" w:hAnsi="Arial Regular" w:cs="Arial Regular"/>
          <w:sz w:val="24"/>
          <w:szCs w:val="28"/>
          <w:highlight w:val="none"/>
        </w:rPr>
        <w:t>(</w:t>
      </w:r>
      <w:r>
        <w:rPr>
          <w:rFonts w:hint="eastAsia" w:ascii="Arial Regular" w:hAnsi="Arial Regular" w:cs="Arial Regular"/>
          <w:b/>
          <w:bCs/>
          <w:sz w:val="24"/>
          <w:szCs w:val="28"/>
          <w:highlight w:val="none"/>
          <w:lang w:val="en-US"/>
        </w:rPr>
        <w:t>A</w:t>
      </w:r>
      <w:r>
        <w:rPr>
          <w:rFonts w:ascii="Arial Regular" w:hAnsi="Arial Regular" w:cs="Arial Regular"/>
          <w:sz w:val="24"/>
          <w:szCs w:val="28"/>
          <w:highlight w:val="none"/>
        </w:rPr>
        <w:t>) Stemness of all cells as determined by CytoTRACE analysis.</w:t>
      </w:r>
      <w:r>
        <w:rPr>
          <w:rFonts w:hint="eastAsia" w:ascii="Arial Regular" w:hAnsi="Arial Regular" w:cs="Arial Regular"/>
          <w:sz w:val="24"/>
          <w:szCs w:val="28"/>
          <w:highlight w:val="none"/>
          <w:lang w:val="en-US"/>
        </w:rPr>
        <w:t xml:space="preserve"> (</w:t>
      </w:r>
      <w:r>
        <w:rPr>
          <w:rFonts w:hint="eastAsia" w:ascii="Arial Regular" w:hAnsi="Arial Regular" w:cs="Arial Regular"/>
          <w:b/>
          <w:bCs/>
          <w:sz w:val="24"/>
          <w:szCs w:val="28"/>
          <w:highlight w:val="none"/>
          <w:lang w:val="en-US"/>
        </w:rPr>
        <w:t>B</w:t>
      </w:r>
      <w:r>
        <w:rPr>
          <w:rFonts w:hint="eastAsia" w:ascii="Arial Regular" w:hAnsi="Arial Regular" w:cs="Arial Regular"/>
          <w:sz w:val="24"/>
          <w:szCs w:val="28"/>
          <w:highlight w:val="none"/>
          <w:lang w:val="en-US"/>
        </w:rPr>
        <w:t>) The UMAP of collecting duct cells as determined by CytoTRACE analysis.</w:t>
      </w:r>
      <w:r>
        <w:rPr>
          <w:rFonts w:ascii="Arial Regular" w:hAnsi="Arial Regular" w:cs="Arial Regular"/>
          <w:sz w:val="24"/>
          <w:szCs w:val="28"/>
          <w:highlight w:val="none"/>
        </w:rPr>
        <w:t xml:space="preserve"> </w:t>
      </w:r>
    </w:p>
    <w:p>
      <w:pPr>
        <w:rPr>
          <w:rFonts w:hint="eastAsia"/>
          <w:highlight w:val="none"/>
          <w:lang w:val="en-US"/>
        </w:rPr>
      </w:pPr>
      <w:r>
        <w:rPr>
          <w:rFonts w:hint="eastAsia"/>
          <w:highlight w:val="none"/>
          <w:lang w:val="en-US"/>
        </w:rPr>
        <w:br w:type="page"/>
      </w:r>
    </w:p>
    <w:p>
      <w:pPr>
        <w:rPr>
          <w:rFonts w:hint="eastAsia"/>
          <w:highlight w:val="none"/>
          <w:lang w:val="en-US"/>
        </w:rPr>
      </w:pPr>
      <w:r>
        <w:rPr>
          <w:rFonts w:hint="eastAsia"/>
          <w:highlight w:val="none"/>
          <w:lang w:val="en-US"/>
        </w:rPr>
        <w:drawing>
          <wp:inline distT="0" distB="0" distL="114300" distR="114300">
            <wp:extent cx="5840095" cy="4564380"/>
            <wp:effectExtent l="0" t="0" r="1905" b="7620"/>
            <wp:docPr id="1" name="图片 1" descr="FigureS1_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S1_nc"/>
                    <pic:cNvPicPr>
                      <a:picLocks noChangeAspect="1"/>
                    </pic:cNvPicPr>
                  </pic:nvPicPr>
                  <pic:blipFill>
                    <a:blip r:embed="rId8"/>
                    <a:stretch>
                      <a:fillRect/>
                    </a:stretch>
                  </pic:blipFill>
                  <pic:spPr>
                    <a:xfrm>
                      <a:off x="0" y="0"/>
                      <a:ext cx="5840095" cy="4564380"/>
                    </a:xfrm>
                    <a:prstGeom prst="rect">
                      <a:avLst/>
                    </a:prstGeom>
                  </pic:spPr>
                </pic:pic>
              </a:graphicData>
            </a:graphic>
          </wp:inline>
        </w:drawing>
      </w:r>
    </w:p>
    <w:p>
      <w:pPr>
        <w:spacing w:line="480" w:lineRule="auto"/>
        <w:rPr>
          <w:rFonts w:hint="eastAsia" w:ascii="Arial Bold" w:hAnsi="Arial Bold" w:cs="Arial Bold"/>
          <w:b/>
          <w:bCs/>
          <w:sz w:val="24"/>
          <w:szCs w:val="28"/>
          <w:highlight w:val="none"/>
          <w:lang w:val="en-US"/>
        </w:rPr>
      </w:pPr>
      <w:r>
        <w:rPr>
          <w:rFonts w:hint="eastAsia" w:ascii="Arial Bold" w:hAnsi="Arial Bold" w:cs="Arial Bold"/>
          <w:b/>
          <w:bCs/>
          <w:sz w:val="24"/>
          <w:szCs w:val="28"/>
          <w:highlight w:val="none"/>
          <w:lang w:val="en-US"/>
        </w:rPr>
        <w:t xml:space="preserve">Supplementary figure </w:t>
      </w:r>
      <w:r>
        <w:rPr>
          <w:rFonts w:hint="eastAsia" w:ascii="Arial Bold" w:hAnsi="Arial Bold" w:cs="Arial Bold"/>
          <w:b/>
          <w:bCs/>
          <w:sz w:val="24"/>
          <w:szCs w:val="28"/>
          <w:highlight w:val="none"/>
          <w:lang w:val="en-US" w:eastAsia="zh-CN"/>
        </w:rPr>
        <w:t>4</w:t>
      </w:r>
      <w:r>
        <w:rPr>
          <w:rFonts w:hint="eastAsia" w:ascii="Arial Bold" w:hAnsi="Arial Bold" w:cs="Arial Bold"/>
          <w:b/>
          <w:bCs/>
          <w:sz w:val="24"/>
          <w:szCs w:val="28"/>
          <w:highlight w:val="none"/>
          <w:lang w:val="en-US"/>
        </w:rPr>
        <w:t>. Mechanism of VHL-recruiting PROTAC in AKI mice kidney.</w:t>
      </w:r>
    </w:p>
    <w:p>
      <w:pPr>
        <w:numPr>
          <w:ilvl w:val="255"/>
          <w:numId w:val="0"/>
        </w:numPr>
        <w:spacing w:line="480" w:lineRule="auto"/>
        <w:rPr>
          <w:rFonts w:hint="eastAsia" w:ascii="Arial Regular" w:hAnsi="Arial Regular" w:cs="Arial Regular"/>
          <w:sz w:val="24"/>
          <w:szCs w:val="28"/>
          <w:highlight w:val="none"/>
          <w:lang w:val="en-US"/>
        </w:rPr>
      </w:pPr>
      <w:r>
        <w:rPr>
          <w:rFonts w:hint="eastAsia" w:ascii="Arial Regular" w:hAnsi="Arial Regular" w:cs="Arial Regular"/>
          <w:sz w:val="24"/>
          <w:szCs w:val="28"/>
          <w:highlight w:val="none"/>
          <w:lang w:val="en-US"/>
        </w:rPr>
        <w:t>P1705434 down-regulates the TNF pathway to ameliorate cell injury in S3-proximal tubular cells, and it reduces the mitochondrial injury of collecting duct cells by up-regulating the OXPHOS pathway.</w:t>
      </w:r>
    </w:p>
    <w:sectPr>
      <w:footerReference r:id="rId3" w:type="default"/>
      <w:pgSz w:w="11906" w:h="16838"/>
      <w:pgMar w:top="720" w:right="720" w:bottom="720" w:left="72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Tahoma">
    <w:panose1 w:val="020B0604030504040204"/>
    <w:charset w:val="00"/>
    <w:family w:val="swiss"/>
    <w:pitch w:val="default"/>
    <w:sig w:usb0="00000000" w:usb1="00000000" w:usb2="00000000" w:usb3="00000000" w:csb0="00000000" w:csb1="00000000"/>
  </w:font>
  <w:font w:name="Arial Bold">
    <w:panose1 w:val="020B0604020202020204"/>
    <w:charset w:val="00"/>
    <w:family w:val="auto"/>
    <w:pitch w:val="default"/>
    <w:sig w:usb0="00000000" w:usb1="00000000" w:usb2="00000000" w:usb3="00000000" w:csb0="00000000" w:csb1="00000000"/>
  </w:font>
  <w:font w:name="Arial Regular">
    <w:panose1 w:val="020B0604020202020204"/>
    <w:charset w:val="00"/>
    <w:family w:val="auto"/>
    <w:pitch w:val="default"/>
    <w:sig w:usb0="00000000" w:usb1="00000000" w:usb2="00000000" w:usb3="00000000" w:csb0="00000000" w:csb1="00000000"/>
  </w:font>
  <w:font w:name="汉仪中等线KW">
    <w:panose1 w:val="01010104010101010101"/>
    <w:charset w:val="86"/>
    <w:family w:val="auto"/>
    <w:pitch w:val="default"/>
    <w:sig w:usb0="00000000" w:usb1="00000000" w:usb2="00000000" w:usb3="00000000" w:csb0="00160000" w:csb1="00000000"/>
  </w:font>
  <w:font w:name="冬青黑体简体中文">
    <w:panose1 w:val="020B0300000000000000"/>
    <w:charset w:val="86"/>
    <w:family w:val="auto"/>
    <w:pitch w:val="default"/>
    <w:sig w:usb0="00000000" w:usb1="00000000" w:usb2="00000000" w:usb3="00000000" w:csb0="00160000" w:csb1="00000000"/>
  </w:font>
  <w:font w:name="Arial Unicode MS">
    <w:panose1 w:val="020B0604020202020204"/>
    <w:charset w:val="86"/>
    <w:family w:val="auto"/>
    <w:pitch w:val="default"/>
    <w:sig w:usb0="00000000" w:usb1="00000000" w:usb2="00000000" w:usb3="00000000" w:csb0="003E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Helvetica Neue">
    <w:panose1 w:val="02000503000000020004"/>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5148501"/>
    </w:sdtPr>
    <w:sdtContent>
      <w:p>
        <w:pPr>
          <w:pStyle w:val="11"/>
          <w:jc w:val="center"/>
          <w:rPr>
            <w:rFonts w:hint="eastAsia"/>
          </w:rPr>
        </w:pPr>
        <w:r>
          <w:fldChar w:fldCharType="begin"/>
        </w:r>
        <w:r>
          <w:instrText xml:space="preserve">PAGE   \* MERGEFORMAT</w:instrText>
        </w:r>
        <w:r>
          <w:fldChar w:fldCharType="separate"/>
        </w:r>
        <w:r>
          <w:t>2</w:t>
        </w:r>
        <w:r>
          <w:fldChar w:fldCharType="end"/>
        </w:r>
      </w:p>
    </w:sdtContent>
  </w:sdt>
  <w:p>
    <w:pPr>
      <w:pStyle w:val="11"/>
      <w:rPr>
        <w:rFonts w:hint="eastAsia"/>
      </w:rPr>
    </w:pPr>
  </w:p>
  <w:p>
    <w:pP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73A"/>
    <w:rsid w:val="0003373A"/>
    <w:rsid w:val="00A26C22"/>
    <w:rsid w:val="00B47F53"/>
    <w:rsid w:val="00F35D14"/>
    <w:rsid w:val="00F74FDA"/>
    <w:rsid w:val="2BBBA38B"/>
    <w:rsid w:val="677EDA71"/>
    <w:rsid w:val="6FA625F2"/>
    <w:rsid w:val="75FF5AA9"/>
    <w:rsid w:val="77FF6238"/>
    <w:rsid w:val="7B97AE8E"/>
    <w:rsid w:val="9B1DEAF1"/>
    <w:rsid w:val="CBDAB0A3"/>
    <w:rsid w:val="DFFF8C37"/>
    <w:rsid w:val="E7FC1C6B"/>
    <w:rsid w:val="EF8FD2CC"/>
    <w:rsid w:val="EFD31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GB"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lang w:val="en-US"/>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lang w:val="en-US"/>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lang w:val="en-US"/>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lang w:val="en-US"/>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lang w:val="en-US"/>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lang w:val="en-US"/>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lang w:val="en-US"/>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lang w:val="en-US"/>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lang w:val="en-US"/>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lang w:val="en-US"/>
      <w14:textFill>
        <w14:solidFill>
          <w14:schemeClr w14:val="tx1">
            <w14:lumMod w14:val="65000"/>
            <w14:lumOff w14:val="35000"/>
          </w14:schemeClr>
        </w14:solidFill>
      </w14:textFill>
    </w:rPr>
  </w:style>
  <w:style w:type="paragraph" w:styleId="13">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lang w:val="en-US"/>
    </w:rPr>
  </w:style>
  <w:style w:type="character" w:styleId="16">
    <w:name w:val="line number"/>
    <w:basedOn w:val="15"/>
    <w:semiHidden/>
    <w:unhideWhenUsed/>
    <w:qFormat/>
    <w:uiPriority w:val="99"/>
  </w:style>
  <w:style w:type="character" w:styleId="17">
    <w:name w:val="annotation reference"/>
    <w:basedOn w:val="15"/>
    <w:semiHidden/>
    <w:unhideWhenUsed/>
    <w:qFormat/>
    <w:uiPriority w:val="99"/>
    <w:rPr>
      <w:rFonts w:ascii="Tahoma" w:hAnsi="Tahoma" w:cs="Tahoma"/>
      <w:sz w:val="16"/>
      <w:szCs w:val="21"/>
      <w:u w:val="none"/>
    </w:rPr>
  </w:style>
  <w:style w:type="character" w:customStyle="1" w:styleId="18">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5"/>
    <w:link w:val="5"/>
    <w:semiHidden/>
    <w:qFormat/>
    <w:uiPriority w:val="9"/>
    <w:rPr>
      <w:rFonts w:cstheme="majorBidi"/>
      <w:color w:val="104862" w:themeColor="accent1" w:themeShade="BF"/>
      <w:sz w:val="28"/>
      <w:szCs w:val="28"/>
    </w:rPr>
  </w:style>
  <w:style w:type="character" w:customStyle="1" w:styleId="22">
    <w:name w:val="标题 5 字符"/>
    <w:basedOn w:val="15"/>
    <w:link w:val="6"/>
    <w:semiHidden/>
    <w:qFormat/>
    <w:uiPriority w:val="9"/>
    <w:rPr>
      <w:rFonts w:cstheme="majorBidi"/>
      <w:color w:val="104862" w:themeColor="accent1" w:themeShade="BF"/>
      <w:sz w:val="24"/>
      <w:szCs w:val="24"/>
    </w:rPr>
  </w:style>
  <w:style w:type="character" w:customStyle="1" w:styleId="23">
    <w:name w:val="标题 6 字符"/>
    <w:basedOn w:val="15"/>
    <w:link w:val="7"/>
    <w:semiHidden/>
    <w:qFormat/>
    <w:uiPriority w:val="9"/>
    <w:rPr>
      <w:rFonts w:cstheme="majorBidi"/>
      <w:b/>
      <w:bCs/>
      <w:color w:val="104862" w:themeColor="accent1" w:themeShade="BF"/>
    </w:rPr>
  </w:style>
  <w:style w:type="character" w:customStyle="1" w:styleId="24">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lang w:val="en-US"/>
      <w14:textFill>
        <w14:solidFill>
          <w14:schemeClr w14:val="tx1">
            <w14:lumMod w14:val="75000"/>
            <w14:lumOff w14:val="25000"/>
          </w14:schemeClr>
        </w14:solidFill>
      </w14:textFill>
    </w:rPr>
  </w:style>
  <w:style w:type="character" w:customStyle="1" w:styleId="30">
    <w:name w:val="引用 字符"/>
    <w:basedOn w:val="15"/>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rPr>
      <w:lang w:val="en-US"/>
    </w:rPr>
  </w:style>
  <w:style w:type="character" w:customStyle="1" w:styleId="32">
    <w:name w:val="Intense Emphasis"/>
    <w:basedOn w:val="15"/>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lang w:val="en-US"/>
    </w:rPr>
  </w:style>
  <w:style w:type="character" w:customStyle="1" w:styleId="34">
    <w:name w:val="明显引用 字符"/>
    <w:basedOn w:val="15"/>
    <w:link w:val="33"/>
    <w:qFormat/>
    <w:uiPriority w:val="30"/>
    <w:rPr>
      <w:i/>
      <w:iCs/>
      <w:color w:val="104862" w:themeColor="accent1" w:themeShade="BF"/>
    </w:rPr>
  </w:style>
  <w:style w:type="character" w:customStyle="1" w:styleId="35">
    <w:name w:val="Intense Reference"/>
    <w:basedOn w:val="15"/>
    <w:qFormat/>
    <w:uiPriority w:val="32"/>
    <w:rPr>
      <w:b/>
      <w:bCs/>
      <w:smallCaps/>
      <w:color w:val="104862" w:themeColor="accent1" w:themeShade="BF"/>
      <w:spacing w:val="5"/>
    </w:rPr>
  </w:style>
  <w:style w:type="character" w:customStyle="1" w:styleId="36">
    <w:name w:val="页脚 字符"/>
    <w:basedOn w:val="15"/>
    <w:link w:val="11"/>
    <w:qFormat/>
    <w:uiPriority w:val="99"/>
    <w:rPr>
      <w:sz w:val="18"/>
      <w:szCs w:val="18"/>
      <w:lang w:val="en-G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Words>
  <Characters>437</Characters>
  <Lines>6</Lines>
  <Paragraphs>1</Paragraphs>
  <TotalTime>4</TotalTime>
  <ScaleCrop>false</ScaleCrop>
  <LinksUpToDate>false</LinksUpToDate>
  <CharactersWithSpaces>508</CharactersWithSpaces>
  <Application>WPS Office_6.0.2.8225_F1E327BC-269C-435d-A152-05C5408002CA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2025-07-05T21:45:00Z</dcterms:created>
  <dc:creator>jj chen</dc:creator>
  <cp:lastModifiedBy>Yuyi</cp:lastModifiedBy>
  <dcterms:modified xsi:type="dcterms:W3CDTF">2026-03-09T11:07:36Z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2052-6.0.2.8225</vt:lpwstr>
  </property>
  <property fmtid="{D5CDD505-2E9C-101B-9397-08002B2CF9AE}" pid="3" name="ICV">
    <vt:lpwstr>B75BAAA46D6BD06C6D266269A296E598_42</vt:lpwstr>
  </property>
</Properties>
</file>