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Supplemental Figure 1:</w:t>
      </w:r>
    </w:p>
    <w:p>
      <w:pPr>
        <w:rPr>
          <w:rFonts w:hint="eastAsia"/>
        </w:rPr>
      </w:pPr>
      <w:r>
        <w:rPr>
          <w:rFonts w:hint="eastAsia"/>
        </w:rPr>
        <w:t>Prognostic significance and expression patterns of BTN3A2 in glioma patients across multiple datasets.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A</w:t>
      </w:r>
      <w:r>
        <w:rPr>
          <w:rFonts w:hint="default" w:ascii="Times New Roman Bold" w:hAnsi="Times New Roman Bold" w:cs="Times New Roman Bold"/>
          <w:b/>
          <w:bCs/>
        </w:rPr>
        <w:t>-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C</w:t>
      </w:r>
      <w:r>
        <w:rPr>
          <w:rFonts w:hint="default" w:ascii="Times New Roman Bold" w:hAnsi="Times New Roman Bold" w:cs="Times New Roman Bold"/>
          <w:b/>
          <w:bCs/>
        </w:rPr>
        <w:t xml:space="preserve"> </w:t>
      </w:r>
      <w:r>
        <w:rPr>
          <w:rFonts w:hint="eastAsia"/>
        </w:rPr>
        <w:t>BTN3A2 mRNA expression levels in gliomas of different histological subtypes and grades based on CGGA datasets.</w:t>
      </w:r>
      <w:r>
        <w:rPr>
          <w:rFonts w:hint="default" w:ascii="Times New Roman Bold" w:hAnsi="Times New Roman Bold" w:cs="Times New Roman Bold"/>
          <w:b/>
          <w:bCs/>
          <w:lang w:val="en-US" w:eastAsia="zh-CN"/>
        </w:rPr>
        <w:t>D</w:t>
      </w:r>
      <w:r>
        <w:rPr>
          <w:rFonts w:hint="default" w:ascii="Times New Roman Bold" w:hAnsi="Times New Roman Bold" w:cs="Times New Roman Bold"/>
          <w:b/>
          <w:bCs/>
        </w:rPr>
        <w:t>-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E</w:t>
      </w:r>
      <w:r>
        <w:rPr>
          <w:rFonts w:hint="eastAsia"/>
        </w:rPr>
        <w:t xml:space="preserve"> Univariate and multivariate Cox regression analyses showing that BTN3A2 expression is an independent prognostic factor for overall survival in glioma patients.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F</w:t>
      </w:r>
      <w:r>
        <w:rPr>
          <w:rFonts w:hint="default" w:ascii="Times New Roman Bold" w:hAnsi="Times New Roman Bold" w:cs="Times New Roman Bold"/>
          <w:b/>
          <w:bCs/>
        </w:rPr>
        <w:t>-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H</w:t>
      </w:r>
      <w:r>
        <w:rPr>
          <w:rFonts w:hint="eastAsia"/>
        </w:rPr>
        <w:t xml:space="preserve"> Kaplan–Meier survival curves demonstrating that high BTN3A2 expression is significantly associated with worse overall survival in glioma patients from TCGA, CGGA, and REMBRANDT cohorts. Statistical significance was determined using log-rank test for Kaplan–Meier analysis and Cox proportional hazards regression.</w:t>
      </w:r>
    </w:p>
    <w:p>
      <w:pPr>
        <w:rPr>
          <w:rFonts w:hint="eastAsia"/>
        </w:rPr>
      </w:pPr>
    </w:p>
    <w:p>
      <w:pPr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Supplemental Figure2:</w:t>
      </w:r>
    </w:p>
    <w:p>
      <w:pPr>
        <w:rPr>
          <w:rFonts w:hint="eastAsia"/>
        </w:rPr>
      </w:pPr>
      <w:r>
        <w:rPr>
          <w:rFonts w:hint="eastAsia"/>
        </w:rPr>
        <w:t>BTN3A2 knockdown promotes apoptosis and induces G2/M phase arrest in glioma cells.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A</w:t>
      </w:r>
      <w:r>
        <w:rPr>
          <w:rFonts w:hint="eastAsia"/>
        </w:rPr>
        <w:t xml:space="preserve"> Immunofluorescence staining showing the cytoplasmic localization of BTN3A2 in U87 glioma cells. 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B</w:t>
      </w:r>
      <w:r>
        <w:rPr>
          <w:rFonts w:hint="default" w:ascii="Times New Roman Bold" w:hAnsi="Times New Roman Bold" w:cs="Times New Roman Bold"/>
          <w:b/>
          <w:bCs/>
        </w:rPr>
        <w:t>-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D</w:t>
      </w:r>
      <w:r>
        <w:rPr>
          <w:rFonts w:hint="default" w:ascii="Times New Roman Bold" w:hAnsi="Times New Roman Bold" w:cs="Times New Roman Bold"/>
          <w:b/>
          <w:bCs/>
        </w:rPr>
        <w:t xml:space="preserve"> </w:t>
      </w:r>
      <w:r>
        <w:rPr>
          <w:rFonts w:hint="eastAsia"/>
        </w:rPr>
        <w:t>Flow cytometry analysis indicating increased apoptosis rates in BTN3A2 knockdown U87 and SF295 cells compared with control cells.</w:t>
      </w:r>
      <w:r>
        <w:rPr>
          <w:rFonts w:hint="default" w:ascii="Times New Roman Bold" w:hAnsi="Times New Roman Bold" w:cs="Times New Roman Bold"/>
          <w:b/>
          <w:bCs/>
        </w:rPr>
        <w:t xml:space="preserve"> 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E</w:t>
      </w:r>
      <w:r>
        <w:rPr>
          <w:rFonts w:hint="default" w:ascii="Times New Roman Bold" w:hAnsi="Times New Roman Bold" w:cs="Times New Roman Bold"/>
          <w:b/>
          <w:bCs/>
        </w:rPr>
        <w:t>-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F</w:t>
      </w:r>
      <w:r>
        <w:rPr>
          <w:rFonts w:hint="eastAsia"/>
        </w:rPr>
        <w:t xml:space="preserve"> Cell cycle distribution analysis demonstrating that BTN3A2 knockdown induces significant G2/M phase arrest in SF295 glioma cells. 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G</w:t>
      </w:r>
      <w:r>
        <w:rPr>
          <w:rFonts w:hint="default" w:ascii="Times New Roman Bold" w:hAnsi="Times New Roman Bold" w:cs="Times New Roman Bold"/>
          <w:b/>
          <w:bCs/>
        </w:rPr>
        <w:t>-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J</w:t>
      </w:r>
      <w:r>
        <w:rPr>
          <w:rFonts w:hint="eastAsia"/>
        </w:rPr>
        <w:t xml:space="preserve"> Western blot analysis showing that knockdown of BTN3A2 leads to decreased expression levels of cell cycle regulators P21 and P27.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 xml:space="preserve">K </w:t>
      </w:r>
      <w:r>
        <w:rPr>
          <w:rFonts w:hint="eastAsia"/>
          <w:color w:val="FF0000"/>
        </w:rPr>
        <w:t>Images of the xenograft tumors formed in nude mice injected with BTN3A2-shRNA cells and control cells.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>L</w:t>
      </w:r>
      <w:r>
        <w:rPr>
          <w:rFonts w:hint="default" w:ascii="Times New Roman Bold" w:hAnsi="Times New Roman Bold" w:cs="Times New Roman Bold"/>
          <w:b/>
          <w:bCs/>
          <w:color w:val="FF0000"/>
          <w:lang w:val="en-US" w:eastAsia="zh-CN"/>
        </w:rPr>
        <w:t>-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>M</w:t>
      </w:r>
      <w:r>
        <w:rPr>
          <w:rFonts w:hint="default" w:ascii="Times New Roman Bold" w:hAnsi="Times New Roman Bold" w:cs="Times New Roman Bold"/>
          <w:b/>
          <w:bCs/>
          <w:color w:val="FF0000"/>
        </w:rPr>
        <w:t xml:space="preserve"> </w:t>
      </w:r>
      <w:r>
        <w:rPr>
          <w:rFonts w:hint="eastAsia"/>
          <w:color w:val="FF0000"/>
        </w:rPr>
        <w:t xml:space="preserve">Tumor volume and tumor weight were calculated. 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>N</w:t>
      </w:r>
      <w:r>
        <w:rPr>
          <w:rFonts w:hint="eastAsia"/>
          <w:color w:val="FF0000"/>
          <w:lang w:val="en-US" w:eastAsia="zh-CN"/>
        </w:rPr>
        <w:t xml:space="preserve"> </w:t>
      </w:r>
      <w:r>
        <w:rPr>
          <w:rFonts w:hint="eastAsia"/>
          <w:color w:val="FF0000"/>
        </w:rPr>
        <w:t xml:space="preserve">Representative images of IHC staining of ki-67,Cleaved-Casp3 and P-Akt. </w:t>
      </w:r>
      <w:r>
        <w:rPr>
          <w:rFonts w:hint="eastAsia"/>
        </w:rPr>
        <w:t xml:space="preserve">Scale bars,20 </w:t>
      </w:r>
      <w:r>
        <w:rPr>
          <w:rFonts w:hint="default" w:ascii="Times New Roman Regular" w:hAnsi="Times New Roman Regular" w:cs="Times New Roman Regular"/>
        </w:rPr>
        <w:t>μm</w:t>
      </w:r>
      <w:r>
        <w:rPr>
          <w:rFonts w:hint="eastAsia"/>
        </w:rPr>
        <w:t>. All images represented as the mean ± SD of three independent experiments;Statistical analysis was performed using Student’s t-test.*,</w:t>
      </w:r>
      <w:r>
        <w:rPr>
          <w:rFonts w:hint="default" w:ascii="Times New Roman Italic" w:hAnsi="Times New Roman Italic" w:cs="Times New Roman Italic"/>
          <w:i/>
          <w:iCs/>
        </w:rPr>
        <w:t>P</w:t>
      </w:r>
      <w:r>
        <w:rPr>
          <w:rFonts w:hint="eastAsia"/>
        </w:rPr>
        <w:t xml:space="preserve"> &lt; 0.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5;**,</w:t>
      </w:r>
      <w:r>
        <w:rPr>
          <w:rFonts w:hint="default" w:ascii="Times New Roman Italic" w:hAnsi="Times New Roman Italic" w:cs="Times New Roman Italic"/>
          <w:i/>
          <w:iCs/>
        </w:rPr>
        <w:t>P</w:t>
      </w:r>
      <w:r>
        <w:rPr>
          <w:rFonts w:hint="eastAsia"/>
        </w:rPr>
        <w:t xml:space="preserve"> &lt; 0.01;***,</w:t>
      </w:r>
      <w:r>
        <w:rPr>
          <w:rFonts w:hint="default" w:ascii="Times New Roman Italic" w:hAnsi="Times New Roman Italic" w:cs="Times New Roman Italic"/>
          <w:i/>
          <w:iCs/>
        </w:rPr>
        <w:t>P</w:t>
      </w:r>
      <w:r>
        <w:rPr>
          <w:rFonts w:hint="eastAsia"/>
        </w:rPr>
        <w:t xml:space="preserve"> &lt; 0.001;****,</w:t>
      </w:r>
      <w:r>
        <w:rPr>
          <w:rFonts w:hint="default" w:ascii="Times New Roman Italic" w:hAnsi="Times New Roman Italic" w:cs="Times New Roman Italic"/>
          <w:i/>
          <w:iCs/>
        </w:rPr>
        <w:t>P</w:t>
      </w:r>
      <w:r>
        <w:rPr>
          <w:rFonts w:hint="eastAsia"/>
        </w:rPr>
        <w:t xml:space="preserve"> &lt; 0.0001</w:t>
      </w:r>
    </w:p>
    <w:p>
      <w:pPr>
        <w:rPr>
          <w:rFonts w:hint="eastAsia"/>
        </w:rPr>
      </w:pPr>
    </w:p>
    <w:p>
      <w:pPr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Supplemental Figure3:</w:t>
      </w:r>
    </w:p>
    <w:p>
      <w:pPr>
        <w:rPr>
          <w:rFonts w:hint="eastAsia"/>
        </w:rPr>
      </w:pPr>
      <w:r>
        <w:rPr>
          <w:rFonts w:hint="eastAsia"/>
        </w:rPr>
        <w:t>BTN3A2 expression is positively associated with hypoxia-related markers and the HIF-1</w:t>
      </w:r>
      <w:r>
        <w:rPr>
          <w:rFonts w:hint="default" w:ascii="Times New Roman Regular" w:hAnsi="Times New Roman Regular" w:cs="Times New Roman Regular"/>
        </w:rPr>
        <w:t>α</w:t>
      </w:r>
      <w:r>
        <w:rPr>
          <w:rFonts w:hint="eastAsia"/>
        </w:rPr>
        <w:t xml:space="preserve"> signaling pathway in gliomas.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A</w:t>
      </w:r>
      <w:r>
        <w:rPr>
          <w:rFonts w:hint="default" w:ascii="Times New Roman Bold" w:hAnsi="Times New Roman Bold" w:cs="Times New Roman Bold"/>
          <w:b/>
          <w:bCs/>
          <w:lang w:val="en-US" w:eastAsia="zh-CN"/>
        </w:rPr>
        <w:t>-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D</w:t>
      </w:r>
      <w:r>
        <w:rPr>
          <w:rFonts w:hint="eastAsia"/>
        </w:rPr>
        <w:t xml:space="preserve"> Correlation analysis showing significant positive associations between BTN3A2 mRNA expression and hypoxia-related markers (H</w:t>
      </w:r>
      <w:r>
        <w:rPr>
          <w:rFonts w:hint="default" w:ascii="Times New Roman Regular" w:hAnsi="Times New Roman Regular" w:cs="Times New Roman Regular"/>
        </w:rPr>
        <w:t>IF-1α</w:t>
      </w:r>
      <w:r>
        <w:rPr>
          <w:rFonts w:hint="eastAsia"/>
        </w:rPr>
        <w:t xml:space="preserve">, VEGFA, CA9, and PGK1) in CGGA datasets. 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E</w:t>
      </w:r>
      <w:r>
        <w:rPr>
          <w:rFonts w:hint="default" w:ascii="Times New Roman Bold" w:hAnsi="Times New Roman Bold" w:cs="Times New Roman Bold"/>
          <w:b/>
          <w:bCs/>
        </w:rPr>
        <w:t>-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F</w:t>
      </w:r>
      <w:r>
        <w:rPr>
          <w:rFonts w:hint="eastAsia"/>
        </w:rPr>
        <w:t xml:space="preserve"> KEGG pathway enrichment analysis of RNA-seq data following BTN3A2 knockdown revealing significant downregulation of the HIF-</w:t>
      </w:r>
      <w:r>
        <w:rPr>
          <w:rFonts w:hint="default" w:ascii="Times New Roman Regular" w:hAnsi="Times New Roman Regular" w:cs="Times New Roman Regular"/>
        </w:rPr>
        <w:t>1α</w:t>
      </w:r>
      <w:r>
        <w:rPr>
          <w:rFonts w:hint="eastAsia"/>
        </w:rPr>
        <w:t xml:space="preserve"> signaling pathway and CUT&amp;Tag peak relative to the transcription start site.Correlation coefficients were calculated using Spearman’s correlation test.*,</w:t>
      </w:r>
      <w:r>
        <w:rPr>
          <w:rFonts w:hint="default" w:ascii="Times New Roman Italic" w:hAnsi="Times New Roman Italic" w:cs="Times New Roman Italic"/>
          <w:i/>
          <w:iCs/>
        </w:rPr>
        <w:t>P</w:t>
      </w:r>
      <w:r>
        <w:rPr>
          <w:rFonts w:hint="eastAsia"/>
        </w:rPr>
        <w:t xml:space="preserve"> &lt; 0.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5;**,</w:t>
      </w:r>
      <w:r>
        <w:rPr>
          <w:rFonts w:hint="default" w:ascii="Times New Roman Italic" w:hAnsi="Times New Roman Italic" w:cs="Times New Roman Italic"/>
          <w:i/>
          <w:iCs/>
        </w:rPr>
        <w:t>P</w:t>
      </w:r>
      <w:r>
        <w:rPr>
          <w:rFonts w:hint="eastAsia"/>
        </w:rPr>
        <w:t xml:space="preserve"> &lt; 0.01;***,</w:t>
      </w:r>
      <w:r>
        <w:rPr>
          <w:rFonts w:hint="default" w:ascii="Times New Roman Italic" w:hAnsi="Times New Roman Italic" w:cs="Times New Roman Italic"/>
          <w:i/>
          <w:iCs/>
        </w:rPr>
        <w:t>P</w:t>
      </w:r>
      <w:r>
        <w:rPr>
          <w:rFonts w:hint="eastAsia"/>
        </w:rPr>
        <w:t xml:space="preserve"> &lt; 0.001;****,</w:t>
      </w:r>
      <w:r>
        <w:rPr>
          <w:rFonts w:hint="default" w:ascii="Times New Roman Italic" w:hAnsi="Times New Roman Italic" w:cs="Times New Roman Italic"/>
          <w:i/>
          <w:iCs/>
        </w:rPr>
        <w:t>P</w:t>
      </w:r>
      <w:r>
        <w:rPr>
          <w:rFonts w:hint="eastAsia"/>
        </w:rPr>
        <w:t xml:space="preserve"> &lt; 0.0001</w:t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default" w:ascii="Times New Roman Bold" w:hAnsi="Times New Roman Bold" w:cs="Times New Roman Bold"/>
          <w:b/>
          <w:bCs/>
          <w:color w:val="FF0000"/>
        </w:rPr>
      </w:pPr>
      <w:r>
        <w:rPr>
          <w:rFonts w:hint="default" w:ascii="Times New Roman Bold" w:hAnsi="Times New Roman Bold" w:cs="Times New Roman Bold"/>
          <w:b/>
          <w:bCs/>
          <w:color w:val="FF0000"/>
        </w:rPr>
        <w:t>Supplemental Figure4: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color w:val="FF0000"/>
        </w:rPr>
        <w:t>BTN3A2 depletion enhances temozolomide sensitivity in a subcutaneous xenograft model.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>A</w:t>
      </w:r>
      <w:r>
        <w:rPr>
          <w:rFonts w:hint="default" w:eastAsia="宋体" w:cs="宋体"/>
          <w:color w:val="FF0000"/>
        </w:rPr>
        <w:t xml:space="preserve"> Schematic of the in vivo experimental design.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>B</w:t>
      </w:r>
      <w:r>
        <w:rPr>
          <w:rFonts w:hint="default" w:ascii="Times New Roman Bold" w:hAnsi="Times New Roman Bold" w:eastAsia="宋体" w:cs="Times New Roman Bold"/>
          <w:b/>
          <w:bCs/>
          <w:color w:val="FF0000"/>
        </w:rPr>
        <w:t>-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>C</w:t>
      </w:r>
      <w:r>
        <w:rPr>
          <w:rFonts w:hint="default" w:eastAsia="宋体" w:cs="宋体"/>
          <w:color w:val="FF0000"/>
        </w:rPr>
        <w:t xml:space="preserve"> Representative images of tumors from each treatment group.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>D</w:t>
      </w:r>
      <w:r>
        <w:rPr>
          <w:rFonts w:hint="default" w:eastAsia="宋体" w:cs="宋体"/>
          <w:color w:val="FF0000"/>
        </w:rPr>
        <w:t xml:space="preserve"> Final tumor weights.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>E</w:t>
      </w:r>
      <w:r>
        <w:rPr>
          <w:rFonts w:hint="eastAsia" w:ascii="Times New Roman Bold" w:hAnsi="Times New Roman Bold" w:eastAsia="宋体" w:cs="Times New Roman Bold"/>
          <w:b/>
          <w:bCs/>
          <w:color w:val="FF0000"/>
          <w:lang w:val="en-US" w:eastAsia="zh-CN"/>
        </w:rPr>
        <w:t xml:space="preserve"> </w:t>
      </w:r>
      <w:r>
        <w:rPr>
          <w:rFonts w:hint="default" w:eastAsia="宋体" w:cs="宋体"/>
          <w:color w:val="FF0000"/>
        </w:rPr>
        <w:t>Tumor growth inhibition analysis.</w:t>
      </w:r>
      <w:r>
        <w:rPr>
          <w:rFonts w:hint="eastAsia" w:ascii="Times New Roman Bold" w:hAnsi="Times New Roman Bold" w:cs="Times New Roman Bold"/>
          <w:b/>
          <w:bCs/>
          <w:color w:val="FF0000"/>
          <w:lang w:val="en-US" w:eastAsia="zh-CN"/>
        </w:rPr>
        <w:t>F</w:t>
      </w:r>
      <w:r>
        <w:rPr>
          <w:rFonts w:hint="default" w:eastAsia="宋体" w:cs="宋体"/>
          <w:color w:val="FF0000"/>
        </w:rPr>
        <w:t xml:space="preserve"> Immunohistochemical staining of cleaved caspase-3, TUNEL assay, and Ki-67 in xenograft tumor tissues.Scale bar: 25 µm. All image represented as the mean ± SD of three independent experiments; *</w:t>
      </w:r>
      <w:r>
        <w:rPr>
          <w:rFonts w:hint="default" w:ascii="Times New Roman Italic" w:hAnsi="Times New Roman Italic" w:eastAsia="宋体" w:cs="Times New Roman Italic"/>
          <w:i/>
          <w:iCs/>
          <w:color w:val="FF0000"/>
        </w:rPr>
        <w:t>P</w:t>
      </w:r>
      <w:r>
        <w:rPr>
          <w:rFonts w:hint="eastAsia" w:ascii="Times New Roman Italic" w:hAnsi="Times New Roman Italic" w:eastAsia="宋体" w:cs="Times New Roman Italic"/>
          <w:i/>
          <w:iCs/>
          <w:color w:val="FF0000"/>
          <w:lang w:val="en-US" w:eastAsia="zh-CN"/>
        </w:rPr>
        <w:t xml:space="preserve"> </w:t>
      </w:r>
      <w:r>
        <w:rPr>
          <w:rFonts w:hint="default" w:eastAsia="宋体" w:cs="宋体"/>
          <w:color w:val="FF0000"/>
        </w:rPr>
        <w:t>&lt; 0.05;**,</w:t>
      </w:r>
      <w:r>
        <w:rPr>
          <w:rFonts w:hint="default" w:ascii="Times New Roman Italic" w:hAnsi="Times New Roman Italic" w:eastAsia="宋体" w:cs="Times New Roman Italic"/>
          <w:i/>
          <w:iCs/>
          <w:color w:val="FF0000"/>
        </w:rPr>
        <w:t xml:space="preserve">P </w:t>
      </w:r>
      <w:r>
        <w:rPr>
          <w:rFonts w:hint="default" w:eastAsia="宋体" w:cs="宋体"/>
          <w:color w:val="FF0000"/>
        </w:rPr>
        <w:t>&lt; 0.01;***,</w:t>
      </w:r>
      <w:r>
        <w:rPr>
          <w:rFonts w:hint="default" w:ascii="Times New Roman Italic" w:hAnsi="Times New Roman Italic" w:eastAsia="宋体" w:cs="Times New Roman Italic"/>
          <w:i/>
          <w:iCs/>
          <w:color w:val="FF0000"/>
        </w:rPr>
        <w:t xml:space="preserve">P </w:t>
      </w:r>
      <w:r>
        <w:rPr>
          <w:rFonts w:hint="default" w:eastAsia="宋体" w:cs="宋体"/>
          <w:color w:val="FF0000"/>
        </w:rPr>
        <w:t>&lt; 0.001;****,</w:t>
      </w:r>
      <w:r>
        <w:rPr>
          <w:rFonts w:hint="default" w:ascii="Times New Roman Italic" w:hAnsi="Times New Roman Italic" w:eastAsia="宋体" w:cs="Times New Roman Italic"/>
          <w:i/>
          <w:iCs/>
          <w:color w:val="FF0000"/>
        </w:rPr>
        <w:t xml:space="preserve">P </w:t>
      </w:r>
      <w:r>
        <w:rPr>
          <w:rFonts w:hint="default" w:eastAsia="宋体" w:cs="宋体"/>
          <w:color w:val="FF0000"/>
        </w:rPr>
        <w:t>&lt; 0.0001；ns, no significance</w:t>
      </w:r>
    </w:p>
    <w:p>
      <w:pPr>
        <w:numPr>
          <w:ilvl w:val="0"/>
          <w:numId w:val="0"/>
        </w:numPr>
        <w:rPr>
          <w:rFonts w:hint="default" w:ascii="Times New Roman Bold" w:hAnsi="Times New Roman Bold" w:cs="Times New Roman Bold"/>
          <w:b/>
          <w:bCs/>
        </w:rPr>
      </w:pPr>
    </w:p>
    <w:p>
      <w:pPr>
        <w:numPr>
          <w:ilvl w:val="0"/>
          <w:numId w:val="0"/>
        </w:numPr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Supplemental Figure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5</w:t>
      </w:r>
      <w:r>
        <w:rPr>
          <w:rFonts w:hint="default" w:ascii="Times New Roman Bold" w:hAnsi="Times New Roman Bold" w:cs="Times New Roman Bold"/>
          <w:b/>
          <w:bCs/>
        </w:rPr>
        <w:t>: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BTN3A2 knockdown modulates the DNA Damage Response pathway.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A</w:t>
      </w:r>
      <w:r>
        <w:rPr>
          <w:rFonts w:hint="default" w:ascii="Times New Roman Bold" w:hAnsi="Times New Roman Bold" w:cs="Times New Roman Bold"/>
          <w:b/>
          <w:bCs/>
        </w:rPr>
        <w:t xml:space="preserve"> </w:t>
      </w:r>
      <w:r>
        <w:rPr>
          <w:rFonts w:hint="eastAsia"/>
        </w:rPr>
        <w:t>Venn diagram depicting the intersection between consistently downregulated genes in BTN3A2-knockdown cells and DNA damage response (DDR) genes (51 genes).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B</w:t>
      </w:r>
      <w:r>
        <w:rPr>
          <w:rFonts w:hint="default" w:ascii="Times New Roman Bold" w:hAnsi="Times New Roman Bold" w:cs="Times New Roman Bold"/>
          <w:b/>
          <w:bCs/>
        </w:rPr>
        <w:t xml:space="preserve"> </w:t>
      </w:r>
      <w:r>
        <w:rPr>
          <w:rFonts w:hint="eastAsia"/>
        </w:rPr>
        <w:t>Correlation analysis showing significant positive associations between BTN3A2 mRNA expression and DDR markers (RAD51, CHEK1, CDK2, and CHAF1B) in CGGA datasets.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C</w:t>
      </w:r>
      <w:r>
        <w:rPr>
          <w:rFonts w:hint="default" w:ascii="Times New Roman Bold" w:hAnsi="Times New Roman Bold" w:cs="Times New Roman Bold"/>
          <w:b/>
          <w:bCs/>
        </w:rPr>
        <w:t>-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D</w:t>
      </w:r>
      <w:r>
        <w:rPr>
          <w:rFonts w:hint="eastAsia"/>
        </w:rPr>
        <w:t xml:space="preserve"> Densitometric quantification of DDR protein phosphorylation dynamics in BTN3A2-knockdown versus control glioma cells after Temozolomide treatment.Correlation coefficients were calculated using Spearman’s correlation test.</w:t>
      </w:r>
    </w:p>
    <w:p>
      <w:pPr>
        <w:numPr>
          <w:ilvl w:val="0"/>
          <w:numId w:val="0"/>
        </w:num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FBCEB"/>
    <w:rsid w:val="39FE733E"/>
    <w:rsid w:val="53FFBCEB"/>
    <w:rsid w:val="5CFDA124"/>
    <w:rsid w:val="5FF7E308"/>
    <w:rsid w:val="7FFDC406"/>
    <w:rsid w:val="9D7D8293"/>
    <w:rsid w:val="AFA7CA0F"/>
    <w:rsid w:val="D69B13C3"/>
    <w:rsid w:val="F533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color w:val="auto"/>
      <w:sz w:val="24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2025-07-20T09:26:00Z</dcterms:created>
  <dc:creator>瑜尘、</dc:creator>
  <cp:lastModifiedBy>瑜尘、</cp:lastModifiedBy>
  <dcterms:modified xsi:type="dcterms:W3CDTF">2026-01-19T18:14:12Z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7D11CECF4B51868228F47A688DC77D15_41</vt:lpwstr>
  </property>
</Properties>
</file>