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BEFFD" w14:textId="353738BE" w:rsidR="00DA28E5" w:rsidRPr="00D758BE" w:rsidRDefault="001A1ECE" w:rsidP="00DA28E5">
      <w:pPr>
        <w:jc w:val="center"/>
        <w:rPr>
          <w:rFonts w:asciiTheme="minorBidi" w:hAnsiTheme="minorBidi"/>
          <w:b/>
          <w:bCs/>
        </w:rPr>
      </w:pPr>
      <w:r w:rsidRPr="001A1ECE">
        <w:rPr>
          <w:rFonts w:asciiTheme="minorBidi" w:hAnsiTheme="minorBidi"/>
          <w:b/>
          <w:bCs/>
        </w:rPr>
        <w:t> </w:t>
      </w:r>
      <w:r>
        <w:rPr>
          <w:rFonts w:asciiTheme="minorBidi" w:hAnsiTheme="minorBidi"/>
          <w:b/>
          <w:bCs/>
        </w:rPr>
        <w:t>A</w:t>
      </w:r>
      <w:r w:rsidRPr="001A1ECE">
        <w:rPr>
          <w:rFonts w:asciiTheme="minorBidi" w:hAnsiTheme="minorBidi"/>
          <w:b/>
          <w:bCs/>
        </w:rPr>
        <w:t>dditional supplementary material file</w:t>
      </w:r>
    </w:p>
    <w:p w14:paraId="44326F56" w14:textId="77777777" w:rsidR="00DA28E5" w:rsidRPr="00D758BE" w:rsidRDefault="00DA28E5" w:rsidP="00DA28E5">
      <w:pPr>
        <w:jc w:val="center"/>
        <w:rPr>
          <w:rFonts w:asciiTheme="minorBidi" w:hAnsiTheme="minorBidi"/>
          <w:b/>
          <w:bCs/>
        </w:rPr>
      </w:pPr>
    </w:p>
    <w:p w14:paraId="5DE61972" w14:textId="77777777" w:rsidR="00DA28E5" w:rsidRPr="00D758BE" w:rsidRDefault="00DA28E5" w:rsidP="00DA28E5">
      <w:pPr>
        <w:rPr>
          <w:rFonts w:asciiTheme="minorBidi" w:hAnsiTheme="minorBidi"/>
          <w:b/>
          <w:bCs/>
        </w:rPr>
      </w:pPr>
    </w:p>
    <w:p w14:paraId="1B490BF8" w14:textId="1312A8C0" w:rsidR="00DA28E5" w:rsidRPr="00D758BE" w:rsidRDefault="00DA28E5">
      <w:pPr>
        <w:spacing w:after="160" w:line="259" w:lineRule="auto"/>
        <w:rPr>
          <w:rFonts w:asciiTheme="majorBidi" w:hAnsiTheme="majorBidi" w:cstheme="majorBidi"/>
          <w:b/>
          <w:bCs/>
          <w:color w:val="000000"/>
        </w:rPr>
      </w:pPr>
    </w:p>
    <w:p w14:paraId="1AED6985"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color w:val="000000"/>
        </w:rPr>
        <w:t>Measurement of cell growth (SRB assay)</w:t>
      </w:r>
    </w:p>
    <w:p w14:paraId="20F5CE70" w14:textId="77777777" w:rsidR="00DA28E5" w:rsidRPr="00D758BE" w:rsidRDefault="00DA28E5" w:rsidP="00DA28E5">
      <w:pPr>
        <w:pStyle w:val="NormalWeb"/>
        <w:spacing w:before="0" w:beforeAutospacing="0" w:after="0" w:afterAutospacing="0" w:line="480" w:lineRule="auto"/>
        <w:contextualSpacing/>
        <w:jc w:val="both"/>
        <w:rPr>
          <w:rFonts w:asciiTheme="majorBidi" w:hAnsiTheme="majorBidi" w:cstheme="majorBidi"/>
          <w:color w:val="000000"/>
        </w:rPr>
      </w:pPr>
      <w:r w:rsidRPr="00D758BE">
        <w:rPr>
          <w:rFonts w:asciiTheme="majorBidi" w:hAnsiTheme="majorBidi" w:cstheme="majorBidi"/>
          <w:color w:val="000000"/>
        </w:rPr>
        <w:t xml:space="preserve">Cell viability was assessed using the </w:t>
      </w:r>
      <w:proofErr w:type="spellStart"/>
      <w:r w:rsidRPr="00D758BE">
        <w:rPr>
          <w:rFonts w:asciiTheme="majorBidi" w:hAnsiTheme="majorBidi" w:cstheme="majorBidi"/>
          <w:color w:val="000000"/>
        </w:rPr>
        <w:t>sulforhodamine</w:t>
      </w:r>
      <w:proofErr w:type="spellEnd"/>
      <w:r w:rsidRPr="00D758BE">
        <w:rPr>
          <w:rFonts w:asciiTheme="majorBidi" w:hAnsiTheme="majorBidi" w:cstheme="majorBidi"/>
          <w:color w:val="000000"/>
        </w:rPr>
        <w:t xml:space="preserve"> B (SRB) assay. Briefly, cells were seeded in 96-well plates at a density of 5 × 10³ cells/well and allowed to adhere overnight. The following day, cells were treated with LFN or PTC299 at various concentrations for 24 and 48 hours.</w:t>
      </w:r>
    </w:p>
    <w:p w14:paraId="10FD5E3B" w14:textId="77777777" w:rsidR="00DA28E5" w:rsidRPr="00D758BE" w:rsidRDefault="00DA28E5" w:rsidP="00DA28E5">
      <w:pPr>
        <w:pStyle w:val="NormalWeb"/>
        <w:spacing w:before="0" w:beforeAutospacing="0" w:after="0" w:afterAutospacing="0" w:line="480" w:lineRule="auto"/>
        <w:contextualSpacing/>
        <w:jc w:val="both"/>
        <w:rPr>
          <w:rFonts w:asciiTheme="majorBidi" w:hAnsiTheme="majorBidi" w:cstheme="majorBidi"/>
          <w:color w:val="000000"/>
        </w:rPr>
      </w:pPr>
      <w:r w:rsidRPr="00D758BE">
        <w:rPr>
          <w:rFonts w:asciiTheme="majorBidi" w:hAnsiTheme="majorBidi" w:cstheme="majorBidi"/>
          <w:color w:val="000000"/>
        </w:rPr>
        <w:t>After treatment, cells were fixed by the addition of cold 10% (w/v) trichloroacetic acid (TCA) and incubated at 4°C for at least 1 hour. Plates were then washed with distilled water five times to remove excess TCA and air-dried. Fixed cells were stained with 0.4% (w/v) SRB in 1% acetic acid for 30 minutes at room temperature. Unbound dye was removed by washing the plates with 1% acetic acid five times, followed by air drying.</w:t>
      </w:r>
    </w:p>
    <w:p w14:paraId="6314B21B" w14:textId="77777777" w:rsidR="00DA28E5" w:rsidRPr="00D758BE" w:rsidRDefault="00DA28E5" w:rsidP="00DA28E5">
      <w:pPr>
        <w:pStyle w:val="NormalWeb"/>
        <w:spacing w:before="0" w:beforeAutospacing="0" w:after="0" w:afterAutospacing="0" w:line="480" w:lineRule="auto"/>
        <w:contextualSpacing/>
        <w:jc w:val="both"/>
        <w:rPr>
          <w:rFonts w:asciiTheme="majorBidi" w:hAnsiTheme="majorBidi" w:cstheme="majorBidi"/>
          <w:color w:val="000000"/>
        </w:rPr>
      </w:pPr>
      <w:r w:rsidRPr="00D758BE">
        <w:rPr>
          <w:rFonts w:asciiTheme="majorBidi" w:hAnsiTheme="majorBidi" w:cstheme="majorBidi"/>
          <w:color w:val="000000"/>
        </w:rPr>
        <w:t xml:space="preserve">The bound dye was solubilized with 10 mM Tris base, and the absorbance was measured at 510 nm using </w:t>
      </w:r>
      <w:proofErr w:type="spellStart"/>
      <w:r w:rsidRPr="00D758BE">
        <w:rPr>
          <w:rFonts w:asciiTheme="majorBidi" w:hAnsiTheme="majorBidi" w:cstheme="majorBidi"/>
          <w:color w:val="000000"/>
        </w:rPr>
        <w:t>CLARIOstar</w:t>
      </w:r>
      <w:proofErr w:type="spellEnd"/>
      <w:r w:rsidRPr="00D758BE">
        <w:rPr>
          <w:rFonts w:asciiTheme="majorBidi" w:hAnsiTheme="majorBidi" w:cstheme="majorBidi"/>
          <w:color w:val="000000"/>
        </w:rPr>
        <w:t xml:space="preserve"> Plus microplate reader. The percentage of cell viability was calculated relative to untreated control wells.</w:t>
      </w:r>
    </w:p>
    <w:p w14:paraId="2C01AA40"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p>
    <w:p w14:paraId="56ED1711"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color w:val="000000"/>
        </w:rPr>
        <w:t xml:space="preserve">Lentiviral vectors and cell transduction </w:t>
      </w:r>
    </w:p>
    <w:p w14:paraId="609ABB65" w14:textId="77777777" w:rsidR="00DA28E5" w:rsidRPr="00D758BE" w:rsidRDefault="00DA28E5" w:rsidP="00DA28E5">
      <w:pPr>
        <w:pStyle w:val="NormalWeb"/>
        <w:spacing w:before="0" w:beforeAutospacing="0" w:after="0" w:afterAutospacing="0" w:line="480" w:lineRule="auto"/>
        <w:contextualSpacing/>
        <w:jc w:val="both"/>
        <w:rPr>
          <w:rFonts w:asciiTheme="majorBidi" w:hAnsiTheme="majorBidi" w:cstheme="majorBidi"/>
        </w:rPr>
      </w:pPr>
      <w:r w:rsidRPr="00D758BE">
        <w:rPr>
          <w:rFonts w:asciiTheme="majorBidi" w:hAnsiTheme="majorBidi" w:cstheme="majorBidi"/>
        </w:rPr>
        <w:t>Lentiviral vectors expressing shRNA against DHODH were purchased from Sigma-Aldrich (TRCN0000025839). Cells were transduced with lentiviral vectors (</w:t>
      </w:r>
      <w:proofErr w:type="spellStart"/>
      <w:r w:rsidRPr="00D758BE">
        <w:rPr>
          <w:rFonts w:asciiTheme="majorBidi" w:hAnsiTheme="majorBidi" w:cstheme="majorBidi"/>
        </w:rPr>
        <w:t>pLKO</w:t>
      </w:r>
      <w:proofErr w:type="spellEnd"/>
      <w:r w:rsidRPr="00D758BE">
        <w:rPr>
          <w:rFonts w:asciiTheme="majorBidi" w:hAnsiTheme="majorBidi" w:cstheme="majorBidi"/>
        </w:rPr>
        <w:t xml:space="preserve"> U6-DHODH 868-hPGK-Puro for </w:t>
      </w:r>
      <w:proofErr w:type="spellStart"/>
      <w:r w:rsidRPr="00D758BE">
        <w:rPr>
          <w:rFonts w:asciiTheme="majorBidi" w:hAnsiTheme="majorBidi" w:cstheme="majorBidi"/>
        </w:rPr>
        <w:t>shDHODH</w:t>
      </w:r>
      <w:proofErr w:type="spellEnd"/>
      <w:r w:rsidRPr="00D758BE">
        <w:rPr>
          <w:rFonts w:asciiTheme="majorBidi" w:hAnsiTheme="majorBidi" w:cstheme="majorBidi"/>
        </w:rPr>
        <w:t xml:space="preserve">; </w:t>
      </w:r>
      <w:proofErr w:type="spellStart"/>
      <w:r w:rsidRPr="00D758BE">
        <w:rPr>
          <w:rFonts w:asciiTheme="majorBidi" w:hAnsiTheme="majorBidi" w:cstheme="majorBidi"/>
        </w:rPr>
        <w:t>pLKO</w:t>
      </w:r>
      <w:proofErr w:type="spellEnd"/>
      <w:r w:rsidRPr="00D758BE">
        <w:rPr>
          <w:rFonts w:asciiTheme="majorBidi" w:hAnsiTheme="majorBidi" w:cstheme="majorBidi"/>
        </w:rPr>
        <w:t xml:space="preserve"> U6-shCtrl-hPGK-Puro for </w:t>
      </w:r>
      <w:proofErr w:type="spellStart"/>
      <w:r w:rsidRPr="00D758BE">
        <w:rPr>
          <w:rFonts w:asciiTheme="majorBidi" w:hAnsiTheme="majorBidi" w:cstheme="majorBidi"/>
        </w:rPr>
        <w:t>shPLKO</w:t>
      </w:r>
      <w:proofErr w:type="spellEnd"/>
      <w:r w:rsidRPr="00D758BE">
        <w:rPr>
          <w:rFonts w:asciiTheme="majorBidi" w:hAnsiTheme="majorBidi" w:cstheme="majorBidi"/>
        </w:rPr>
        <w:t xml:space="preserve"> control). Briefly, 100000 cells were seeded in a 6-well plate. The next day, cells were incubated with lentiviral particles for 24 hours. Three days after transduction, cells were selected with puromycin. Specific inhibition of human DHODH protein expression was verified by western blot before transplantation into mice.</w:t>
      </w:r>
    </w:p>
    <w:p w14:paraId="2B13F1D3"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p>
    <w:p w14:paraId="37310737"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p>
    <w:p w14:paraId="6EEEA178"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color w:val="000000"/>
        </w:rPr>
        <w:t>Western blot</w:t>
      </w:r>
    </w:p>
    <w:p w14:paraId="53B5664A"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i/>
          <w:iCs/>
          <w:color w:val="000000"/>
        </w:rPr>
        <w:t>Protein Extraction:</w:t>
      </w:r>
      <w:r w:rsidRPr="00D758BE">
        <w:rPr>
          <w:rFonts w:asciiTheme="majorBidi" w:hAnsiTheme="majorBidi" w:cstheme="majorBidi"/>
          <w:b/>
          <w:bCs/>
          <w:color w:val="000000"/>
        </w:rPr>
        <w:t xml:space="preserve"> </w:t>
      </w:r>
      <w:r w:rsidRPr="00D758BE">
        <w:rPr>
          <w:rFonts w:asciiTheme="majorBidi" w:hAnsiTheme="majorBidi" w:cstheme="majorBidi"/>
          <w:color w:val="000000"/>
        </w:rPr>
        <w:t>Cells were lysed in ice-cold RIPA lysis buffer (</w:t>
      </w:r>
      <w:proofErr w:type="spellStart"/>
      <w:r w:rsidRPr="00D758BE">
        <w:rPr>
          <w:rFonts w:asciiTheme="majorBidi" w:hAnsiTheme="majorBidi" w:cstheme="majorBidi"/>
          <w:color w:val="000000"/>
        </w:rPr>
        <w:t>Thermo</w:t>
      </w:r>
      <w:proofErr w:type="spellEnd"/>
      <w:r w:rsidRPr="00D758BE">
        <w:rPr>
          <w:rFonts w:asciiTheme="majorBidi" w:hAnsiTheme="majorBidi" w:cstheme="majorBidi"/>
          <w:color w:val="000000"/>
        </w:rPr>
        <w:t xml:space="preserve"> Fischer scientific) supplemented with protease and phosphatase inhibitor cocktail (Halt™ Protease and Phosphatase Inhibitor Cocktail, </w:t>
      </w:r>
      <w:proofErr w:type="spellStart"/>
      <w:r w:rsidRPr="00D758BE">
        <w:rPr>
          <w:rFonts w:asciiTheme="majorBidi" w:hAnsiTheme="majorBidi" w:cstheme="majorBidi"/>
          <w:color w:val="000000"/>
        </w:rPr>
        <w:t>Thermo</w:t>
      </w:r>
      <w:proofErr w:type="spellEnd"/>
      <w:r w:rsidRPr="00D758BE">
        <w:rPr>
          <w:rFonts w:asciiTheme="majorBidi" w:hAnsiTheme="majorBidi" w:cstheme="majorBidi"/>
          <w:color w:val="000000"/>
        </w:rPr>
        <w:t xml:space="preserve"> Fisher Scientific). Cell lysates were incubated on ice for 20 minutes and then centrifuged at 13000 rpm for 20 minutes at 4°C. The supernatant was collected, and protein concentration was determined using the BCA protein assay kit (</w:t>
      </w:r>
      <w:proofErr w:type="spellStart"/>
      <w:r w:rsidRPr="00D758BE">
        <w:rPr>
          <w:rFonts w:asciiTheme="majorBidi" w:hAnsiTheme="majorBidi" w:cstheme="majorBidi"/>
          <w:color w:val="000000"/>
        </w:rPr>
        <w:t>Thermo</w:t>
      </w:r>
      <w:proofErr w:type="spellEnd"/>
      <w:r w:rsidRPr="00D758BE">
        <w:rPr>
          <w:rFonts w:asciiTheme="majorBidi" w:hAnsiTheme="majorBidi" w:cstheme="majorBidi"/>
          <w:color w:val="000000"/>
        </w:rPr>
        <w:t xml:space="preserve"> Fisher Scientific).</w:t>
      </w:r>
    </w:p>
    <w:p w14:paraId="7121FBB9" w14:textId="77777777" w:rsidR="00DA28E5" w:rsidRPr="00D758BE" w:rsidRDefault="00DA28E5" w:rsidP="00DA28E5">
      <w:pPr>
        <w:spacing w:line="480" w:lineRule="auto"/>
        <w:contextualSpacing/>
        <w:jc w:val="both"/>
        <w:rPr>
          <w:rFonts w:asciiTheme="majorBidi" w:hAnsiTheme="majorBidi" w:cstheme="majorBidi"/>
          <w:color w:val="000000"/>
        </w:rPr>
      </w:pPr>
      <w:r w:rsidRPr="00D758BE">
        <w:rPr>
          <w:rFonts w:asciiTheme="majorBidi" w:hAnsiTheme="majorBidi" w:cstheme="majorBidi"/>
          <w:color w:val="000000"/>
        </w:rPr>
        <w:t>For xenograft samples, sections of the xenograft were put in a hypotonic buffer (2.5 mM Tris/HCl, pH 7.5 and 2.5</w:t>
      </w:r>
      <w:r w:rsidR="00331041" w:rsidRPr="00D758BE">
        <w:rPr>
          <w:rFonts w:asciiTheme="majorBidi" w:hAnsiTheme="majorBidi" w:cstheme="majorBidi"/>
          <w:color w:val="000000"/>
        </w:rPr>
        <w:t xml:space="preserve"> </w:t>
      </w:r>
      <w:r w:rsidRPr="00D758BE">
        <w:rPr>
          <w:rFonts w:asciiTheme="majorBidi" w:hAnsiTheme="majorBidi" w:cstheme="majorBidi"/>
          <w:color w:val="000000"/>
        </w:rPr>
        <w:t xml:space="preserve">mM MgCl2) supplemented with protease and phosphatase inhibitor cocktail (Halt™ Protease and Phosphatase Inhibitor Cocktail, </w:t>
      </w:r>
      <w:proofErr w:type="spellStart"/>
      <w:r w:rsidRPr="00D758BE">
        <w:rPr>
          <w:rFonts w:asciiTheme="majorBidi" w:hAnsiTheme="majorBidi" w:cstheme="majorBidi"/>
          <w:color w:val="000000"/>
        </w:rPr>
        <w:t>Thermo</w:t>
      </w:r>
      <w:proofErr w:type="spellEnd"/>
      <w:r w:rsidRPr="00D758BE">
        <w:rPr>
          <w:rFonts w:asciiTheme="majorBidi" w:hAnsiTheme="majorBidi" w:cstheme="majorBidi"/>
          <w:color w:val="000000"/>
        </w:rPr>
        <w:t xml:space="preserve"> Fisher Scientific) and grinded with </w:t>
      </w:r>
      <w:proofErr w:type="spellStart"/>
      <w:r w:rsidRPr="00D758BE">
        <w:rPr>
          <w:rFonts w:asciiTheme="majorBidi" w:hAnsiTheme="majorBidi" w:cstheme="majorBidi"/>
          <w:color w:val="000000"/>
        </w:rPr>
        <w:t>Precellys</w:t>
      </w:r>
      <w:proofErr w:type="spellEnd"/>
      <w:r w:rsidRPr="00D758BE">
        <w:rPr>
          <w:rFonts w:asciiTheme="majorBidi" w:hAnsiTheme="majorBidi" w:cstheme="majorBidi"/>
          <w:color w:val="000000"/>
        </w:rPr>
        <w:t>® Evolution. The tubes were than centrifuge at 13</w:t>
      </w:r>
      <w:r w:rsidR="00331041" w:rsidRPr="00D758BE">
        <w:rPr>
          <w:rFonts w:asciiTheme="majorBidi" w:hAnsiTheme="majorBidi" w:cstheme="majorBidi"/>
          <w:color w:val="000000"/>
        </w:rPr>
        <w:t xml:space="preserve"> </w:t>
      </w:r>
      <w:r w:rsidRPr="00D758BE">
        <w:rPr>
          <w:rFonts w:asciiTheme="majorBidi" w:hAnsiTheme="majorBidi" w:cstheme="majorBidi"/>
          <w:color w:val="000000"/>
        </w:rPr>
        <w:t>000 rpm for 5 mins at 4°C. The supernatant was collected, adding 10x RIPA analogue (500 mM Tris-HCl pH 7.4, 1.5 M NaCl, 10% Triton X-100, 1% SDS, and 5% sodium deoxycholate), incubated for 20 min on ice and then centrifuged at 13000 rpm for 20 minutes at 4°C. The supernatant was collected, and protein concentration was determined using the BCA protein assay kit (</w:t>
      </w:r>
      <w:proofErr w:type="spellStart"/>
      <w:r w:rsidRPr="00D758BE">
        <w:rPr>
          <w:rFonts w:asciiTheme="majorBidi" w:hAnsiTheme="majorBidi" w:cstheme="majorBidi"/>
          <w:color w:val="000000"/>
        </w:rPr>
        <w:t>Thermo</w:t>
      </w:r>
      <w:proofErr w:type="spellEnd"/>
      <w:r w:rsidRPr="00D758BE">
        <w:rPr>
          <w:rFonts w:asciiTheme="majorBidi" w:hAnsiTheme="majorBidi" w:cstheme="majorBidi"/>
          <w:color w:val="000000"/>
        </w:rPr>
        <w:t xml:space="preserve"> Fisher Scientific).</w:t>
      </w:r>
    </w:p>
    <w:p w14:paraId="3FC2D60D"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i/>
          <w:iCs/>
          <w:color w:val="000000"/>
        </w:rPr>
        <w:t>SDS-PAGE and Transfer:</w:t>
      </w:r>
      <w:r w:rsidRPr="00D758BE">
        <w:rPr>
          <w:rFonts w:asciiTheme="majorBidi" w:hAnsiTheme="majorBidi" w:cstheme="majorBidi"/>
          <w:b/>
          <w:bCs/>
          <w:color w:val="000000"/>
        </w:rPr>
        <w:t xml:space="preserve"> </w:t>
      </w:r>
      <w:r w:rsidRPr="00D758BE">
        <w:rPr>
          <w:rFonts w:asciiTheme="majorBidi" w:hAnsiTheme="majorBidi" w:cstheme="majorBidi"/>
          <w:color w:val="000000"/>
        </w:rPr>
        <w:t xml:space="preserve">Equal amounts of protein (30 µg) were mixed with 6x Laemmli sample buffer, heated at 95°C for 5 minutes, and loaded onto precast SDS-PAGE gels (4–20% Mini-PROTEAN® TGX™ Stain Free Precast Gels, Bio-Rad). Electrophoresis was performed at 55–120 V until appropriate separation was achieved. Proteins were transferred onto nitrocellulose membranes (Amersham™ </w:t>
      </w:r>
      <w:proofErr w:type="spellStart"/>
      <w:r w:rsidRPr="00D758BE">
        <w:rPr>
          <w:rFonts w:asciiTheme="majorBidi" w:hAnsiTheme="majorBidi" w:cstheme="majorBidi"/>
          <w:color w:val="000000"/>
        </w:rPr>
        <w:t>Protran</w:t>
      </w:r>
      <w:proofErr w:type="spellEnd"/>
      <w:r w:rsidRPr="00D758BE">
        <w:rPr>
          <w:rFonts w:asciiTheme="majorBidi" w:hAnsiTheme="majorBidi" w:cstheme="majorBidi"/>
          <w:color w:val="000000"/>
        </w:rPr>
        <w:t xml:space="preserve">® Western blotting membranes, nitrocellulose, Merck) using </w:t>
      </w:r>
      <w:proofErr w:type="spellStart"/>
      <w:r w:rsidRPr="00D758BE">
        <w:rPr>
          <w:rFonts w:asciiTheme="majorBidi" w:hAnsiTheme="majorBidi" w:cstheme="majorBidi"/>
          <w:color w:val="000000"/>
        </w:rPr>
        <w:t>eBlot</w:t>
      </w:r>
      <w:proofErr w:type="spellEnd"/>
      <w:r w:rsidRPr="00D758BE">
        <w:rPr>
          <w:rFonts w:asciiTheme="majorBidi" w:hAnsiTheme="majorBidi" w:cstheme="majorBidi"/>
          <w:color w:val="000000"/>
        </w:rPr>
        <w:t>™ L1 Protein Transfer System (</w:t>
      </w:r>
      <w:proofErr w:type="spellStart"/>
      <w:r w:rsidRPr="00D758BE">
        <w:rPr>
          <w:rFonts w:asciiTheme="majorBidi" w:hAnsiTheme="majorBidi" w:cstheme="majorBidi"/>
          <w:color w:val="000000"/>
        </w:rPr>
        <w:t>GenScrip</w:t>
      </w:r>
      <w:proofErr w:type="spellEnd"/>
      <w:r w:rsidRPr="00D758BE">
        <w:rPr>
          <w:rFonts w:asciiTheme="majorBidi" w:hAnsiTheme="majorBidi" w:cstheme="majorBidi"/>
          <w:color w:val="000000"/>
        </w:rPr>
        <w:t>).</w:t>
      </w:r>
    </w:p>
    <w:p w14:paraId="309A95A7" w14:textId="77777777" w:rsidR="00DA28E5" w:rsidRPr="00D758BE" w:rsidRDefault="00DA28E5" w:rsidP="00331041">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i/>
          <w:iCs/>
          <w:color w:val="000000"/>
        </w:rPr>
        <w:t>Blocking and Antibody Incubation:</w:t>
      </w:r>
      <w:r w:rsidRPr="00D758BE">
        <w:rPr>
          <w:rFonts w:asciiTheme="majorBidi" w:hAnsiTheme="majorBidi" w:cstheme="majorBidi"/>
          <w:b/>
          <w:bCs/>
          <w:color w:val="000000"/>
        </w:rPr>
        <w:t xml:space="preserve"> </w:t>
      </w:r>
      <w:r w:rsidRPr="00D758BE">
        <w:rPr>
          <w:rFonts w:asciiTheme="majorBidi" w:hAnsiTheme="majorBidi" w:cstheme="majorBidi"/>
          <w:color w:val="000000"/>
        </w:rPr>
        <w:t>Membranes were blocked with 2% ECL prime blocking reagent (CYTIVA) for 1 hour at room temperature. After blocking, membranes were then incubated overnight at 4 °C with a 1:1000 dilution of the anti-DHODH (ABC138, Merck), anti-</w:t>
      </w:r>
      <w:proofErr w:type="spellStart"/>
      <w:r w:rsidRPr="00D758BE">
        <w:rPr>
          <w:rFonts w:asciiTheme="majorBidi" w:hAnsiTheme="majorBidi" w:cstheme="majorBidi"/>
          <w:color w:val="000000"/>
        </w:rPr>
        <w:lastRenderedPageBreak/>
        <w:t>PanCK</w:t>
      </w:r>
      <w:proofErr w:type="spellEnd"/>
      <w:r w:rsidRPr="00D758BE">
        <w:rPr>
          <w:rFonts w:asciiTheme="majorBidi" w:hAnsiTheme="majorBidi" w:cstheme="majorBidi"/>
          <w:color w:val="000000"/>
        </w:rPr>
        <w:t xml:space="preserve"> (sc-81714, Santa-Cruz), anti-Krt10 (ab76318, </w:t>
      </w:r>
      <w:proofErr w:type="spellStart"/>
      <w:r w:rsidRPr="00D758BE">
        <w:rPr>
          <w:rFonts w:asciiTheme="majorBidi" w:hAnsiTheme="majorBidi" w:cstheme="majorBidi"/>
          <w:color w:val="000000"/>
        </w:rPr>
        <w:t>abcam</w:t>
      </w:r>
      <w:proofErr w:type="spellEnd"/>
      <w:r w:rsidRPr="00D758BE">
        <w:rPr>
          <w:rFonts w:asciiTheme="majorBidi" w:hAnsiTheme="majorBidi" w:cstheme="majorBidi"/>
          <w:color w:val="000000"/>
        </w:rPr>
        <w:t>) diluted in the blocking buffer. The following day, membranes were washed with TBST (3 × 10 minutes) and incubated with a 1:10000 dilution of an anti-immunoglobulin horseradish peroxidase-linked antibody (</w:t>
      </w:r>
      <w:proofErr w:type="spellStart"/>
      <w:r w:rsidR="00331041" w:rsidRPr="00D758BE">
        <w:rPr>
          <w:rFonts w:asciiTheme="majorBidi" w:hAnsiTheme="majorBidi" w:cstheme="majorBidi"/>
          <w:color w:val="000000"/>
        </w:rPr>
        <w:t>E</w:t>
      </w:r>
      <w:r w:rsidRPr="00D758BE">
        <w:rPr>
          <w:rFonts w:asciiTheme="majorBidi" w:hAnsiTheme="majorBidi" w:cstheme="majorBidi"/>
          <w:color w:val="000000"/>
        </w:rPr>
        <w:t>urobio</w:t>
      </w:r>
      <w:proofErr w:type="spellEnd"/>
      <w:r w:rsidRPr="00D758BE">
        <w:rPr>
          <w:rFonts w:asciiTheme="majorBidi" w:hAnsiTheme="majorBidi" w:cstheme="majorBidi"/>
          <w:color w:val="000000"/>
        </w:rPr>
        <w:t xml:space="preserve"> scientific) for 1 h. After additional washes, protein bands were detected using enhanced chemiluminescence (ECL) reagent (</w:t>
      </w:r>
      <w:proofErr w:type="spellStart"/>
      <w:r w:rsidRPr="00D758BE">
        <w:rPr>
          <w:rFonts w:asciiTheme="majorBidi" w:hAnsiTheme="majorBidi" w:cstheme="majorBidi"/>
          <w:color w:val="000000"/>
        </w:rPr>
        <w:t>Biorad</w:t>
      </w:r>
      <w:proofErr w:type="spellEnd"/>
      <w:r w:rsidRPr="00D758BE">
        <w:rPr>
          <w:rFonts w:asciiTheme="majorBidi" w:hAnsiTheme="majorBidi" w:cstheme="majorBidi"/>
          <w:color w:val="000000"/>
        </w:rPr>
        <w:t xml:space="preserve">), and visualized using </w:t>
      </w:r>
      <w:proofErr w:type="spellStart"/>
      <w:r w:rsidRPr="00D758BE">
        <w:rPr>
          <w:rFonts w:asciiTheme="majorBidi" w:hAnsiTheme="majorBidi" w:cstheme="majorBidi"/>
          <w:color w:val="000000"/>
        </w:rPr>
        <w:t>iBright</w:t>
      </w:r>
      <w:proofErr w:type="spellEnd"/>
      <w:r w:rsidRPr="00D758BE">
        <w:rPr>
          <w:rFonts w:asciiTheme="majorBidi" w:hAnsiTheme="majorBidi" w:cstheme="majorBidi"/>
          <w:color w:val="000000"/>
        </w:rPr>
        <w:t xml:space="preserve"> Imaging System (</w:t>
      </w:r>
      <w:proofErr w:type="spellStart"/>
      <w:r w:rsidRPr="00D758BE">
        <w:rPr>
          <w:rFonts w:asciiTheme="majorBidi" w:hAnsiTheme="majorBidi" w:cstheme="majorBidi"/>
          <w:color w:val="000000"/>
        </w:rPr>
        <w:t>Thermo</w:t>
      </w:r>
      <w:proofErr w:type="spellEnd"/>
      <w:r w:rsidRPr="00D758BE">
        <w:rPr>
          <w:rFonts w:asciiTheme="majorBidi" w:hAnsiTheme="majorBidi" w:cstheme="majorBidi"/>
          <w:color w:val="000000"/>
        </w:rPr>
        <w:t xml:space="preserve"> Fisher Scientific).</w:t>
      </w:r>
    </w:p>
    <w:p w14:paraId="356BF4D8"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i/>
          <w:iCs/>
          <w:color w:val="000000"/>
        </w:rPr>
        <w:t>Data Analysis</w:t>
      </w:r>
      <w:r w:rsidRPr="00D758BE">
        <w:rPr>
          <w:rFonts w:asciiTheme="majorBidi" w:hAnsiTheme="majorBidi" w:cstheme="majorBidi"/>
          <w:b/>
          <w:bCs/>
          <w:color w:val="000000"/>
        </w:rPr>
        <w:t xml:space="preserve">: </w:t>
      </w:r>
      <w:r w:rsidRPr="00D758BE">
        <w:rPr>
          <w:rFonts w:asciiTheme="majorBidi" w:hAnsiTheme="majorBidi" w:cstheme="majorBidi"/>
          <w:color w:val="000000"/>
        </w:rPr>
        <w:t xml:space="preserve">Band intensities were quantified using </w:t>
      </w:r>
      <w:proofErr w:type="spellStart"/>
      <w:r w:rsidRPr="00D758BE">
        <w:rPr>
          <w:rFonts w:asciiTheme="majorBidi" w:hAnsiTheme="majorBidi" w:cstheme="majorBidi"/>
          <w:color w:val="000000"/>
        </w:rPr>
        <w:t>iBright</w:t>
      </w:r>
      <w:proofErr w:type="spellEnd"/>
      <w:r w:rsidRPr="00D758BE">
        <w:rPr>
          <w:rFonts w:asciiTheme="majorBidi" w:hAnsiTheme="majorBidi" w:cstheme="majorBidi"/>
          <w:color w:val="000000"/>
        </w:rPr>
        <w:t xml:space="preserve"> analysis software. Target protein expression levels were normalized to housekeeping proteins such as β-actin or to total lane protein. Data were analyzed from at least three independent experiments.</w:t>
      </w:r>
    </w:p>
    <w:p w14:paraId="099CDFC2"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p>
    <w:p w14:paraId="6240CE6C"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color w:val="000000"/>
        </w:rPr>
        <w:t xml:space="preserve">Proteome analyses by mass spectrometry </w:t>
      </w:r>
    </w:p>
    <w:p w14:paraId="6B3BE0DF" w14:textId="77777777" w:rsidR="00DA28E5" w:rsidRPr="00D758BE" w:rsidRDefault="00DA28E5" w:rsidP="00DA28E5">
      <w:pPr>
        <w:spacing w:line="480" w:lineRule="auto"/>
        <w:contextualSpacing/>
        <w:jc w:val="both"/>
      </w:pPr>
      <w:r w:rsidRPr="00D758BE">
        <w:rPr>
          <w:b/>
          <w:i/>
        </w:rPr>
        <w:t xml:space="preserve">Sample preparation and protein digestion: </w:t>
      </w:r>
      <w:r w:rsidRPr="00D758BE">
        <w:t>Protein samples were solubilized in Laemmli buffer and separated by SDS–PAGE. After colloidal blue staining, each lane was excised and further cut into approximately 1 × 1 mm gel pieces. The gel pieces were destained in 25 mM ammonium bicarbonate containing 50% acetonitrile (ACN), rinsed twice with ultrapure water, and dehydrated in ACN for 10 min. After removal of ACN, the gel pieces were air-dried at room temperature, covered with sequencing-grade trypsin solution (10 ng/µL in 50 mM ammonium bicarbonate), rehydrated at 4 °C for 10 min, and incubated overnight at 37 °C.</w:t>
      </w:r>
    </w:p>
    <w:p w14:paraId="732EAA78" w14:textId="77777777" w:rsidR="00DA28E5" w:rsidRPr="00D758BE" w:rsidRDefault="00DA28E5" w:rsidP="00DA28E5">
      <w:pPr>
        <w:spacing w:line="480" w:lineRule="auto"/>
        <w:contextualSpacing/>
        <w:jc w:val="both"/>
      </w:pPr>
      <w:r w:rsidRPr="00D758BE">
        <w:t>Peptides were first extracted by incubating the gel pieces for 15 min in 50 mM ammonium bicarbonate with gentle shaking. The supernatant was collected, and extraction was repeated twice with a H₂O/ACN/formic acid (47.5:47.5:5, v/v/v) solution for 15 min each. The combined extracts were pooled and dried in a vacuum centrifuge. The resulting peptide digests were resuspended in 0.1% formic acid prior to LC–MS/MS analysis.</w:t>
      </w:r>
    </w:p>
    <w:p w14:paraId="604EA751" w14:textId="77777777" w:rsidR="00DA28E5" w:rsidRPr="00D758BE" w:rsidRDefault="00DA28E5" w:rsidP="00DA28E5">
      <w:pPr>
        <w:spacing w:line="480" w:lineRule="auto"/>
        <w:contextualSpacing/>
        <w:jc w:val="both"/>
      </w:pPr>
      <w:proofErr w:type="spellStart"/>
      <w:r w:rsidRPr="00D758BE">
        <w:rPr>
          <w:b/>
          <w:i/>
        </w:rPr>
        <w:t>nLC</w:t>
      </w:r>
      <w:proofErr w:type="spellEnd"/>
      <w:r w:rsidRPr="00D758BE">
        <w:rPr>
          <w:b/>
          <w:i/>
        </w:rPr>
        <w:t xml:space="preserve">-MS/MS analysis and Label-Free Quantitative Data Analysis: </w:t>
      </w:r>
      <w:r w:rsidRPr="00D758BE">
        <w:t xml:space="preserve">Peptide mixtures were analyzed using an Ultimate 3000 </w:t>
      </w:r>
      <w:proofErr w:type="spellStart"/>
      <w:r w:rsidRPr="00D758BE">
        <w:t>nanoLC</w:t>
      </w:r>
      <w:proofErr w:type="spellEnd"/>
      <w:r w:rsidRPr="00D758BE">
        <w:t xml:space="preserve"> system (</w:t>
      </w:r>
      <w:proofErr w:type="spellStart"/>
      <w:r w:rsidRPr="00D758BE">
        <w:t>Dionex</w:t>
      </w:r>
      <w:proofErr w:type="spellEnd"/>
      <w:r w:rsidRPr="00D758BE">
        <w:t xml:space="preserve">, Amsterdam, The Netherlands) coupled </w:t>
      </w:r>
      <w:r w:rsidRPr="00D758BE">
        <w:lastRenderedPageBreak/>
        <w:t xml:space="preserve">to an Orbitrap Fusion™ Lumos™ </w:t>
      </w:r>
      <w:proofErr w:type="spellStart"/>
      <w:r w:rsidRPr="00D758BE">
        <w:t>Tribrid</w:t>
      </w:r>
      <w:proofErr w:type="spellEnd"/>
      <w:r w:rsidRPr="00D758BE">
        <w:t>™ Mass Spectrometer (</w:t>
      </w:r>
      <w:proofErr w:type="spellStart"/>
      <w:r w:rsidRPr="00D758BE">
        <w:t>Thermo</w:t>
      </w:r>
      <w:proofErr w:type="spellEnd"/>
      <w:r w:rsidRPr="00D758BE">
        <w:t xml:space="preserve"> Fisher Scientific, San Jose, CA).</w:t>
      </w:r>
    </w:p>
    <w:p w14:paraId="4475B3A7" w14:textId="77777777" w:rsidR="00DA28E5" w:rsidRPr="00D758BE" w:rsidRDefault="00DA28E5" w:rsidP="00DA28E5">
      <w:pPr>
        <w:spacing w:line="480" w:lineRule="auto"/>
        <w:contextualSpacing/>
        <w:jc w:val="both"/>
      </w:pPr>
      <w:r w:rsidRPr="00D758BE">
        <w:t xml:space="preserve">Ten microliters of each peptide digest were loaded onto a C18 </w:t>
      </w:r>
      <w:proofErr w:type="spellStart"/>
      <w:r w:rsidRPr="00D758BE">
        <w:t>PepMap</w:t>
      </w:r>
      <w:proofErr w:type="spellEnd"/>
      <w:r w:rsidRPr="00D758BE">
        <w:t xml:space="preserve">™ trap column (300 µm × 5 mm, LC Packings) at a flow rate of 10 µL/min. Peptides were separated on a C18 </w:t>
      </w:r>
      <w:proofErr w:type="spellStart"/>
      <w:r w:rsidRPr="00D758BE">
        <w:t>PepMap</w:t>
      </w:r>
      <w:proofErr w:type="spellEnd"/>
      <w:r w:rsidRPr="00D758BE">
        <w:t xml:space="preserve">™ analytical column (75 µm × 50 cm, LC Packings) using a linear gradient of 4–25% solvent B over 87 min, followed by an increase from 25% to 40% solvent B in 30 min (solvent A: 0.1% formic acid in water; solvent B: 0.1% formic acid in 80% ACN). The flow rate was set to 200 </w:t>
      </w:r>
      <w:proofErr w:type="spellStart"/>
      <w:r w:rsidRPr="00D758BE">
        <w:t>nL</w:t>
      </w:r>
      <w:proofErr w:type="spellEnd"/>
      <w:r w:rsidRPr="00D758BE">
        <w:t>/min.</w:t>
      </w:r>
    </w:p>
    <w:p w14:paraId="7279F6B7" w14:textId="77777777" w:rsidR="00DA28E5" w:rsidRPr="00D758BE" w:rsidRDefault="00DA28E5" w:rsidP="00DA28E5">
      <w:pPr>
        <w:spacing w:line="480" w:lineRule="auto"/>
        <w:contextualSpacing/>
        <w:jc w:val="both"/>
      </w:pPr>
      <w:r w:rsidRPr="00D758BE">
        <w:t xml:space="preserve">The mass spectrometer was operated in positive ion mode with a spray voltage of 2 kV. Data were acquired in data-independent acquisition (DIA) mode using </w:t>
      </w:r>
      <w:proofErr w:type="spellStart"/>
      <w:r w:rsidRPr="00D758BE">
        <w:t>Xcalibur</w:t>
      </w:r>
      <w:proofErr w:type="spellEnd"/>
      <w:r w:rsidRPr="00D758BE">
        <w:t xml:space="preserve"> 4.4 software. Each cycle consisted of a full MS scan (resolution 60,000; AGC target 4 × 10^5; maximum injection time 50 </w:t>
      </w:r>
      <w:proofErr w:type="spellStart"/>
      <w:r w:rsidRPr="00D758BE">
        <w:t>ms</w:t>
      </w:r>
      <w:proofErr w:type="spellEnd"/>
      <w:r w:rsidRPr="00D758BE">
        <w:t xml:space="preserve">; scan range 350–1400 m/z) followed by 34 DIA MS/MS scans (resolution 30,000; AGC target 5 × 10^5; maximum injection time 54 </w:t>
      </w:r>
      <w:proofErr w:type="spellStart"/>
      <w:r w:rsidRPr="00D758BE">
        <w:t>ms</w:t>
      </w:r>
      <w:proofErr w:type="spellEnd"/>
      <w:r w:rsidRPr="00D758BE">
        <w:t>) with variable-width isolation windows covering 380–980 m/z. Higher-energy collisional dissociation (HCD) was performed with a collision energy of 25%.</w:t>
      </w:r>
    </w:p>
    <w:p w14:paraId="4BFABDA5" w14:textId="77777777" w:rsidR="00DA28E5" w:rsidRPr="00D758BE" w:rsidRDefault="00DA28E5" w:rsidP="00452E4D">
      <w:pPr>
        <w:spacing w:line="480" w:lineRule="auto"/>
        <w:contextualSpacing/>
        <w:jc w:val="both"/>
        <w:rPr>
          <w:rFonts w:eastAsia="Calibri"/>
        </w:rPr>
      </w:pPr>
      <w:r w:rsidRPr="00D758BE">
        <w:rPr>
          <w:b/>
          <w:i/>
        </w:rPr>
        <w:t xml:space="preserve">Database search and results processing: </w:t>
      </w:r>
      <w:r w:rsidRPr="00D758BE">
        <w:rPr>
          <w:rFonts w:eastAsia="Calibri"/>
        </w:rPr>
        <w:t xml:space="preserve">DIA data were analyzed with </w:t>
      </w:r>
      <w:proofErr w:type="spellStart"/>
      <w:r w:rsidRPr="00D758BE">
        <w:rPr>
          <w:rFonts w:eastAsia="Calibri"/>
        </w:rPr>
        <w:t>Chimerys</w:t>
      </w:r>
      <w:proofErr w:type="spellEnd"/>
      <w:r w:rsidRPr="00D758BE">
        <w:rPr>
          <w:rFonts w:eastAsia="Calibri"/>
        </w:rPr>
        <w:t xml:space="preserve"> in Proteome Discoverer 3.1 (</w:t>
      </w:r>
      <w:proofErr w:type="spellStart"/>
      <w:r w:rsidRPr="00D758BE">
        <w:rPr>
          <w:rFonts w:eastAsia="Calibri"/>
        </w:rPr>
        <w:t>Thermo</w:t>
      </w:r>
      <w:proofErr w:type="spellEnd"/>
      <w:r w:rsidRPr="00D758BE">
        <w:rPr>
          <w:rFonts w:eastAsia="Calibri"/>
        </w:rPr>
        <w:t xml:space="preserve"> Fisher Scientific) against the </w:t>
      </w:r>
      <w:r w:rsidRPr="00D758BE">
        <w:rPr>
          <w:rFonts w:eastAsia="Calibri"/>
          <w:i/>
          <w:iCs/>
        </w:rPr>
        <w:t>Homo sapiens</w:t>
      </w:r>
      <w:r w:rsidRPr="00D758BE">
        <w:rPr>
          <w:rFonts w:eastAsia="Calibri"/>
        </w:rPr>
        <w:t xml:space="preserve"> protein database (2021-03 release, 20,324 entries). Spectra corresponding to peptides &lt;350 Da or &gt;5000 Da were excluded. The maximum precursor mass tolerance was set at 10 ppm. Up to two missed cleavages were allowed. </w:t>
      </w:r>
      <w:proofErr w:type="spellStart"/>
      <w:r w:rsidRPr="00D758BE">
        <w:rPr>
          <w:rFonts w:eastAsia="Calibri"/>
        </w:rPr>
        <w:t>Carbamidomethylation</w:t>
      </w:r>
      <w:proofErr w:type="spellEnd"/>
      <w:r w:rsidRPr="00D758BE">
        <w:rPr>
          <w:rFonts w:eastAsia="Calibri"/>
        </w:rPr>
        <w:t xml:space="preserve"> of cysteines (+57 Da) was set as a fixed modification, while oxidation of methionine (+16 Da) was considered as a variable modification. Only peptides with high confidence (corresponding to a 1% false discovery rate at the peptide level) were retained </w:t>
      </w:r>
      <w:r w:rsidRPr="00D758BE">
        <w:rPr>
          <w:rFonts w:asciiTheme="majorBidi" w:hAnsiTheme="majorBidi" w:cstheme="majorBidi"/>
          <w:lang w:eastAsia="fr-FR"/>
        </w:rPr>
        <w:fldChar w:fldCharType="begin"/>
      </w:r>
      <w:r w:rsidRPr="00D758BE">
        <w:rPr>
          <w:rFonts w:asciiTheme="majorBidi" w:hAnsiTheme="majorBidi" w:cstheme="majorBidi"/>
          <w:lang w:eastAsia="fr-FR"/>
        </w:rPr>
        <w:instrText xml:space="preserve"> ADDIN ZOTERO_ITEM CSL_CITATION {"citationID":"xEK6eODR","properties":{"formattedCitation":"\\super 1\\nosupersub{}","plainCitation":"1","noteIndex":0},"citationItems":[{"id":4358,"uris":["http://zotero.org/users/5949979/items/W9BVJEHT","http://zotero.org/users/5949979/items/68YLGQ2I"],"itemData":{"id":4358,"type":"article-journal","container-title":"Nature Methods","DOI":"10.1038/nmeth1113","ISSN":"1548-7091, 1548-7105","issue":"11","journalAbbreviation":"Nat Methods","language":"en","page":"923-925","source":"DOI.org (Crossref)","title":"Semi-supervised learning for peptide identification from shotgun proteomics datasets","volume":"4","author":[{"family":"Käll","given":"Lukas"},{"family":"Canterbury","given":"Jesse D"},{"family":"Weston","given":"Jason"},{"family":"Noble","given":"William Stafford"},{"family":"MacCoss","given":"Michael J"}],"issued":{"date-parts":[["2007",11]]}}}],"schema":"https://github.com/citation-style-language/schema/raw/master/csl-citation.json"} </w:instrText>
      </w:r>
      <w:r w:rsidRPr="00D758BE">
        <w:rPr>
          <w:rFonts w:asciiTheme="majorBidi" w:hAnsiTheme="majorBidi" w:cstheme="majorBidi"/>
          <w:lang w:eastAsia="fr-FR"/>
        </w:rPr>
        <w:fldChar w:fldCharType="separate"/>
      </w:r>
      <w:r w:rsidRPr="00D758BE">
        <w:rPr>
          <w:vertAlign w:val="superscript"/>
        </w:rPr>
        <w:t>1</w:t>
      </w:r>
      <w:r w:rsidRPr="00D758BE">
        <w:rPr>
          <w:rFonts w:asciiTheme="majorBidi" w:hAnsiTheme="majorBidi" w:cstheme="majorBidi"/>
          <w:lang w:eastAsia="fr-FR"/>
        </w:rPr>
        <w:fldChar w:fldCharType="end"/>
      </w:r>
      <w:r w:rsidRPr="00D758BE">
        <w:rPr>
          <w:rFonts w:eastAsia="Calibri"/>
        </w:rPr>
        <w:t xml:space="preserve">. Quantification was performed using the Fragment Ion Quantifier node, and normalization was based on the total human peptide abundance. Protein ratios were calculated as the median of all pairwise peptide ratios. Statistical analysis was performed using a t-test with </w:t>
      </w:r>
      <w:proofErr w:type="spellStart"/>
      <w:r w:rsidRPr="00D758BE">
        <w:rPr>
          <w:rFonts w:eastAsia="Calibri"/>
        </w:rPr>
        <w:t>Benjamini</w:t>
      </w:r>
      <w:proofErr w:type="spellEnd"/>
      <w:r w:rsidRPr="00D758BE">
        <w:rPr>
          <w:rFonts w:eastAsia="Calibri"/>
        </w:rPr>
        <w:t xml:space="preserve">–Hochberg </w:t>
      </w:r>
      <w:r w:rsidRPr="00D758BE">
        <w:rPr>
          <w:rFonts w:eastAsia="Calibri"/>
        </w:rPr>
        <w:lastRenderedPageBreak/>
        <w:t xml:space="preserve">correction. Only proteins quantified with at least two peptides and with an adjusted </w:t>
      </w:r>
      <w:r w:rsidR="00452E4D" w:rsidRPr="00452E4D">
        <w:rPr>
          <w:rFonts w:eastAsia="Calibri"/>
          <w:i/>
          <w:iCs/>
        </w:rPr>
        <w:t>P</w:t>
      </w:r>
      <w:r w:rsidRPr="00D758BE">
        <w:rPr>
          <w:rFonts w:eastAsia="Calibri"/>
        </w:rPr>
        <w:t xml:space="preserve"> &lt; 0.05 were considered significant. </w:t>
      </w:r>
      <w:r w:rsidRPr="00D758BE">
        <w:rPr>
          <w:rFonts w:asciiTheme="majorBidi" w:hAnsiTheme="majorBidi" w:cstheme="majorBidi"/>
          <w:lang w:eastAsia="fr-FR"/>
        </w:rPr>
        <w:t xml:space="preserve">The mass spectrometry proteomics data have been deposited to the </w:t>
      </w:r>
      <w:proofErr w:type="spellStart"/>
      <w:r w:rsidRPr="00D758BE">
        <w:rPr>
          <w:rFonts w:asciiTheme="majorBidi" w:hAnsiTheme="majorBidi" w:cstheme="majorBidi"/>
          <w:lang w:eastAsia="fr-FR"/>
        </w:rPr>
        <w:t>ProteomeXchange</w:t>
      </w:r>
      <w:proofErr w:type="spellEnd"/>
      <w:r w:rsidRPr="00D758BE">
        <w:rPr>
          <w:rFonts w:asciiTheme="majorBidi" w:hAnsiTheme="majorBidi" w:cstheme="majorBidi"/>
          <w:lang w:eastAsia="fr-FR"/>
        </w:rPr>
        <w:t xml:space="preserve"> Consortium via the PRIDE </w:t>
      </w:r>
      <w:r w:rsidRPr="00D758BE">
        <w:rPr>
          <w:rFonts w:asciiTheme="majorBidi" w:hAnsiTheme="majorBidi" w:cstheme="majorBidi"/>
          <w:lang w:eastAsia="fr-FR"/>
        </w:rPr>
        <w:fldChar w:fldCharType="begin"/>
      </w:r>
      <w:r w:rsidRPr="00D758BE">
        <w:rPr>
          <w:rFonts w:asciiTheme="majorBidi" w:hAnsiTheme="majorBidi" w:cstheme="majorBidi"/>
          <w:lang w:eastAsia="fr-FR"/>
        </w:rPr>
        <w:instrText xml:space="preserve"> ADDIN ZOTERO_ITEM CSL_CITATION {"citationID":"4IoGY5QO","properties":{"formattedCitation":"\\super 2\\nosupersub{}","plainCitation":"2","noteIndex":0},"citationItems":[{"id":4644,"uris":["http://zotero.org/users/5949979/items/T5YBG8ZQ","http://zotero.org/users/5949979/items/FICTKV36"],"itemData":{"id":4644,"type":"article-journal","abstract":"Mass spectrometry (MS) is by far the most used experimental approach in high-throughput proteomics. The ProteomeXchange (PX) consortium of proteomics resources (http://www.proteomexchange.org) was originally set up to standardize data submission and dissemination of public MS proteomics data. It is now 10 years since the initial data workflow was implemented. In this manuscript, we describe the main developments in PX since the previous update manuscript in Nucleic Acids Research was published in 2020. The six members of the Consortium are PRIDE, PeptideAtlas (including PASSEL), MassIVE, jPOST, iProX and Panorama Public. We report the current data submission statistics, showcasing that the number of datasets submitted to PX resources has continued to increase every year. As of June 2022, more than 34 233 datasets had been submitted to PX resources, and from those, 20 062 (58.6%) just in the last three years. We also report the development of the Universal Spectrum Identifiers and the improvements in capturing the experimental metadata annotations. In parallel, we highlight that data re-use activities of public datasets continue to increase, enabling connections between PX resources and other popular bioinformatics resources, novel research and also new data resources. Finally, we summarise the current state-of-the-art in data management practices for sensitive human (clinical) proteomics data.","container-title":"Nucleic Acids Research","DOI":"10.1093/nar/gkac1040","ISSN":"13624962","issue":"D1","note":"PMID: 36370099","page":"D1539-D1548","title":"The ProteomeXchange consortium at 10 years: 2023 update","volume":"51","author":[{"family":"Deutsch","given":"Eric W."},{"family":"Bandeira","given":"Nuno"},{"family":"Perez-Riverol","given":"Yasset"},{"family":"Sharma","given":"Vagisha"},{"family":"Carver","given":"Jeremy J."},{"family":"Mendoza","given":"Luis"},{"family":"Kundu","given":"Deepti J."},{"family":"Wang","given":"Shengbo"},{"family":"Bandla","given":"Chakradhar"},{"family":"Kamatchinathan","given":"Selvakumar"},{"family":"Hewapathirana","given":"Suresh"},{"family":"Pullman","given":"Benjamin S."},{"family":"Wertz","given":"Julie"},{"family":"Sun","given":"Zhi"},{"family":"Kawano","given":"Shin"},{"family":"Okuda","given":"Shujiro"},{"family":"Watanabe","given":"Yu"},{"family":"Maclean","given":"Brendan"},{"family":"Maccoss","given":"Michael J."},{"family":"Zhu","given":"Yunping"},{"family":"Ishihama","given":"Yasushi"},{"family":"Vizcaíno","given":"Juan Antonio"}],"issued":{"date-parts":[["2023"]]}}}],"schema":"https://github.com/citation-style-language/schema/raw/master/csl-citation.json"} </w:instrText>
      </w:r>
      <w:r w:rsidRPr="00D758BE">
        <w:rPr>
          <w:rFonts w:asciiTheme="majorBidi" w:hAnsiTheme="majorBidi" w:cstheme="majorBidi"/>
          <w:lang w:eastAsia="fr-FR"/>
        </w:rPr>
        <w:fldChar w:fldCharType="separate"/>
      </w:r>
      <w:r w:rsidRPr="00D758BE">
        <w:rPr>
          <w:vertAlign w:val="superscript"/>
        </w:rPr>
        <w:t>2</w:t>
      </w:r>
      <w:r w:rsidRPr="00D758BE">
        <w:rPr>
          <w:rFonts w:asciiTheme="majorBidi" w:hAnsiTheme="majorBidi" w:cstheme="majorBidi"/>
          <w:lang w:eastAsia="fr-FR"/>
        </w:rPr>
        <w:fldChar w:fldCharType="end"/>
      </w:r>
      <w:r w:rsidRPr="00D758BE">
        <w:rPr>
          <w:rFonts w:asciiTheme="majorBidi" w:hAnsiTheme="majorBidi" w:cstheme="majorBidi"/>
          <w:lang w:eastAsia="fr-FR"/>
        </w:rPr>
        <w:t xml:space="preserve"> partner repository with the dataset identifier PXD070860.</w:t>
      </w:r>
    </w:p>
    <w:p w14:paraId="6D4A43D2"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p>
    <w:p w14:paraId="5518CA2C"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color w:val="000000"/>
        </w:rPr>
        <w:t>Semi-targeted Metabolomics</w:t>
      </w:r>
    </w:p>
    <w:p w14:paraId="3310CFA1" w14:textId="77777777" w:rsidR="00DA28E5" w:rsidRPr="00D758BE" w:rsidRDefault="00DA28E5" w:rsidP="00DA28E5">
      <w:pPr>
        <w:pStyle w:val="NormalWeb"/>
        <w:spacing w:before="0" w:beforeAutospacing="0" w:after="0" w:afterAutospacing="0" w:line="480" w:lineRule="auto"/>
        <w:contextualSpacing/>
        <w:jc w:val="both"/>
        <w:rPr>
          <w:rFonts w:asciiTheme="majorBidi" w:hAnsiTheme="majorBidi" w:cstheme="majorBidi"/>
          <w:b/>
          <w:bCs/>
          <w:color w:val="808080" w:themeColor="background1" w:themeShade="80"/>
        </w:rPr>
      </w:pPr>
      <w:r w:rsidRPr="00D758BE">
        <w:t>Metabolites were extracted from tumors following the EtOH/</w:t>
      </w:r>
      <w:proofErr w:type="spellStart"/>
      <w:r w:rsidRPr="00D758BE">
        <w:t>Hepes</w:t>
      </w:r>
      <w:proofErr w:type="spellEnd"/>
      <w:r w:rsidRPr="00D758BE">
        <w:t xml:space="preserve"> protocol described in </w:t>
      </w:r>
      <w:r w:rsidRPr="00D758BE">
        <w:fldChar w:fldCharType="begin"/>
      </w:r>
      <w:r w:rsidRPr="00D758BE">
        <w:instrText xml:space="preserve"> ADDIN ZOTERO_ITEM CSL_CITATION {"citationID":"cf6QKG5P","properties":{"formattedCitation":"\\super 3\\nosupersub{}","plainCitation":"3","noteIndex":0},"citationItems":[{"id":"3R3qiIFf/nRlfOXb5","uris":["http://zotero.org/users/local/yG8CUb9s/items/ZQWNV68Z"],"itemData":{"id":1524,"type":"article-journal","container-title":"Journal of Biological Chemistry","DOI":"10.1016/j.jbc.2023.105011","ISSN":"00219258","issue":"8","journalAbbreviation":"Journal of Biological Chemistry","language":"en","page":"105011","source":"DOI.org (Crossref)","title":"On-demand utilization of phosphoribosyl pyrophosphate by downstream anabolic pathways","volume":"299","author":[{"family":"Pinson","given":"Benoît"},{"family":"Moenner","given":"Michel"},{"family":"Saint-Marc","given":"Christelle"},{"family":"Granger-Farbos","given":"Alexandra"},{"family":"Daignan-Fornier","given":"Bertrand"}],"issued":{"date-parts":[["2023",8]]}}}],"schema":"https://github.com/citation-style-language/schema/raw/master/csl-citation.json"} </w:instrText>
      </w:r>
      <w:r w:rsidRPr="00D758BE">
        <w:fldChar w:fldCharType="separate"/>
      </w:r>
      <w:r w:rsidRPr="00D758BE">
        <w:rPr>
          <w:vertAlign w:val="superscript"/>
        </w:rPr>
        <w:t>3</w:t>
      </w:r>
      <w:r w:rsidRPr="00D758BE">
        <w:fldChar w:fldCharType="end"/>
      </w:r>
      <w:r w:rsidRPr="00D758BE">
        <w:t>. Briefly, pre-weighed, frozen tumor samples were homogenized in 1 ml of EtOH/</w:t>
      </w:r>
      <w:proofErr w:type="spellStart"/>
      <w:r w:rsidRPr="00D758BE">
        <w:t>Hepes</w:t>
      </w:r>
      <w:proofErr w:type="spellEnd"/>
      <w:r w:rsidRPr="00D758BE">
        <w:t xml:space="preserve"> (8:2 v/v, 1 mM, pH 7) containing internal standards: Succinic acid-2,2,3,3-d</w:t>
      </w:r>
      <w:r w:rsidRPr="00D758BE">
        <w:rPr>
          <w:vertAlign w:val="subscript"/>
        </w:rPr>
        <w:t>4</w:t>
      </w:r>
      <w:r w:rsidRPr="00D758BE">
        <w:t>, L-Aspartic acid-</w:t>
      </w:r>
      <w:r w:rsidRPr="00D758BE">
        <w:rPr>
          <w:vertAlign w:val="superscript"/>
        </w:rPr>
        <w:t>13</w:t>
      </w:r>
      <w:r w:rsidRPr="00D758BE">
        <w:t>C</w:t>
      </w:r>
      <w:r w:rsidRPr="00D758BE">
        <w:rPr>
          <w:vertAlign w:val="subscript"/>
        </w:rPr>
        <w:t>4</w:t>
      </w:r>
      <w:r w:rsidRPr="00D758BE">
        <w:t>,</w:t>
      </w:r>
      <w:r w:rsidRPr="00D758BE">
        <w:rPr>
          <w:vertAlign w:val="superscript"/>
        </w:rPr>
        <w:t>15</w:t>
      </w:r>
      <w:r w:rsidRPr="00D758BE">
        <w:t>N, L-Tyrosine-</w:t>
      </w:r>
      <w:r w:rsidRPr="00D758BE">
        <w:rPr>
          <w:vertAlign w:val="superscript"/>
        </w:rPr>
        <w:t>13</w:t>
      </w:r>
      <w:r w:rsidRPr="00D758BE">
        <w:t>C</w:t>
      </w:r>
      <w:r w:rsidRPr="00D758BE">
        <w:rPr>
          <w:vertAlign w:val="subscript"/>
        </w:rPr>
        <w:t>9</w:t>
      </w:r>
      <w:r w:rsidRPr="00D758BE">
        <w:t xml:space="preserve"> and Adenosine-d</w:t>
      </w:r>
      <w:r w:rsidRPr="00D758BE">
        <w:rPr>
          <w:vertAlign w:val="subscript"/>
        </w:rPr>
        <w:t>14</w:t>
      </w:r>
      <w:r w:rsidRPr="00D758BE">
        <w:t xml:space="preserve"> 5′-triphosphate. Tissue disruption was performed using a </w:t>
      </w:r>
      <w:proofErr w:type="spellStart"/>
      <w:r w:rsidRPr="00D758BE">
        <w:t>TissueLyzer</w:t>
      </w:r>
      <w:proofErr w:type="spellEnd"/>
      <w:r w:rsidRPr="00D758BE">
        <w:t xml:space="preserve"> (Qiagen) with 3 mm stainless steel beads (2 cycles of 30 Hz for 2 min at 4°C). Lysates were heated at 80°C for 3 min and subsequently evaporated using a rotary evaporator. The resulting residue was reconstituted in </w:t>
      </w:r>
      <w:proofErr w:type="spellStart"/>
      <w:r w:rsidRPr="00D758BE">
        <w:t>MilliQ</w:t>
      </w:r>
      <w:proofErr w:type="spellEnd"/>
      <w:r w:rsidRPr="00D758BE">
        <w:t xml:space="preserve"> water (10 </w:t>
      </w:r>
      <w:proofErr w:type="spellStart"/>
      <w:r w:rsidRPr="00D758BE">
        <w:t>μL</w:t>
      </w:r>
      <w:proofErr w:type="spellEnd"/>
      <w:r w:rsidRPr="00D758BE">
        <w:t xml:space="preserve">/mg tissue), insoluble material was removed by centrifugation (1 h, 4°C, 21,000 × g), and the supernatant was subjected to ultrafiltration using a </w:t>
      </w:r>
      <w:proofErr w:type="spellStart"/>
      <w:r w:rsidRPr="00D758BE">
        <w:t>Nanosep</w:t>
      </w:r>
      <w:proofErr w:type="spellEnd"/>
      <w:r w:rsidRPr="00D758BE">
        <w:t xml:space="preserve"> 10K Omega cartridge (Pall) for 15 min at 4°C and 14,000 × g. Metabolites were separated via liquid chromatography using either high-performance ion chromatography (HPIC; ICS6000, </w:t>
      </w:r>
      <w:proofErr w:type="spellStart"/>
      <w:r w:rsidRPr="00D758BE">
        <w:t>Thermo</w:t>
      </w:r>
      <w:proofErr w:type="spellEnd"/>
      <w:r w:rsidRPr="00D758BE">
        <w:t xml:space="preserve"> Electron) or high-performance liquid chromatography (HPLC; Vanquish Flex, </w:t>
      </w:r>
      <w:proofErr w:type="spellStart"/>
      <w:r w:rsidRPr="00D758BE">
        <w:t>Thermo</w:t>
      </w:r>
      <w:proofErr w:type="spellEnd"/>
      <w:r w:rsidRPr="00D758BE">
        <w:t xml:space="preserve"> Electron), with AS11-HC-4 µm (250 × 2 mm) and Acclaim RSLC PAII (2.2 µm, 120 Å, 2.1 × 150 mm) analytical columns, respectively. HPIC separations were conducted at a flow rate of 0.38 mL/min with the discontinuous KOH gradient as previously described </w:t>
      </w:r>
      <w:r w:rsidRPr="00D758BE">
        <w:fldChar w:fldCharType="begin"/>
      </w:r>
      <w:r w:rsidRPr="00D758BE">
        <w:instrText xml:space="preserve"> ADDIN ZOTERO_ITEM CSL_CITATION {"citationID":"SBMbwxwT","properties":{"formattedCitation":"\\super 3\\nosupersub{}","plainCitation":"3","noteIndex":0},"citationItems":[{"id":"3R3qiIFf/nRlfOXb5","uris":["http://zotero.org/users/local/yG8CUb9s/items/ZQWNV68Z"],"itemData":{"id":1524,"type":"article-journal","container-title":"Journal of Biological Chemistry","DOI":"10.1016/j.jbc.2023.105011","ISSN":"00219258","issue":"8","journalAbbreviation":"Journal of Biological Chemistry","language":"en","page":"105011","source":"DOI.org (Crossref)","title":"On-demand utilization of phosphoribosyl pyrophosphate by downstream anabolic pathways","volume":"299","author":[{"family":"Pinson","given":"Benoît"},{"family":"Moenner","given":"Michel"},{"family":"Saint-Marc","given":"Christelle"},{"family":"Granger-Farbos","given":"Alexandra"},{"family":"Daignan-Fornier","given":"Bertrand"}],"issued":{"date-parts":[["2023",8]]}}}],"schema":"https://github.com/citation-style-language/schema/raw/master/csl-citation.json"} </w:instrText>
      </w:r>
      <w:r w:rsidRPr="00D758BE">
        <w:fldChar w:fldCharType="separate"/>
      </w:r>
      <w:r w:rsidRPr="00D758BE">
        <w:rPr>
          <w:vertAlign w:val="superscript"/>
        </w:rPr>
        <w:t>3</w:t>
      </w:r>
      <w:r w:rsidRPr="00D758BE">
        <w:fldChar w:fldCharType="end"/>
      </w:r>
      <w:r w:rsidRPr="00D758BE">
        <w:t xml:space="preserve">. For HPLC, metabolites were separated at 0.25 mL/min using the mobile phases (A) 50 mM formic acid pH 3 (adjusted with ammonia) and (B) methanol. The gradient was 0% B for 0.5 min, increased to 7% over 5 min, rapidly raised to 40% in 0.5 min, maintained for 3 min, then increased to 90% over 1 min, held for 5 min, and returned to 0% in 1 min, followed by a 10-min column re-equilibration before </w:t>
      </w:r>
      <w:r w:rsidRPr="00D758BE">
        <w:lastRenderedPageBreak/>
        <w:t>subsequent injections. For both chromatographic methods, metabolite detection was performed using a high-resolution Orbitrap mass spectrometer (</w:t>
      </w:r>
      <w:proofErr w:type="spellStart"/>
      <w:r w:rsidRPr="00D758BE">
        <w:t>Exploris</w:t>
      </w:r>
      <w:proofErr w:type="spellEnd"/>
      <w:r w:rsidRPr="00D758BE">
        <w:t xml:space="preserve"> 120, </w:t>
      </w:r>
      <w:proofErr w:type="spellStart"/>
      <w:r w:rsidRPr="00D758BE">
        <w:t>Thermo</w:t>
      </w:r>
      <w:proofErr w:type="spellEnd"/>
      <w:r w:rsidRPr="00D758BE">
        <w:t xml:space="preserve"> Fisher Scientific) with an EASY-IC ion source operating in negative (HPIC and HPLC) and positive (HPLC) ion mode with scan-to-scan lock-mass correction. Data acquisition was conducted using </w:t>
      </w:r>
      <w:proofErr w:type="spellStart"/>
      <w:r w:rsidRPr="00D758BE">
        <w:t>Xcalibur</w:t>
      </w:r>
      <w:proofErr w:type="spellEnd"/>
      <w:r w:rsidRPr="00D758BE">
        <w:t xml:space="preserve"> 4.7 software (</w:t>
      </w:r>
      <w:proofErr w:type="spellStart"/>
      <w:r w:rsidRPr="00D758BE">
        <w:t>Thermo</w:t>
      </w:r>
      <w:proofErr w:type="spellEnd"/>
      <w:r w:rsidRPr="00D758BE">
        <w:t xml:space="preserve"> Fisher Scientific). A total of 168 targeted metabolites were quantified using </w:t>
      </w:r>
      <w:proofErr w:type="spellStart"/>
      <w:r w:rsidRPr="00D758BE">
        <w:t>TraceFinder</w:t>
      </w:r>
      <w:proofErr w:type="spellEnd"/>
      <w:r w:rsidRPr="00D758BE">
        <w:t xml:space="preserve"> 5.2 SP3 software (</w:t>
      </w:r>
      <w:proofErr w:type="spellStart"/>
      <w:r w:rsidRPr="00D758BE">
        <w:t>Thermo</w:t>
      </w:r>
      <w:proofErr w:type="spellEnd"/>
      <w:r w:rsidRPr="00D758BE">
        <w:t xml:space="preserve"> Fisher Scientific) from full MS scans (m/z 70-1,000) acquired at a resolution of 60,000 with data-dependent MS² scans acquired at 15,000 resolution with an HCD collision energy at 30%. Metabolite identification was based on retention time, accurate mass, natural isotopic distribution and MS² fragment patterns.</w:t>
      </w:r>
    </w:p>
    <w:p w14:paraId="26FA1E91" w14:textId="77777777" w:rsidR="00DA28E5" w:rsidRPr="00D758BE" w:rsidRDefault="00DA28E5" w:rsidP="00DA28E5">
      <w:pPr>
        <w:spacing w:line="480" w:lineRule="auto"/>
        <w:contextualSpacing/>
        <w:jc w:val="both"/>
        <w:outlineLvl w:val="2"/>
        <w:rPr>
          <w:rFonts w:asciiTheme="majorBidi" w:hAnsiTheme="majorBidi" w:cstheme="majorBidi"/>
          <w:b/>
          <w:bCs/>
          <w:i/>
          <w:iCs/>
          <w:color w:val="000000"/>
        </w:rPr>
      </w:pPr>
    </w:p>
    <w:p w14:paraId="64737AAA" w14:textId="77777777" w:rsidR="000A2A7C" w:rsidRPr="000A2A7C" w:rsidRDefault="000A2A7C" w:rsidP="000A2A7C">
      <w:pPr>
        <w:spacing w:line="480" w:lineRule="auto"/>
        <w:jc w:val="both"/>
        <w:outlineLvl w:val="1"/>
        <w:rPr>
          <w:b/>
          <w:bCs/>
        </w:rPr>
      </w:pPr>
      <w:r w:rsidRPr="000A2A7C">
        <w:rPr>
          <w:b/>
          <w:bCs/>
        </w:rPr>
        <w:t>Integrated metabolomic and proteomic pathway analysis</w:t>
      </w:r>
    </w:p>
    <w:p w14:paraId="3D35AB5E" w14:textId="77777777" w:rsidR="000A2A7C" w:rsidRPr="000A2A7C" w:rsidRDefault="000A2A7C" w:rsidP="000A2A7C">
      <w:pPr>
        <w:spacing w:line="480" w:lineRule="auto"/>
        <w:jc w:val="both"/>
      </w:pPr>
      <w:r w:rsidRPr="000A2A7C">
        <w:t xml:space="preserve">Integrated pathway analysis of metabolomic and proteomic datasets was performed using the </w:t>
      </w:r>
      <w:r w:rsidRPr="00D758BE">
        <w:t xml:space="preserve">Joint Pathway Analysis module of </w:t>
      </w:r>
      <w:proofErr w:type="spellStart"/>
      <w:r w:rsidRPr="00D758BE">
        <w:t>MetaboAnalyst</w:t>
      </w:r>
      <w:proofErr w:type="spellEnd"/>
      <w:r w:rsidRPr="00D758BE">
        <w:t xml:space="preserve"> (version 5.0)</w:t>
      </w:r>
      <w:r w:rsidRPr="000A2A7C">
        <w:t>. Differentially abundant metabolites identified by semi-targeted metabolomic profiling and significantly regulated proteins identified by quantitative proteomics were used as input for the analysis.</w:t>
      </w:r>
    </w:p>
    <w:p w14:paraId="4EFC064C" w14:textId="77777777" w:rsidR="000A2A7C" w:rsidRPr="000A2A7C" w:rsidRDefault="000A2A7C" w:rsidP="000A2A7C">
      <w:pPr>
        <w:spacing w:line="480" w:lineRule="auto"/>
        <w:jc w:val="both"/>
      </w:pPr>
      <w:r w:rsidRPr="000A2A7C">
        <w:t xml:space="preserve">Metabolites were annotated using HMDB identifiers, and proteins were mapped to their corresponding gene symbols. Integrated pathway enrichment analysis was performed using the </w:t>
      </w:r>
      <w:r w:rsidRPr="00D758BE">
        <w:t>path_viewer_v1.8 algorithm</w:t>
      </w:r>
      <w:r w:rsidRPr="000A2A7C">
        <w:t xml:space="preserve">, which combines metabolite and protein information within curated metabolic pathways from the </w:t>
      </w:r>
      <w:r w:rsidRPr="00D758BE">
        <w:t>KEGG database</w:t>
      </w:r>
      <w:r w:rsidRPr="000A2A7C">
        <w:t xml:space="preserve">. Pathway topology analysis was conducted using </w:t>
      </w:r>
      <w:r w:rsidRPr="00D758BE">
        <w:t>degree centrality</w:t>
      </w:r>
      <w:r w:rsidRPr="000A2A7C">
        <w:t xml:space="preserve"> to assess the relative importance of altered nodes within each pathway network.</w:t>
      </w:r>
    </w:p>
    <w:p w14:paraId="358A6096" w14:textId="77777777" w:rsidR="000A2A7C" w:rsidRPr="000A2A7C" w:rsidRDefault="000A2A7C" w:rsidP="000A2A7C">
      <w:pPr>
        <w:spacing w:line="480" w:lineRule="auto"/>
        <w:jc w:val="both"/>
      </w:pPr>
      <w:r w:rsidRPr="000A2A7C">
        <w:t xml:space="preserve">For the integration parameters, </w:t>
      </w:r>
      <w:r w:rsidRPr="00D758BE">
        <w:t>tight integration by combining queries</w:t>
      </w:r>
      <w:r w:rsidRPr="000A2A7C">
        <w:t xml:space="preserve"> was selected, and </w:t>
      </w:r>
      <w:r w:rsidRPr="00D758BE">
        <w:t>equal weighting</w:t>
      </w:r>
      <w:r w:rsidRPr="000A2A7C">
        <w:t xml:space="preserve"> was applied to metabolite and protein datasets. Enrichment analysis was performed using the hypergeometric test, and pathway impact scores were calculated based on topology </w:t>
      </w:r>
      <w:r w:rsidRPr="000A2A7C">
        <w:lastRenderedPageBreak/>
        <w:t xml:space="preserve">analysis. Pathways were ranked according to their enrichment significance and impact scores, and results were visualized as a pathway impact scatter plot generated by </w:t>
      </w:r>
      <w:proofErr w:type="spellStart"/>
      <w:r w:rsidRPr="000A2A7C">
        <w:t>MetaboAnalyst</w:t>
      </w:r>
      <w:proofErr w:type="spellEnd"/>
      <w:r w:rsidRPr="000A2A7C">
        <w:t>.</w:t>
      </w:r>
    </w:p>
    <w:p w14:paraId="18A81F34" w14:textId="77777777" w:rsidR="000A2A7C" w:rsidRPr="00D758BE" w:rsidRDefault="000A2A7C" w:rsidP="00DA28E5">
      <w:pPr>
        <w:spacing w:line="480" w:lineRule="auto"/>
        <w:contextualSpacing/>
        <w:jc w:val="both"/>
        <w:outlineLvl w:val="2"/>
        <w:rPr>
          <w:rFonts w:asciiTheme="majorBidi" w:hAnsiTheme="majorBidi" w:cstheme="majorBidi"/>
          <w:b/>
          <w:bCs/>
          <w:i/>
          <w:iCs/>
        </w:rPr>
      </w:pPr>
    </w:p>
    <w:p w14:paraId="04C1D706" w14:textId="77777777" w:rsidR="00467765" w:rsidRPr="00467765" w:rsidRDefault="00467765" w:rsidP="00467765">
      <w:pPr>
        <w:spacing w:line="480" w:lineRule="auto"/>
        <w:jc w:val="both"/>
        <w:outlineLvl w:val="1"/>
        <w:rPr>
          <w:b/>
          <w:bCs/>
        </w:rPr>
      </w:pPr>
      <w:r w:rsidRPr="00467765">
        <w:rPr>
          <w:b/>
          <w:bCs/>
        </w:rPr>
        <w:t xml:space="preserve">Cell-cycle analysis by PI and </w:t>
      </w:r>
      <w:proofErr w:type="spellStart"/>
      <w:r w:rsidRPr="00467765">
        <w:rPr>
          <w:b/>
          <w:bCs/>
        </w:rPr>
        <w:t>EdU</w:t>
      </w:r>
      <w:proofErr w:type="spellEnd"/>
      <w:r w:rsidRPr="00467765">
        <w:rPr>
          <w:b/>
          <w:bCs/>
        </w:rPr>
        <w:t xml:space="preserve"> incorporation</w:t>
      </w:r>
    </w:p>
    <w:p w14:paraId="1B62BF73" w14:textId="77777777" w:rsidR="00AC2575" w:rsidRPr="00467765" w:rsidRDefault="00467765" w:rsidP="00AC2575">
      <w:pPr>
        <w:spacing w:line="480" w:lineRule="auto"/>
        <w:jc w:val="both"/>
      </w:pPr>
      <w:r w:rsidRPr="00467765">
        <w:t xml:space="preserve">Cell-cycle distribution was assessed </w:t>
      </w:r>
      <w:r w:rsidR="002D29B1" w:rsidRPr="00467765">
        <w:t xml:space="preserve">using the </w:t>
      </w:r>
      <w:r w:rsidR="002D29B1" w:rsidRPr="00D758BE">
        <w:t>Click-</w:t>
      </w:r>
      <w:proofErr w:type="spellStart"/>
      <w:r w:rsidR="002D29B1" w:rsidRPr="00D758BE">
        <w:t>iT</w:t>
      </w:r>
      <w:proofErr w:type="spellEnd"/>
      <w:r w:rsidR="002D29B1" w:rsidRPr="00D758BE">
        <w:t xml:space="preserve"> EDU FLOW Cytometry Assay Kit (</w:t>
      </w:r>
      <w:proofErr w:type="spellStart"/>
      <w:r w:rsidR="002D29B1" w:rsidRPr="00D758BE">
        <w:t>Thermo</w:t>
      </w:r>
      <w:proofErr w:type="spellEnd"/>
      <w:r w:rsidR="002D29B1" w:rsidRPr="00D758BE">
        <w:t xml:space="preserve"> Fisher)</w:t>
      </w:r>
      <w:r w:rsidR="00AC2575" w:rsidRPr="00D758BE">
        <w:t>,</w:t>
      </w:r>
      <w:r w:rsidR="002D29B1" w:rsidRPr="00D758BE">
        <w:t xml:space="preserve"> </w:t>
      </w:r>
      <w:r w:rsidR="002D29B1" w:rsidRPr="00467765">
        <w:t>according to the manufacturer's instructions.</w:t>
      </w:r>
      <w:r w:rsidR="00AC2575" w:rsidRPr="00D758BE">
        <w:t xml:space="preserve"> Briefly, c</w:t>
      </w:r>
      <w:r w:rsidRPr="00467765">
        <w:t xml:space="preserve">ells were incubated with </w:t>
      </w:r>
      <w:proofErr w:type="spellStart"/>
      <w:r w:rsidRPr="00467765">
        <w:t>EdU</w:t>
      </w:r>
      <w:proofErr w:type="spellEnd"/>
      <w:r w:rsidRPr="00467765">
        <w:t xml:space="preserve"> (10 </w:t>
      </w:r>
      <w:proofErr w:type="spellStart"/>
      <w:r w:rsidRPr="00467765">
        <w:t>μM</w:t>
      </w:r>
      <w:proofErr w:type="spellEnd"/>
      <w:r w:rsidRPr="00467765">
        <w:t xml:space="preserve">) for </w:t>
      </w:r>
      <w:r w:rsidRPr="00D758BE">
        <w:t>4</w:t>
      </w:r>
      <w:r w:rsidRPr="00467765">
        <w:t xml:space="preserve"> hours prior to harvesting to label cells undergoing active DNA synthesis. After </w:t>
      </w:r>
      <w:r w:rsidR="00AC2575" w:rsidRPr="00D758BE">
        <w:t>harvesting cells with trypsin and</w:t>
      </w:r>
      <w:r w:rsidRPr="00467765">
        <w:t xml:space="preserve"> wash</w:t>
      </w:r>
      <w:r w:rsidR="00AC2575" w:rsidRPr="00D758BE">
        <w:t>ing</w:t>
      </w:r>
      <w:r w:rsidRPr="00467765">
        <w:t xml:space="preserve"> with PBS, </w:t>
      </w:r>
      <w:r w:rsidR="00AC2575" w:rsidRPr="00D758BE">
        <w:t xml:space="preserve">cells were fixed and permeabilized. </w:t>
      </w:r>
      <w:r w:rsidRPr="00467765">
        <w:t xml:space="preserve">Following fixation, incorporated </w:t>
      </w:r>
      <w:proofErr w:type="spellStart"/>
      <w:r w:rsidRPr="00467765">
        <w:t>EdU</w:t>
      </w:r>
      <w:proofErr w:type="spellEnd"/>
      <w:r w:rsidRPr="00467765">
        <w:t xml:space="preserve"> was detected using the </w:t>
      </w:r>
      <w:r w:rsidRPr="00D758BE">
        <w:t>Click-</w:t>
      </w:r>
      <w:proofErr w:type="spellStart"/>
      <w:r w:rsidRPr="00D758BE">
        <w:t>iT</w:t>
      </w:r>
      <w:proofErr w:type="spellEnd"/>
      <w:r w:rsidRPr="00D758BE">
        <w:t xml:space="preserve"> reaction</w:t>
      </w:r>
      <w:r w:rsidRPr="00467765">
        <w:t xml:space="preserve"> according to the manufacturer's instructions. Cells were then treated with </w:t>
      </w:r>
      <w:r w:rsidRPr="00D758BE">
        <w:t xml:space="preserve">RNase A (100 </w:t>
      </w:r>
      <w:proofErr w:type="spellStart"/>
      <w:r w:rsidRPr="00D758BE">
        <w:t>μg</w:t>
      </w:r>
      <w:proofErr w:type="spellEnd"/>
      <w:r w:rsidRPr="00D758BE">
        <w:t>/mL)</w:t>
      </w:r>
      <w:r w:rsidRPr="00467765">
        <w:t xml:space="preserve"> and stained with </w:t>
      </w:r>
      <w:r w:rsidRPr="00D758BE">
        <w:t xml:space="preserve">propidium iodide (PI, 50 </w:t>
      </w:r>
      <w:proofErr w:type="spellStart"/>
      <w:r w:rsidRPr="00D758BE">
        <w:t>μg</w:t>
      </w:r>
      <w:proofErr w:type="spellEnd"/>
      <w:r w:rsidRPr="00D758BE">
        <w:t>/mL)</w:t>
      </w:r>
      <w:r w:rsidRPr="00467765">
        <w:t xml:space="preserve"> to quantify total DNA content.</w:t>
      </w:r>
      <w:r w:rsidR="00AC2575" w:rsidRPr="00D758BE">
        <w:t xml:space="preserve"> </w:t>
      </w:r>
      <w:r w:rsidRPr="00467765">
        <w:t xml:space="preserve">Samples were analyzed using a </w:t>
      </w:r>
      <w:r w:rsidRPr="00D758BE">
        <w:t>BD flow cytometer (BD Biosciences)</w:t>
      </w:r>
      <w:r w:rsidRPr="00467765">
        <w:t xml:space="preserve">. At least </w:t>
      </w:r>
      <w:r w:rsidRPr="00D758BE">
        <w:t>10,000 events per sample</w:t>
      </w:r>
      <w:r w:rsidRPr="00467765">
        <w:t xml:space="preserve"> were acquired. Cell-cycle distribution (G0/G1, S, and G2/M phases) was determined based on DNA content and </w:t>
      </w:r>
      <w:proofErr w:type="spellStart"/>
      <w:r w:rsidRPr="00467765">
        <w:t>EdU</w:t>
      </w:r>
      <w:proofErr w:type="spellEnd"/>
      <w:r w:rsidRPr="00467765">
        <w:t xml:space="preserve"> incorporation using appropriate gating strategies. </w:t>
      </w:r>
    </w:p>
    <w:p w14:paraId="36575015" w14:textId="77777777" w:rsidR="000A2A7C" w:rsidRPr="00D758BE" w:rsidRDefault="000A2A7C" w:rsidP="00DA28E5">
      <w:pPr>
        <w:spacing w:line="480" w:lineRule="auto"/>
        <w:contextualSpacing/>
        <w:jc w:val="both"/>
        <w:outlineLvl w:val="2"/>
        <w:rPr>
          <w:rFonts w:asciiTheme="majorBidi" w:hAnsiTheme="majorBidi" w:cstheme="majorBidi"/>
          <w:b/>
          <w:bCs/>
          <w:i/>
          <w:iCs/>
          <w:color w:val="000000"/>
        </w:rPr>
      </w:pPr>
    </w:p>
    <w:p w14:paraId="601E3710"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color w:val="000000"/>
        </w:rPr>
        <w:t xml:space="preserve">Immunofluorescence and H&amp;E staining </w:t>
      </w:r>
    </w:p>
    <w:p w14:paraId="023342E6" w14:textId="77777777" w:rsidR="00DA28E5" w:rsidRPr="00D758BE" w:rsidRDefault="00DA28E5" w:rsidP="00DA28E5">
      <w:pPr>
        <w:spacing w:line="480" w:lineRule="auto"/>
        <w:contextualSpacing/>
        <w:jc w:val="both"/>
        <w:rPr>
          <w:rFonts w:asciiTheme="majorBidi" w:hAnsiTheme="majorBidi" w:cstheme="majorBidi"/>
        </w:rPr>
      </w:pPr>
      <w:r w:rsidRPr="00D758BE">
        <w:rPr>
          <w:rFonts w:asciiTheme="majorBidi" w:hAnsiTheme="majorBidi" w:cstheme="majorBidi"/>
        </w:rPr>
        <w:t>Tumors were harvested, fixed in formalin for 24 hours at room temperature, and embedded in paraffin. Sections of 4 </w:t>
      </w:r>
      <w:proofErr w:type="spellStart"/>
      <w:r w:rsidRPr="00D758BE">
        <w:rPr>
          <w:rFonts w:asciiTheme="majorBidi" w:hAnsiTheme="majorBidi" w:cstheme="majorBidi"/>
        </w:rPr>
        <w:t>μm</w:t>
      </w:r>
      <w:proofErr w:type="spellEnd"/>
      <w:r w:rsidRPr="00D758BE">
        <w:rPr>
          <w:rFonts w:asciiTheme="majorBidi" w:hAnsiTheme="majorBidi" w:cstheme="majorBidi"/>
        </w:rPr>
        <w:t xml:space="preserve"> thickness were cut using a rotary microtome and mounted onto </w:t>
      </w:r>
      <w:proofErr w:type="spellStart"/>
      <w:r w:rsidRPr="00D758BE">
        <w:rPr>
          <w:rFonts w:asciiTheme="majorBidi" w:hAnsiTheme="majorBidi" w:cstheme="majorBidi"/>
        </w:rPr>
        <w:t>Superfrost</w:t>
      </w:r>
      <w:proofErr w:type="spellEnd"/>
      <w:r w:rsidRPr="00D758BE">
        <w:rPr>
          <w:rFonts w:asciiTheme="majorBidi" w:hAnsiTheme="majorBidi" w:cstheme="majorBidi"/>
        </w:rPr>
        <w:t xml:space="preserve"> Plus microscope slides. For Hematoxylin and Eosin (H&amp;E) staining, slides were deparaffinized in toluene, rehydrated through a graded ethanol series, and stained with hematoxylin followed by eosin according to standard protocols. For immunofluorescence, slides were deparaffinized in xylene and rehydrated, followed by antigen retrieval in citrate buffer (10 mM, pH 6.0) using a pressure cooker. After blocking with 5% BSA in PBS for 1 hour at room temperature, sections were incubated overnight at 4°C with primary antibodies diluted in blocking solution. The </w:t>
      </w:r>
      <w:r w:rsidRPr="00D758BE">
        <w:rPr>
          <w:rFonts w:asciiTheme="majorBidi" w:hAnsiTheme="majorBidi" w:cstheme="majorBidi"/>
        </w:rPr>
        <w:lastRenderedPageBreak/>
        <w:t>next day, slides were incubated with appropriate fluorophore-conjugated secondary antibodies for 1 hour at room temperature, counterstained with DAPI, and mounted using an anti-fade mounting medium. Images were acquired using a fluorescence microscope (ECHO Revolution).</w:t>
      </w:r>
    </w:p>
    <w:p w14:paraId="039A1C1E"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p>
    <w:p w14:paraId="4A3564F8" w14:textId="77777777" w:rsidR="00DA28E5" w:rsidRPr="00D758BE" w:rsidRDefault="00DA28E5" w:rsidP="00DA28E5">
      <w:pPr>
        <w:spacing w:line="480" w:lineRule="auto"/>
        <w:contextualSpacing/>
        <w:jc w:val="both"/>
        <w:outlineLvl w:val="2"/>
        <w:rPr>
          <w:rFonts w:asciiTheme="majorBidi" w:hAnsiTheme="majorBidi" w:cstheme="majorBidi"/>
          <w:b/>
          <w:bCs/>
          <w:color w:val="000000"/>
        </w:rPr>
      </w:pPr>
      <w:r w:rsidRPr="00D758BE">
        <w:rPr>
          <w:rFonts w:asciiTheme="majorBidi" w:hAnsiTheme="majorBidi" w:cstheme="majorBidi"/>
          <w:b/>
          <w:bCs/>
          <w:color w:val="000000"/>
        </w:rPr>
        <w:t>Statistical analysis</w:t>
      </w:r>
    </w:p>
    <w:p w14:paraId="7D6F6628" w14:textId="77777777" w:rsidR="00DA0C88" w:rsidRPr="00D758BE" w:rsidRDefault="00DA28E5" w:rsidP="00E135D5">
      <w:pPr>
        <w:spacing w:line="480" w:lineRule="auto"/>
        <w:jc w:val="both"/>
        <w:rPr>
          <w:rFonts w:asciiTheme="majorBidi" w:hAnsiTheme="majorBidi" w:cstheme="majorBidi"/>
        </w:rPr>
      </w:pPr>
      <w:r w:rsidRPr="00D758BE">
        <w:rPr>
          <w:rFonts w:asciiTheme="majorBidi" w:hAnsiTheme="majorBidi" w:cstheme="majorBidi"/>
        </w:rPr>
        <w:t xml:space="preserve">All data are presented as mean ± SEM from at least three independent experiments. Statistical analyses were performed using GraphPad Prism software. Data normality was assessed using the Kolmogorov–Smirnov test. Comparisons between two groups were evaluated using an unpaired two-tailed Student’s t-test. For in vivo tumor growth curves, statistical differences between groups over time were analyzed using two-way ANOVA followed by </w:t>
      </w:r>
      <w:proofErr w:type="spellStart"/>
      <w:r w:rsidRPr="00D758BE">
        <w:rPr>
          <w:rFonts w:asciiTheme="majorBidi" w:hAnsiTheme="majorBidi" w:cstheme="majorBidi"/>
        </w:rPr>
        <w:t>Sidak’s</w:t>
      </w:r>
      <w:proofErr w:type="spellEnd"/>
      <w:r w:rsidRPr="00D758BE">
        <w:rPr>
          <w:rFonts w:asciiTheme="majorBidi" w:hAnsiTheme="majorBidi" w:cstheme="majorBidi"/>
        </w:rPr>
        <w:t xml:space="preserve"> multiple comparison test. Final tumor weights and other single-time-point measurements were analyzed by one-way ANOVA or t-test as appropriate. </w:t>
      </w:r>
      <w:r w:rsidRPr="009E6F37">
        <w:rPr>
          <w:rFonts w:asciiTheme="majorBidi" w:hAnsiTheme="majorBidi" w:cstheme="majorBidi"/>
          <w:i/>
          <w:iCs/>
        </w:rPr>
        <w:t>P</w:t>
      </w:r>
      <w:r w:rsidRPr="00D758BE">
        <w:rPr>
          <w:rFonts w:asciiTheme="majorBidi" w:hAnsiTheme="majorBidi" w:cstheme="majorBidi"/>
        </w:rPr>
        <w:t>-values &lt; 0.05 (*), &lt; 0.01 (**), &lt;0.001 (***) and &lt; 0.0001 (****) were considered significant.</w:t>
      </w:r>
    </w:p>
    <w:p w14:paraId="35AF08EA" w14:textId="77777777" w:rsidR="00DA28E5" w:rsidRPr="00D758BE" w:rsidRDefault="00DA28E5" w:rsidP="00DA28E5">
      <w:pPr>
        <w:spacing w:line="480" w:lineRule="auto"/>
      </w:pPr>
    </w:p>
    <w:p w14:paraId="16F5C091" w14:textId="77777777" w:rsidR="00DA28E5" w:rsidRPr="00D758BE" w:rsidRDefault="00DA28E5" w:rsidP="00DA28E5">
      <w:pPr>
        <w:spacing w:line="480" w:lineRule="auto"/>
      </w:pPr>
    </w:p>
    <w:p w14:paraId="6CE9400F" w14:textId="77777777" w:rsidR="00DA28E5" w:rsidRPr="00D758BE" w:rsidRDefault="00DA28E5" w:rsidP="00DA28E5">
      <w:pPr>
        <w:spacing w:line="480" w:lineRule="auto"/>
        <w:jc w:val="both"/>
        <w:rPr>
          <w:b/>
          <w:bCs/>
        </w:rPr>
      </w:pPr>
      <w:r w:rsidRPr="00D758BE">
        <w:rPr>
          <w:b/>
          <w:bCs/>
        </w:rPr>
        <w:t>References</w:t>
      </w:r>
    </w:p>
    <w:p w14:paraId="4B4B60EE" w14:textId="77777777" w:rsidR="00DA28E5" w:rsidRPr="00D758BE" w:rsidRDefault="00DA28E5" w:rsidP="00DA28E5">
      <w:pPr>
        <w:pStyle w:val="Bibliographie"/>
        <w:spacing w:after="0" w:line="480" w:lineRule="auto"/>
        <w:jc w:val="both"/>
        <w:rPr>
          <w:lang w:val="fr-FR"/>
        </w:rPr>
      </w:pPr>
      <w:r w:rsidRPr="00D758BE">
        <w:rPr>
          <w:b/>
          <w:bCs/>
        </w:rPr>
        <w:fldChar w:fldCharType="begin"/>
      </w:r>
      <w:r w:rsidRPr="00D758BE">
        <w:rPr>
          <w:b/>
          <w:bCs/>
        </w:rPr>
        <w:instrText xml:space="preserve"> ADDIN ZOTERO_BIBL {"uncited":[],"omitted":[],"custom":[]} CSL_BIBLIOGRAPHY </w:instrText>
      </w:r>
      <w:r w:rsidRPr="00D758BE">
        <w:rPr>
          <w:b/>
          <w:bCs/>
        </w:rPr>
        <w:fldChar w:fldCharType="separate"/>
      </w:r>
      <w:r w:rsidRPr="00D758BE">
        <w:t xml:space="preserve">1 </w:t>
      </w:r>
      <w:r w:rsidRPr="00D758BE">
        <w:tab/>
        <w:t xml:space="preserve">Käll L, Canterbury JD, Weston J, Noble WS, MacCoss MJ. Semi-supervised learning for peptide identification from shotgun proteomics datasets. </w:t>
      </w:r>
      <w:r w:rsidRPr="00D758BE">
        <w:rPr>
          <w:i/>
          <w:iCs/>
          <w:lang w:val="fr-FR"/>
        </w:rPr>
        <w:t>Nat Methods</w:t>
      </w:r>
      <w:r w:rsidRPr="00D758BE">
        <w:rPr>
          <w:lang w:val="fr-FR"/>
        </w:rPr>
        <w:t xml:space="preserve"> 2007; </w:t>
      </w:r>
      <w:r w:rsidRPr="00D758BE">
        <w:rPr>
          <w:b/>
          <w:bCs/>
          <w:lang w:val="fr-FR"/>
        </w:rPr>
        <w:t>4</w:t>
      </w:r>
      <w:r w:rsidRPr="00D758BE">
        <w:rPr>
          <w:lang w:val="fr-FR"/>
        </w:rPr>
        <w:t>: 923–925.</w:t>
      </w:r>
    </w:p>
    <w:p w14:paraId="25D27071" w14:textId="77777777" w:rsidR="00DA28E5" w:rsidRPr="00D758BE" w:rsidRDefault="00DA28E5" w:rsidP="009E6F37">
      <w:pPr>
        <w:pStyle w:val="Bibliographie"/>
        <w:spacing w:after="0" w:line="480" w:lineRule="auto"/>
        <w:jc w:val="both"/>
      </w:pPr>
      <w:r w:rsidRPr="00D758BE">
        <w:rPr>
          <w:lang w:val="fr-FR"/>
        </w:rPr>
        <w:t xml:space="preserve">2 </w:t>
      </w:r>
      <w:r w:rsidRPr="00D758BE">
        <w:rPr>
          <w:lang w:val="fr-FR"/>
        </w:rPr>
        <w:tab/>
        <w:t xml:space="preserve">Deutsch EW, Bandeira N, Perez-Riverol Y, Sharma V, Carver JJ, Mendoza L </w:t>
      </w:r>
      <w:r w:rsidRPr="00D758BE">
        <w:rPr>
          <w:i/>
          <w:iCs/>
          <w:lang w:val="fr-FR"/>
        </w:rPr>
        <w:t>et al.</w:t>
      </w:r>
      <w:r w:rsidRPr="00D758BE">
        <w:rPr>
          <w:lang w:val="fr-FR"/>
        </w:rPr>
        <w:t xml:space="preserve"> </w:t>
      </w:r>
      <w:r w:rsidRPr="00D758BE">
        <w:t xml:space="preserve">The ProteomeXchange consortium at 10 years: 2023 update. </w:t>
      </w:r>
      <w:r w:rsidRPr="00D758BE">
        <w:rPr>
          <w:i/>
          <w:iCs/>
        </w:rPr>
        <w:t>Nucleic Acids Res</w:t>
      </w:r>
      <w:r w:rsidRPr="00D758BE">
        <w:t xml:space="preserve"> 2023; </w:t>
      </w:r>
      <w:r w:rsidRPr="00D758BE">
        <w:rPr>
          <w:b/>
          <w:bCs/>
        </w:rPr>
        <w:t>51</w:t>
      </w:r>
      <w:r w:rsidRPr="00D758BE">
        <w:t>: D1539–D1548.</w:t>
      </w:r>
    </w:p>
    <w:p w14:paraId="7B14289D" w14:textId="3A2BD7E8" w:rsidR="00DA28E5" w:rsidRPr="00D758BE" w:rsidRDefault="00DA28E5" w:rsidP="001A1ECE">
      <w:pPr>
        <w:pStyle w:val="Bibliographie"/>
        <w:spacing w:after="0" w:line="480" w:lineRule="auto"/>
        <w:jc w:val="both"/>
        <w:rPr>
          <w:b/>
          <w:bCs/>
        </w:rPr>
      </w:pPr>
      <w:r w:rsidRPr="00D758BE">
        <w:t xml:space="preserve">3 </w:t>
      </w:r>
      <w:r w:rsidRPr="00D758BE">
        <w:tab/>
        <w:t xml:space="preserve">Pinson B, Moenner M, Saint-Marc C, Granger-Farbos A, Daignan-Fornier B. On-demand utilization of phosphoribosyl pyrophosphate by downstream anabolic pathways. </w:t>
      </w:r>
      <w:r w:rsidRPr="00D758BE">
        <w:rPr>
          <w:i/>
          <w:iCs/>
        </w:rPr>
        <w:t>J</w:t>
      </w:r>
      <w:r w:rsidR="009E6F37">
        <w:rPr>
          <w:i/>
          <w:iCs/>
        </w:rPr>
        <w:t xml:space="preserve"> </w:t>
      </w:r>
      <w:r w:rsidRPr="00D758BE">
        <w:rPr>
          <w:i/>
          <w:iCs/>
        </w:rPr>
        <w:t>Biol Chem</w:t>
      </w:r>
      <w:r w:rsidRPr="00D758BE">
        <w:t xml:space="preserve"> 2023; </w:t>
      </w:r>
      <w:r w:rsidRPr="00D758BE">
        <w:rPr>
          <w:b/>
          <w:bCs/>
        </w:rPr>
        <w:t>299</w:t>
      </w:r>
      <w:r w:rsidRPr="00D758BE">
        <w:t>: 105011.</w:t>
      </w:r>
      <w:r w:rsidRPr="00D758BE">
        <w:rPr>
          <w:b/>
          <w:bCs/>
        </w:rPr>
        <w:fldChar w:fldCharType="end"/>
      </w:r>
    </w:p>
    <w:sectPr w:rsidR="00DA28E5" w:rsidRPr="00D758BE" w:rsidSect="00DA28E5">
      <w:footerReference w:type="default" r:id="rId7"/>
      <w:pgSz w:w="12240" w:h="15840"/>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01AB3" w14:textId="77777777" w:rsidR="00BD6B45" w:rsidRDefault="00BD6B45" w:rsidP="00B72730">
      <w:r>
        <w:separator/>
      </w:r>
    </w:p>
  </w:endnote>
  <w:endnote w:type="continuationSeparator" w:id="0">
    <w:p w14:paraId="64D4D80D" w14:textId="77777777" w:rsidR="00BD6B45" w:rsidRDefault="00BD6B45" w:rsidP="00B72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171245"/>
      <w:docPartObj>
        <w:docPartGallery w:val="Page Numbers (Bottom of Page)"/>
        <w:docPartUnique/>
      </w:docPartObj>
    </w:sdtPr>
    <w:sdtContent>
      <w:p w14:paraId="3088818A" w14:textId="77777777" w:rsidR="00B72730" w:rsidRDefault="00B72730">
        <w:pPr>
          <w:pStyle w:val="Pieddepage"/>
          <w:jc w:val="right"/>
        </w:pPr>
        <w:r>
          <w:fldChar w:fldCharType="begin"/>
        </w:r>
        <w:r>
          <w:instrText>PAGE   \* MERGEFORMAT</w:instrText>
        </w:r>
        <w:r>
          <w:fldChar w:fldCharType="separate"/>
        </w:r>
        <w:r w:rsidR="00452E4D" w:rsidRPr="00452E4D">
          <w:rPr>
            <w:noProof/>
            <w:lang w:val="fr-FR"/>
          </w:rPr>
          <w:t>15</w:t>
        </w:r>
        <w:r>
          <w:fldChar w:fldCharType="end"/>
        </w:r>
      </w:p>
    </w:sdtContent>
  </w:sdt>
  <w:p w14:paraId="7FDE4A85" w14:textId="77777777" w:rsidR="00B72730" w:rsidRDefault="00B7273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284A2" w14:textId="77777777" w:rsidR="00BD6B45" w:rsidRDefault="00BD6B45" w:rsidP="00B72730">
      <w:r>
        <w:separator/>
      </w:r>
    </w:p>
  </w:footnote>
  <w:footnote w:type="continuationSeparator" w:id="0">
    <w:p w14:paraId="5CEE6F8F" w14:textId="77777777" w:rsidR="00BD6B45" w:rsidRDefault="00BD6B45" w:rsidP="00B72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A15F6"/>
    <w:multiLevelType w:val="hybridMultilevel"/>
    <w:tmpl w:val="58FE8184"/>
    <w:lvl w:ilvl="0" w:tplc="5DFC22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31473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8E5"/>
    <w:rsid w:val="000A2A7C"/>
    <w:rsid w:val="001A1ECE"/>
    <w:rsid w:val="001C6719"/>
    <w:rsid w:val="001F6FC6"/>
    <w:rsid w:val="002511BB"/>
    <w:rsid w:val="00253484"/>
    <w:rsid w:val="002D29B1"/>
    <w:rsid w:val="00306402"/>
    <w:rsid w:val="00331041"/>
    <w:rsid w:val="00452E4D"/>
    <w:rsid w:val="00467765"/>
    <w:rsid w:val="0051225B"/>
    <w:rsid w:val="0056092D"/>
    <w:rsid w:val="00822505"/>
    <w:rsid w:val="008D55F1"/>
    <w:rsid w:val="009A3593"/>
    <w:rsid w:val="009E6F37"/>
    <w:rsid w:val="009F6C4D"/>
    <w:rsid w:val="00AC2575"/>
    <w:rsid w:val="00B72730"/>
    <w:rsid w:val="00BB6631"/>
    <w:rsid w:val="00BD6B45"/>
    <w:rsid w:val="00D65720"/>
    <w:rsid w:val="00D758BE"/>
    <w:rsid w:val="00D85462"/>
    <w:rsid w:val="00DA0C88"/>
    <w:rsid w:val="00DA28E5"/>
    <w:rsid w:val="00E135D5"/>
    <w:rsid w:val="00E16A50"/>
    <w:rsid w:val="00EB6559"/>
    <w:rsid w:val="00F32D83"/>
    <w:rsid w:val="00F636F1"/>
    <w:rsid w:val="00F84B62"/>
    <w:rsid w:val="00FE0E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25D9E"/>
  <w15:chartTrackingRefBased/>
  <w15:docId w15:val="{A9B6152E-8609-4292-81E2-FFCD46E1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8E5"/>
    <w:pPr>
      <w:spacing w:after="0" w:line="240" w:lineRule="auto"/>
    </w:pPr>
    <w:rPr>
      <w:rFonts w:ascii="Times New Roman" w:eastAsia="Times New Roman" w:hAnsi="Times New Roman" w:cs="Times New Roman"/>
      <w:sz w:val="24"/>
      <w:szCs w:val="24"/>
    </w:rPr>
  </w:style>
  <w:style w:type="paragraph" w:styleId="Titre2">
    <w:name w:val="heading 2"/>
    <w:basedOn w:val="Normal"/>
    <w:link w:val="Titre2Car"/>
    <w:uiPriority w:val="9"/>
    <w:qFormat/>
    <w:rsid w:val="000A2A7C"/>
    <w:pPr>
      <w:spacing w:before="100" w:beforeAutospacing="1" w:after="100" w:afterAutospacing="1"/>
      <w:outlineLvl w:val="1"/>
    </w:pPr>
    <w:rPr>
      <w:b/>
      <w:bCs/>
      <w:sz w:val="36"/>
      <w:szCs w:val="3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A28E5"/>
    <w:pPr>
      <w:spacing w:before="100" w:beforeAutospacing="1" w:after="100" w:afterAutospacing="1"/>
    </w:pPr>
  </w:style>
  <w:style w:type="paragraph" w:styleId="Paragraphedeliste">
    <w:name w:val="List Paragraph"/>
    <w:basedOn w:val="Normal"/>
    <w:uiPriority w:val="34"/>
    <w:qFormat/>
    <w:rsid w:val="00DA28E5"/>
    <w:pPr>
      <w:ind w:left="720"/>
      <w:contextualSpacing/>
    </w:pPr>
    <w:rPr>
      <w:rFonts w:asciiTheme="minorHAnsi" w:eastAsiaTheme="minorHAnsi" w:hAnsiTheme="minorHAnsi" w:cstheme="minorBidi"/>
      <w:lang w:val="fr-FR"/>
    </w:rPr>
  </w:style>
  <w:style w:type="character" w:styleId="lev">
    <w:name w:val="Strong"/>
    <w:basedOn w:val="Policepardfaut"/>
    <w:uiPriority w:val="22"/>
    <w:qFormat/>
    <w:rsid w:val="00DA28E5"/>
    <w:rPr>
      <w:b/>
      <w:bCs/>
    </w:rPr>
  </w:style>
  <w:style w:type="character" w:styleId="Numrodeligne">
    <w:name w:val="line number"/>
    <w:basedOn w:val="Policepardfaut"/>
    <w:uiPriority w:val="99"/>
    <w:semiHidden/>
    <w:unhideWhenUsed/>
    <w:rsid w:val="00DA28E5"/>
  </w:style>
  <w:style w:type="paragraph" w:styleId="Bibliographie">
    <w:name w:val="Bibliography"/>
    <w:basedOn w:val="Normal"/>
    <w:next w:val="Normal"/>
    <w:uiPriority w:val="37"/>
    <w:unhideWhenUsed/>
    <w:rsid w:val="00DA28E5"/>
    <w:pPr>
      <w:tabs>
        <w:tab w:val="left" w:pos="264"/>
      </w:tabs>
      <w:spacing w:after="240"/>
      <w:ind w:left="264" w:hanging="264"/>
    </w:pPr>
  </w:style>
  <w:style w:type="paragraph" w:styleId="En-tte">
    <w:name w:val="header"/>
    <w:basedOn w:val="Normal"/>
    <w:link w:val="En-tteCar"/>
    <w:uiPriority w:val="99"/>
    <w:unhideWhenUsed/>
    <w:rsid w:val="00B72730"/>
    <w:pPr>
      <w:tabs>
        <w:tab w:val="center" w:pos="4703"/>
        <w:tab w:val="right" w:pos="9406"/>
      </w:tabs>
    </w:pPr>
  </w:style>
  <w:style w:type="character" w:customStyle="1" w:styleId="En-tteCar">
    <w:name w:val="En-tête Car"/>
    <w:basedOn w:val="Policepardfaut"/>
    <w:link w:val="En-tte"/>
    <w:uiPriority w:val="99"/>
    <w:rsid w:val="00B72730"/>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B72730"/>
    <w:pPr>
      <w:tabs>
        <w:tab w:val="center" w:pos="4703"/>
        <w:tab w:val="right" w:pos="9406"/>
      </w:tabs>
    </w:pPr>
  </w:style>
  <w:style w:type="character" w:customStyle="1" w:styleId="PieddepageCar">
    <w:name w:val="Pied de page Car"/>
    <w:basedOn w:val="Policepardfaut"/>
    <w:link w:val="Pieddepage"/>
    <w:uiPriority w:val="99"/>
    <w:rsid w:val="00B72730"/>
    <w:rPr>
      <w:rFonts w:ascii="Times New Roman" w:eastAsia="Times New Roman" w:hAnsi="Times New Roman" w:cs="Times New Roman"/>
      <w:sz w:val="24"/>
      <w:szCs w:val="24"/>
    </w:rPr>
  </w:style>
  <w:style w:type="character" w:customStyle="1" w:styleId="Titre2Car">
    <w:name w:val="Titre 2 Car"/>
    <w:basedOn w:val="Policepardfaut"/>
    <w:link w:val="Titre2"/>
    <w:uiPriority w:val="9"/>
    <w:rsid w:val="000A2A7C"/>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451486">
      <w:bodyDiv w:val="1"/>
      <w:marLeft w:val="0"/>
      <w:marRight w:val="0"/>
      <w:marTop w:val="0"/>
      <w:marBottom w:val="0"/>
      <w:divBdr>
        <w:top w:val="none" w:sz="0" w:space="0" w:color="auto"/>
        <w:left w:val="none" w:sz="0" w:space="0" w:color="auto"/>
        <w:bottom w:val="none" w:sz="0" w:space="0" w:color="auto"/>
        <w:right w:val="none" w:sz="0" w:space="0" w:color="auto"/>
      </w:divBdr>
    </w:div>
    <w:div w:id="12153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3248</Words>
  <Characters>17865</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rezvani.hr21@gmail.com</dc:creator>
  <cp:keywords/>
  <dc:description/>
  <cp:lastModifiedBy>Hamid-Reza REZVANI</cp:lastModifiedBy>
  <cp:revision>2</cp:revision>
  <dcterms:created xsi:type="dcterms:W3CDTF">2026-04-13T09:45:00Z</dcterms:created>
  <dcterms:modified xsi:type="dcterms:W3CDTF">2026-04-13T09:45:00Z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id="3R3qiIFf"/&gt;&lt;style id="http://www.zotero.org/styles/cell-death-and-disease" hasBibliography="1" bibliographyStyleHasBeenSet="1"/&gt;&lt;prefs&gt;&lt;pref name="fieldType" value="Field"/&gt;&lt;/prefs&gt;&lt;/data&gt;</vt:lpwstr>
  </property>
</Properties>
</file>