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9A28" w14:textId="7050468A" w:rsidR="00DA28E5" w:rsidRPr="009A7CA7" w:rsidRDefault="00DA28E5" w:rsidP="00DA28E5">
      <w:pPr>
        <w:jc w:val="center"/>
        <w:rPr>
          <w:rFonts w:ascii="Arial" w:hAnsi="Arial" w:cs="Arial"/>
          <w:b/>
          <w:bCs/>
        </w:rPr>
      </w:pPr>
      <w:r w:rsidRPr="009A7CA7">
        <w:rPr>
          <w:rFonts w:ascii="Arial" w:hAnsi="Arial" w:cs="Arial"/>
          <w:b/>
          <w:bCs/>
        </w:rPr>
        <w:t xml:space="preserve">Supplementary </w:t>
      </w:r>
      <w:r w:rsidR="009A7CA7" w:rsidRPr="009A7CA7">
        <w:rPr>
          <w:rFonts w:ascii="Arial" w:hAnsi="Arial" w:cs="Arial"/>
          <w:b/>
          <w:bCs/>
        </w:rPr>
        <w:t xml:space="preserve">Figures and </w:t>
      </w:r>
      <w:r w:rsidR="009A7CA7" w:rsidRPr="009A7CA7">
        <w:rPr>
          <w:rFonts w:ascii="Arial" w:hAnsi="Arial" w:cs="Arial"/>
          <w:b/>
          <w:bCs/>
        </w:rPr>
        <w:t>figure legends</w:t>
      </w:r>
      <w:r w:rsidR="009A7CA7" w:rsidRPr="009A7CA7">
        <w:rPr>
          <w:rFonts w:ascii="Arial" w:hAnsi="Arial" w:cs="Arial"/>
          <w:b/>
          <w:bCs/>
        </w:rPr>
        <w:t xml:space="preserve"> </w:t>
      </w:r>
    </w:p>
    <w:p w14:paraId="08FBEFFD" w14:textId="77777777" w:rsidR="00DA28E5" w:rsidRPr="00D758BE" w:rsidRDefault="00DA28E5" w:rsidP="00DA28E5">
      <w:pPr>
        <w:jc w:val="center"/>
        <w:rPr>
          <w:rFonts w:asciiTheme="minorBidi" w:hAnsiTheme="minorBidi"/>
          <w:b/>
          <w:bCs/>
        </w:rPr>
      </w:pPr>
    </w:p>
    <w:p w14:paraId="1B490BF8" w14:textId="60D5C333" w:rsidR="00DA28E5" w:rsidRPr="00D758BE" w:rsidRDefault="00DA28E5">
      <w:pPr>
        <w:spacing w:after="160" w:line="259" w:lineRule="auto"/>
        <w:rPr>
          <w:rFonts w:asciiTheme="majorBidi" w:hAnsiTheme="majorBidi" w:cstheme="majorBidi"/>
          <w:b/>
          <w:bCs/>
          <w:color w:val="000000"/>
        </w:rPr>
      </w:pPr>
    </w:p>
    <w:p w14:paraId="7B14289D" w14:textId="078BA0D4" w:rsidR="00DA28E5" w:rsidRPr="00D758BE" w:rsidRDefault="00DA28E5" w:rsidP="00DA28E5">
      <w:pPr>
        <w:spacing w:line="480" w:lineRule="auto"/>
        <w:jc w:val="both"/>
        <w:rPr>
          <w:b/>
          <w:bCs/>
        </w:rPr>
      </w:pPr>
      <w:r w:rsidRPr="00D758BE">
        <w:rPr>
          <w:b/>
          <w:bCs/>
        </w:rPr>
        <w:br w:type="page"/>
      </w:r>
    </w:p>
    <w:p w14:paraId="6CDD72DF" w14:textId="77777777" w:rsidR="00DA28E5" w:rsidRPr="00D758BE" w:rsidRDefault="00DA28E5" w:rsidP="00DA28E5">
      <w:pPr>
        <w:spacing w:line="480" w:lineRule="auto"/>
        <w:contextualSpacing/>
        <w:jc w:val="both"/>
        <w:rPr>
          <w:rFonts w:asciiTheme="majorBidi" w:hAnsiTheme="majorBidi" w:cstheme="majorBidi"/>
          <w:color w:val="000000"/>
        </w:rPr>
      </w:pPr>
      <w:r w:rsidRPr="00D758BE">
        <w:rPr>
          <w:rFonts w:asciiTheme="majorBidi" w:hAnsiTheme="majorBidi" w:cstheme="majorBidi"/>
          <w:b/>
          <w:bCs/>
          <w:color w:val="000000"/>
        </w:rPr>
        <w:lastRenderedPageBreak/>
        <w:t>Figure S1. DHODH inhibition is well tolerated and did not induce weight loss in tumor-bearing mice.</w:t>
      </w:r>
      <w:r w:rsidRPr="00D758BE">
        <w:rPr>
          <w:rFonts w:asciiTheme="majorBidi" w:hAnsiTheme="majorBidi" w:cstheme="majorBidi"/>
          <w:color w:val="000000"/>
        </w:rPr>
        <w:t xml:space="preserve"> </w:t>
      </w:r>
    </w:p>
    <w:p w14:paraId="068CD093" w14:textId="77777777" w:rsidR="00DA28E5" w:rsidRPr="00D758BE" w:rsidRDefault="00DA28E5" w:rsidP="00DA28E5">
      <w:pPr>
        <w:spacing w:line="480" w:lineRule="auto"/>
        <w:contextualSpacing/>
        <w:jc w:val="both"/>
        <w:rPr>
          <w:rFonts w:asciiTheme="majorBidi" w:hAnsiTheme="majorBidi" w:cstheme="majorBidi"/>
          <w:color w:val="000000"/>
        </w:rPr>
      </w:pPr>
      <w:r w:rsidRPr="00D758BE">
        <w:rPr>
          <w:rFonts w:asciiTheme="majorBidi" w:hAnsiTheme="majorBidi" w:cstheme="majorBidi"/>
          <w:b/>
          <w:bCs/>
          <w:color w:val="000000"/>
        </w:rPr>
        <w:t>(A-B)</w:t>
      </w:r>
      <w:r w:rsidRPr="00D758BE">
        <w:rPr>
          <w:rFonts w:asciiTheme="majorBidi" w:hAnsiTheme="majorBidi" w:cstheme="majorBidi"/>
          <w:color w:val="000000"/>
        </w:rPr>
        <w:t xml:space="preserve"> NSG mice bearing </w:t>
      </w:r>
      <w:r w:rsidRPr="00D758BE">
        <w:rPr>
          <w:rFonts w:asciiTheme="majorBidi" w:hAnsiTheme="majorBidi" w:cstheme="majorBidi"/>
        </w:rPr>
        <w:t>A431 (</w:t>
      </w:r>
      <w:r w:rsidRPr="00D758BE">
        <w:rPr>
          <w:rFonts w:asciiTheme="majorBidi" w:hAnsiTheme="majorBidi" w:cstheme="majorBidi"/>
          <w:b/>
          <w:bCs/>
        </w:rPr>
        <w:t>A</w:t>
      </w:r>
      <w:r w:rsidRPr="00D758BE">
        <w:rPr>
          <w:rFonts w:asciiTheme="majorBidi" w:hAnsiTheme="majorBidi" w:cstheme="majorBidi"/>
        </w:rPr>
        <w:t>) and SCC13 (</w:t>
      </w:r>
      <w:r w:rsidRPr="00D758BE">
        <w:rPr>
          <w:rFonts w:asciiTheme="majorBidi" w:hAnsiTheme="majorBidi" w:cstheme="majorBidi"/>
          <w:b/>
          <w:bCs/>
        </w:rPr>
        <w:t>B</w:t>
      </w:r>
      <w:r w:rsidRPr="00D758BE">
        <w:rPr>
          <w:rFonts w:asciiTheme="majorBidi" w:hAnsiTheme="majorBidi" w:cstheme="majorBidi"/>
        </w:rPr>
        <w:t xml:space="preserve">) xenografts were treated orally with leflunomide (LFN), PTC299, or carboxymethylcellulose (vehicle, </w:t>
      </w:r>
      <w:proofErr w:type="spellStart"/>
      <w:r w:rsidRPr="00D758BE">
        <w:rPr>
          <w:rFonts w:asciiTheme="majorBidi" w:hAnsiTheme="majorBidi" w:cstheme="majorBidi"/>
        </w:rPr>
        <w:t>veh</w:t>
      </w:r>
      <w:proofErr w:type="spellEnd"/>
      <w:r w:rsidRPr="00D758BE">
        <w:rPr>
          <w:rFonts w:asciiTheme="majorBidi" w:hAnsiTheme="majorBidi" w:cstheme="majorBidi"/>
        </w:rPr>
        <w:t xml:space="preserve">) once tumors reached the desired size. </w:t>
      </w:r>
      <w:r w:rsidRPr="00D758BE">
        <w:t>Body weight was monitored at the indicated time points. Data represent mean ± SEM. Both LFN and PTC299 were well tolerated, with no significant weight loss observed and overall body weight remaining stable during the treatment period.</w:t>
      </w:r>
    </w:p>
    <w:p w14:paraId="75CFA8EC" w14:textId="75BE2CBD" w:rsidR="00DA28E5" w:rsidRPr="00D758BE" w:rsidRDefault="00DA28E5" w:rsidP="00DA28E5">
      <w:pPr>
        <w:spacing w:line="480" w:lineRule="auto"/>
        <w:contextualSpacing/>
        <w:rPr>
          <w:rStyle w:val="lev"/>
          <w:rFonts w:asciiTheme="majorBidi" w:hAnsiTheme="majorBidi" w:cstheme="majorBidi"/>
          <w:color w:val="000000"/>
        </w:rPr>
      </w:pPr>
    </w:p>
    <w:p w14:paraId="2CB32517" w14:textId="77777777" w:rsidR="009A7CA7" w:rsidRDefault="009A7CA7">
      <w:pPr>
        <w:spacing w:after="160" w:line="259" w:lineRule="auto"/>
        <w:rPr>
          <w:rStyle w:val="lev"/>
        </w:rPr>
      </w:pPr>
      <w:r>
        <w:rPr>
          <w:rStyle w:val="lev"/>
        </w:rPr>
        <w:br w:type="page"/>
      </w:r>
    </w:p>
    <w:p w14:paraId="3A90603E" w14:textId="007BE955" w:rsidR="00F636F1" w:rsidRPr="00D758BE" w:rsidRDefault="008D55F1" w:rsidP="00F636F1">
      <w:pPr>
        <w:spacing w:line="480" w:lineRule="auto"/>
        <w:contextualSpacing/>
        <w:jc w:val="both"/>
        <w:rPr>
          <w:rStyle w:val="lev"/>
        </w:rPr>
      </w:pPr>
      <w:r w:rsidRPr="00D758BE">
        <w:rPr>
          <w:rStyle w:val="lev"/>
        </w:rPr>
        <w:lastRenderedPageBreak/>
        <w:t>Figure S2. DHODH inhibition induces S-phase arrest in tumor cells.</w:t>
      </w:r>
    </w:p>
    <w:p w14:paraId="4FC903C3" w14:textId="77777777" w:rsidR="00AC2575" w:rsidRPr="00D758BE" w:rsidRDefault="008D55F1" w:rsidP="00F636F1">
      <w:pPr>
        <w:spacing w:line="480" w:lineRule="auto"/>
        <w:contextualSpacing/>
        <w:jc w:val="both"/>
        <w:rPr>
          <w:rStyle w:val="lev"/>
          <w:rFonts w:asciiTheme="majorBidi" w:hAnsiTheme="majorBidi" w:cstheme="majorBidi"/>
          <w:color w:val="FF0000"/>
        </w:rPr>
      </w:pPr>
      <w:r w:rsidRPr="00D758BE">
        <w:t xml:space="preserve">Cell-cycle distribution was analyzed by flow cytometry following propidium iodide (PI) staining and </w:t>
      </w:r>
      <w:proofErr w:type="spellStart"/>
      <w:r w:rsidRPr="00D758BE">
        <w:t>EdU</w:t>
      </w:r>
      <w:proofErr w:type="spellEnd"/>
      <w:r w:rsidRPr="00D758BE">
        <w:t xml:space="preserve"> incorporation. A431 cells were treated with PTC299 or vehicle (VEH), and the percentages of cells in G0/G1, S, and G2/M phases were quantified. Data represent mean ± SEM from three independent experiments. Statistical significance was determined using two-way repeated-measures ANOVA followed by Bonferroni’s multiple comparisons test (**</w:t>
      </w:r>
      <w:r w:rsidRPr="00253484">
        <w:rPr>
          <w:i/>
          <w:iCs/>
        </w:rPr>
        <w:t>P</w:t>
      </w:r>
      <w:r w:rsidRPr="00D758BE">
        <w:t xml:space="preserve"> &lt; 0.01, ***</w:t>
      </w:r>
      <w:r w:rsidRPr="00253484">
        <w:rPr>
          <w:i/>
          <w:iCs/>
        </w:rPr>
        <w:t>P</w:t>
      </w:r>
      <w:r w:rsidRPr="00D758BE">
        <w:t xml:space="preserve"> &lt; 0.001; ns, not significant).</w:t>
      </w:r>
    </w:p>
    <w:p w14:paraId="6DA2367D" w14:textId="77777777" w:rsidR="00AC2575" w:rsidRPr="00D758BE" w:rsidRDefault="00AC2575" w:rsidP="00AC2575">
      <w:pPr>
        <w:spacing w:line="480" w:lineRule="auto"/>
        <w:contextualSpacing/>
        <w:rPr>
          <w:rStyle w:val="lev"/>
          <w:rFonts w:asciiTheme="majorBidi" w:hAnsiTheme="majorBidi" w:cstheme="majorBidi"/>
          <w:color w:val="FF0000"/>
        </w:rPr>
      </w:pPr>
    </w:p>
    <w:p w14:paraId="031153C6" w14:textId="77777777" w:rsidR="00E16A50" w:rsidRPr="00D758BE" w:rsidRDefault="00E16A50">
      <w:pPr>
        <w:spacing w:after="160" w:line="259" w:lineRule="auto"/>
        <w:rPr>
          <w:rFonts w:asciiTheme="majorBidi" w:hAnsiTheme="majorBidi" w:cstheme="majorBidi"/>
          <w:b/>
          <w:bCs/>
          <w:color w:val="FF0000"/>
        </w:rPr>
      </w:pPr>
      <w:r w:rsidRPr="00D758BE">
        <w:rPr>
          <w:rFonts w:asciiTheme="majorBidi" w:hAnsiTheme="majorBidi" w:cstheme="majorBidi"/>
          <w:b/>
          <w:bCs/>
          <w:color w:val="FF0000"/>
        </w:rPr>
        <w:br w:type="page"/>
      </w:r>
    </w:p>
    <w:p w14:paraId="4AC777DE" w14:textId="77777777" w:rsidR="00F636F1" w:rsidRPr="00D758BE" w:rsidRDefault="00F636F1" w:rsidP="00E16A50">
      <w:pPr>
        <w:spacing w:line="480" w:lineRule="auto"/>
        <w:contextualSpacing/>
        <w:jc w:val="both"/>
        <w:rPr>
          <w:b/>
          <w:bCs/>
        </w:rPr>
      </w:pPr>
      <w:r w:rsidRPr="00D758BE">
        <w:rPr>
          <w:rFonts w:asciiTheme="majorBidi" w:hAnsiTheme="majorBidi" w:cstheme="majorBidi"/>
          <w:b/>
          <w:bCs/>
        </w:rPr>
        <w:lastRenderedPageBreak/>
        <w:t xml:space="preserve">Figure S3. </w:t>
      </w:r>
      <w:r w:rsidR="00E16A50" w:rsidRPr="00D758BE">
        <w:rPr>
          <w:rFonts w:asciiTheme="majorBidi" w:hAnsiTheme="majorBidi" w:cstheme="majorBidi"/>
          <w:b/>
          <w:bCs/>
        </w:rPr>
        <w:t xml:space="preserve">PTC299-mediated </w:t>
      </w:r>
      <w:r w:rsidRPr="00D758BE">
        <w:rPr>
          <w:b/>
          <w:bCs/>
        </w:rPr>
        <w:t>DHODH inhibition triggers pyrimidine precursor accumulation, metabolic rerouting, and oxidative stress responses</w:t>
      </w:r>
    </w:p>
    <w:p w14:paraId="614E6E8B" w14:textId="77777777" w:rsidR="00E16A50" w:rsidRPr="00D758BE" w:rsidRDefault="00F636F1" w:rsidP="00E16A50">
      <w:pPr>
        <w:spacing w:line="480" w:lineRule="auto"/>
        <w:contextualSpacing/>
        <w:jc w:val="both"/>
        <w:rPr>
          <w:rFonts w:asciiTheme="majorBidi" w:hAnsiTheme="majorBidi" w:cstheme="majorBidi"/>
        </w:rPr>
      </w:pPr>
      <w:r w:rsidRPr="00D758BE">
        <w:t xml:space="preserve">Semi-targeted metabolomic profiling was performed on A431 xenografts treated with PTC299 or VEH (n=5 per group). </w:t>
      </w:r>
      <w:r w:rsidR="00E16A50" w:rsidRPr="00D758BE">
        <w:t>(</w:t>
      </w:r>
      <w:r w:rsidR="00E16A50" w:rsidRPr="00D758BE">
        <w:rPr>
          <w:b/>
          <w:bCs/>
        </w:rPr>
        <w:t>A</w:t>
      </w:r>
      <w:r w:rsidR="00E16A50" w:rsidRPr="00D758BE">
        <w:t xml:space="preserve">) </w:t>
      </w:r>
      <w:r w:rsidRPr="00D758BE">
        <w:rPr>
          <w:rFonts w:asciiTheme="majorBidi" w:hAnsiTheme="majorBidi" w:cstheme="majorBidi"/>
        </w:rPr>
        <w:t xml:space="preserve">Heatmap illustrating differential metabolite abundances across conditions. Colors represent low (red) and high (green) metabolite levels. </w:t>
      </w:r>
    </w:p>
    <w:p w14:paraId="18F3B4BF" w14:textId="77777777" w:rsidR="00E16A50" w:rsidRPr="00D758BE" w:rsidRDefault="00E16A50" w:rsidP="00E16A50">
      <w:pPr>
        <w:spacing w:line="480" w:lineRule="auto"/>
        <w:contextualSpacing/>
        <w:jc w:val="both"/>
        <w:rPr>
          <w:rFonts w:asciiTheme="majorBidi" w:hAnsiTheme="majorBidi" w:cstheme="majorBidi"/>
        </w:rPr>
      </w:pPr>
      <w:r w:rsidRPr="00D758BE">
        <w:rPr>
          <w:rFonts w:asciiTheme="majorBidi" w:hAnsiTheme="majorBidi" w:cstheme="majorBidi"/>
        </w:rPr>
        <w:t>(</w:t>
      </w:r>
      <w:r w:rsidRPr="00D758BE">
        <w:rPr>
          <w:rFonts w:asciiTheme="majorBidi" w:hAnsiTheme="majorBidi" w:cstheme="majorBidi"/>
          <w:b/>
          <w:bCs/>
        </w:rPr>
        <w:t>B</w:t>
      </w:r>
      <w:r w:rsidRPr="00D758BE">
        <w:rPr>
          <w:rFonts w:asciiTheme="majorBidi" w:hAnsiTheme="majorBidi" w:cstheme="majorBidi"/>
        </w:rPr>
        <w:t xml:space="preserve">) </w:t>
      </w:r>
      <w:r w:rsidR="00F636F1" w:rsidRPr="00D758BE">
        <w:rPr>
          <w:rFonts w:asciiTheme="majorBidi" w:hAnsiTheme="majorBidi" w:cstheme="majorBidi"/>
        </w:rPr>
        <w:t xml:space="preserve">Volcano plots show the differentially expressed metabolites in PTC299-treated vs VEH-treated </w:t>
      </w:r>
      <w:r w:rsidRPr="00D758BE">
        <w:t>xenografts</w:t>
      </w:r>
      <w:r w:rsidR="00F636F1" w:rsidRPr="00D758BE">
        <w:rPr>
          <w:rFonts w:asciiTheme="majorBidi" w:hAnsiTheme="majorBidi" w:cstheme="majorBidi"/>
        </w:rPr>
        <w:t xml:space="preserve">. A total of 159 metabolites were identified. </w:t>
      </w:r>
    </w:p>
    <w:p w14:paraId="5869CC97" w14:textId="77777777" w:rsidR="00F636F1" w:rsidRPr="00D758BE" w:rsidRDefault="00E16A50" w:rsidP="00E16A50">
      <w:pPr>
        <w:spacing w:line="480" w:lineRule="auto"/>
        <w:contextualSpacing/>
        <w:jc w:val="both"/>
        <w:rPr>
          <w:rFonts w:asciiTheme="majorBidi" w:hAnsiTheme="majorBidi" w:cstheme="majorBidi"/>
        </w:rPr>
      </w:pPr>
      <w:r w:rsidRPr="00D758BE">
        <w:t>(</w:t>
      </w:r>
      <w:r w:rsidRPr="00D758BE">
        <w:rPr>
          <w:b/>
          <w:bCs/>
        </w:rPr>
        <w:t>C</w:t>
      </w:r>
      <w:r w:rsidRPr="00D758BE">
        <w:t xml:space="preserve">) </w:t>
      </w:r>
      <w:r w:rsidR="00F636F1" w:rsidRPr="00D758BE">
        <w:rPr>
          <w:rFonts w:asciiTheme="majorBidi" w:hAnsiTheme="majorBidi" w:cstheme="majorBidi"/>
        </w:rPr>
        <w:t xml:space="preserve">Relative abundances of </w:t>
      </w:r>
      <w:proofErr w:type="spellStart"/>
      <w:r w:rsidR="00F636F1" w:rsidRPr="00D758BE">
        <w:rPr>
          <w:rFonts w:asciiTheme="majorBidi" w:hAnsiTheme="majorBidi" w:cstheme="majorBidi"/>
        </w:rPr>
        <w:t>dihydroorotic</w:t>
      </w:r>
      <w:proofErr w:type="spellEnd"/>
      <w:r w:rsidR="00F636F1" w:rsidRPr="00D758BE">
        <w:rPr>
          <w:rFonts w:asciiTheme="majorBidi" w:hAnsiTheme="majorBidi" w:cstheme="majorBidi"/>
        </w:rPr>
        <w:t xml:space="preserve"> acid, UTP, CTP, aspartic acid, and reduced glutathione </w:t>
      </w:r>
      <w:r w:rsidR="00F636F1" w:rsidRPr="00D758BE">
        <w:t>in PTC299-treated vs. vehicle xenografts</w:t>
      </w:r>
      <w:r w:rsidRPr="00D758BE">
        <w:t>.</w:t>
      </w:r>
      <w:r w:rsidR="00F636F1" w:rsidRPr="00D758BE">
        <w:t xml:space="preserve"> </w:t>
      </w:r>
      <w:r w:rsidR="00F636F1" w:rsidRPr="00D758BE">
        <w:rPr>
          <w:rFonts w:asciiTheme="majorBidi" w:hAnsiTheme="majorBidi" w:cstheme="majorBidi"/>
        </w:rPr>
        <w:t xml:space="preserve">Data represent mean ± SD for n = </w:t>
      </w:r>
      <w:r w:rsidRPr="00D758BE">
        <w:rPr>
          <w:rFonts w:asciiTheme="majorBidi" w:hAnsiTheme="majorBidi" w:cstheme="majorBidi"/>
        </w:rPr>
        <w:t>5</w:t>
      </w:r>
      <w:r w:rsidR="00F636F1" w:rsidRPr="00D758BE">
        <w:rPr>
          <w:rFonts w:asciiTheme="majorBidi" w:hAnsiTheme="majorBidi" w:cstheme="majorBidi"/>
        </w:rPr>
        <w:t xml:space="preserve"> biological replicates. </w:t>
      </w:r>
      <w:r w:rsidR="00F636F1" w:rsidRPr="00D758BE">
        <w:t>Statistical significance was assessed by multiple t-tests with p &lt; 0.05 and FDR 1% (*</w:t>
      </w:r>
      <w:r w:rsidR="00253484" w:rsidRPr="00253484">
        <w:rPr>
          <w:i/>
          <w:iCs/>
        </w:rPr>
        <w:t>P</w:t>
      </w:r>
      <w:r w:rsidR="00F636F1" w:rsidRPr="00D758BE">
        <w:t xml:space="preserve"> &lt; 0.05, **</w:t>
      </w:r>
      <w:r w:rsidR="00253484" w:rsidRPr="00253484">
        <w:rPr>
          <w:i/>
          <w:iCs/>
        </w:rPr>
        <w:t>P</w:t>
      </w:r>
      <w:r w:rsidR="00F636F1" w:rsidRPr="00D758BE">
        <w:t xml:space="preserve"> &lt; 0.01). </w:t>
      </w:r>
    </w:p>
    <w:p w14:paraId="6DDAA873" w14:textId="77777777" w:rsidR="00F636F1" w:rsidRPr="00D758BE" w:rsidRDefault="00F636F1" w:rsidP="00253484">
      <w:pPr>
        <w:spacing w:line="480" w:lineRule="auto"/>
        <w:contextualSpacing/>
        <w:jc w:val="both"/>
        <w:rPr>
          <w:rFonts w:asciiTheme="majorBidi" w:hAnsiTheme="majorBidi" w:cstheme="majorBidi"/>
        </w:rPr>
      </w:pPr>
      <w:r w:rsidRPr="00D758BE">
        <w:rPr>
          <w:rFonts w:asciiTheme="majorBidi" w:hAnsiTheme="majorBidi" w:cstheme="majorBidi"/>
        </w:rPr>
        <w:t>(</w:t>
      </w:r>
      <w:r w:rsidR="00E16A50" w:rsidRPr="00D758BE">
        <w:rPr>
          <w:rFonts w:asciiTheme="majorBidi" w:hAnsiTheme="majorBidi" w:cstheme="majorBidi"/>
          <w:b/>
          <w:bCs/>
        </w:rPr>
        <w:t>D</w:t>
      </w:r>
      <w:r w:rsidRPr="00D758BE">
        <w:rPr>
          <w:rFonts w:asciiTheme="majorBidi" w:hAnsiTheme="majorBidi" w:cstheme="majorBidi"/>
        </w:rPr>
        <w:t xml:space="preserve">) </w:t>
      </w:r>
      <w:r w:rsidRPr="00D758BE">
        <w:t>Ingenuity Pathway Analysis (IPA®) of differentially abundant metabolites highlighting the top significantly affected canonical pathways (z-score &gt; 2). The dashed line denotes the significance threshold (−log(</w:t>
      </w:r>
      <w:r w:rsidR="00253484" w:rsidRPr="00253484">
        <w:rPr>
          <w:i/>
          <w:iCs/>
        </w:rPr>
        <w:t>P</w:t>
      </w:r>
      <w:r w:rsidRPr="00D758BE">
        <w:t xml:space="preserve">) = 1.3). </w:t>
      </w:r>
    </w:p>
    <w:p w14:paraId="787D3DAF" w14:textId="77777777" w:rsidR="00F636F1" w:rsidRPr="00D758BE" w:rsidRDefault="00F636F1" w:rsidP="00E16A50">
      <w:pPr>
        <w:spacing w:line="480" w:lineRule="auto"/>
        <w:contextualSpacing/>
        <w:jc w:val="both"/>
        <w:rPr>
          <w:rFonts w:asciiTheme="majorBidi" w:hAnsiTheme="majorBidi" w:cstheme="majorBidi"/>
          <w:color w:val="FF0000"/>
        </w:rPr>
      </w:pPr>
      <w:r w:rsidRPr="00D758BE">
        <w:rPr>
          <w:rFonts w:asciiTheme="majorBidi" w:hAnsiTheme="majorBidi" w:cstheme="majorBidi"/>
        </w:rPr>
        <w:t>(</w:t>
      </w:r>
      <w:r w:rsidR="00E16A50" w:rsidRPr="00D758BE">
        <w:rPr>
          <w:rFonts w:asciiTheme="majorBidi" w:hAnsiTheme="majorBidi" w:cstheme="majorBidi"/>
          <w:b/>
          <w:bCs/>
        </w:rPr>
        <w:t>E</w:t>
      </w:r>
      <w:r w:rsidRPr="00D758BE">
        <w:rPr>
          <w:rFonts w:asciiTheme="majorBidi" w:hAnsiTheme="majorBidi" w:cstheme="majorBidi"/>
        </w:rPr>
        <w:t xml:space="preserve">) Gene Ontology enrichment analysis of the differentially expressed metabolites shows </w:t>
      </w:r>
      <w:r w:rsidRPr="00D758BE">
        <w:t xml:space="preserve">significantly enriched </w:t>
      </w:r>
      <w:r w:rsidRPr="00D758BE">
        <w:rPr>
          <w:rFonts w:asciiTheme="majorBidi" w:hAnsiTheme="majorBidi" w:cstheme="majorBidi"/>
        </w:rPr>
        <w:t>molecular and cellular functions. Only GO terms that were significantly overrepresented (</w:t>
      </w:r>
      <w:r w:rsidR="00253484" w:rsidRPr="00253484">
        <w:rPr>
          <w:rFonts w:asciiTheme="majorBidi" w:hAnsiTheme="majorBidi" w:cstheme="majorBidi"/>
          <w:i/>
          <w:iCs/>
        </w:rPr>
        <w:t>P</w:t>
      </w:r>
      <w:r w:rsidRPr="00D758BE">
        <w:rPr>
          <w:rFonts w:asciiTheme="majorBidi" w:hAnsiTheme="majorBidi" w:cstheme="majorBidi"/>
        </w:rPr>
        <w:t xml:space="preserve"> &lt; 0.05) are shown.</w:t>
      </w:r>
    </w:p>
    <w:p w14:paraId="77B450CA" w14:textId="77777777" w:rsidR="00AC2575" w:rsidRPr="00D758BE" w:rsidRDefault="00AC2575" w:rsidP="00AC2575">
      <w:pPr>
        <w:spacing w:line="480" w:lineRule="auto"/>
        <w:contextualSpacing/>
        <w:rPr>
          <w:rStyle w:val="lev"/>
          <w:rFonts w:asciiTheme="majorBidi" w:hAnsiTheme="majorBidi" w:cstheme="majorBidi"/>
          <w:color w:val="000000"/>
        </w:rPr>
      </w:pPr>
    </w:p>
    <w:p w14:paraId="5B8C5D14" w14:textId="77777777" w:rsidR="00E16A50" w:rsidRPr="00D758BE" w:rsidRDefault="00E16A50">
      <w:pPr>
        <w:spacing w:after="160" w:line="259" w:lineRule="auto"/>
        <w:rPr>
          <w:rStyle w:val="lev"/>
          <w:rFonts w:asciiTheme="majorBidi" w:hAnsiTheme="majorBidi" w:cstheme="majorBidi"/>
          <w:color w:val="000000"/>
        </w:rPr>
      </w:pPr>
      <w:r w:rsidRPr="00D758BE">
        <w:rPr>
          <w:rStyle w:val="lev"/>
          <w:rFonts w:asciiTheme="majorBidi" w:hAnsiTheme="majorBidi" w:cstheme="majorBidi"/>
          <w:color w:val="000000"/>
        </w:rPr>
        <w:br w:type="page"/>
      </w:r>
    </w:p>
    <w:p w14:paraId="32DBA04F" w14:textId="77777777" w:rsidR="00DA28E5" w:rsidRPr="00D758BE" w:rsidRDefault="00DA28E5" w:rsidP="00AC2575">
      <w:pPr>
        <w:spacing w:line="480" w:lineRule="auto"/>
        <w:contextualSpacing/>
        <w:rPr>
          <w:rStyle w:val="lev"/>
          <w:rFonts w:asciiTheme="majorBidi" w:hAnsiTheme="majorBidi" w:cstheme="majorBidi"/>
          <w:color w:val="000000"/>
        </w:rPr>
      </w:pPr>
      <w:r w:rsidRPr="00D758BE">
        <w:rPr>
          <w:rStyle w:val="lev"/>
          <w:rFonts w:asciiTheme="majorBidi" w:hAnsiTheme="majorBidi" w:cstheme="majorBidi"/>
          <w:color w:val="000000"/>
        </w:rPr>
        <w:lastRenderedPageBreak/>
        <w:t>Figure S</w:t>
      </w:r>
      <w:r w:rsidR="00AC2575" w:rsidRPr="00D758BE">
        <w:rPr>
          <w:rStyle w:val="lev"/>
          <w:rFonts w:asciiTheme="majorBidi" w:hAnsiTheme="majorBidi" w:cstheme="majorBidi"/>
          <w:color w:val="000000"/>
        </w:rPr>
        <w:t>4</w:t>
      </w:r>
      <w:r w:rsidRPr="00D758BE">
        <w:rPr>
          <w:rStyle w:val="lev"/>
          <w:rFonts w:asciiTheme="majorBidi" w:hAnsiTheme="majorBidi" w:cstheme="majorBidi"/>
          <w:color w:val="000000"/>
        </w:rPr>
        <w:t>. PTC299 reduces DHODH protein levels in A431 and SCC13 xenografts.</w:t>
      </w:r>
    </w:p>
    <w:p w14:paraId="2EA1BA96" w14:textId="77777777" w:rsidR="00DA28E5" w:rsidRPr="00DA28E5" w:rsidRDefault="00DA28E5" w:rsidP="00DA28E5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D758BE">
        <w:rPr>
          <w:rStyle w:val="lev"/>
          <w:rFonts w:asciiTheme="majorBidi" w:hAnsiTheme="majorBidi" w:cstheme="majorBidi"/>
          <w:b w:val="0"/>
          <w:bCs w:val="0"/>
          <w:color w:val="000000"/>
        </w:rPr>
        <w:t>(A–B) Western blot analysis of DHODH protein expression in A431 (A) and SCC13 (B) xenografts treated with vehicle (VEH) or PTC299 (PTC). Stain-Free total protein is shown as a loading control. Bar graphs display densitometric quantification of DHODH expression normalized to total protein. Data are shown as mean ± SEM (n = 4 tumors per group). Statistical significance was calculated using an unpaired two-tailed Student’s t-test (*</w:t>
      </w:r>
      <w:r w:rsidR="00253484" w:rsidRPr="00253484">
        <w:rPr>
          <w:rStyle w:val="lev"/>
          <w:rFonts w:asciiTheme="majorBidi" w:hAnsiTheme="majorBidi" w:cstheme="majorBidi"/>
          <w:b w:val="0"/>
          <w:bCs w:val="0"/>
          <w:i/>
          <w:iCs/>
          <w:color w:val="000000"/>
        </w:rPr>
        <w:t>P</w:t>
      </w:r>
      <w:r w:rsidRPr="00D758BE">
        <w:rPr>
          <w:rStyle w:val="lev"/>
          <w:rFonts w:asciiTheme="majorBidi" w:hAnsiTheme="majorBidi" w:cstheme="majorBidi"/>
          <w:b w:val="0"/>
          <w:bCs w:val="0"/>
          <w:color w:val="000000"/>
        </w:rPr>
        <w:t xml:space="preserve"> &lt; 0.05; **</w:t>
      </w:r>
      <w:r w:rsidR="00253484" w:rsidRPr="00253484">
        <w:rPr>
          <w:rStyle w:val="lev"/>
          <w:rFonts w:asciiTheme="majorBidi" w:hAnsiTheme="majorBidi" w:cstheme="majorBidi"/>
          <w:b w:val="0"/>
          <w:bCs w:val="0"/>
          <w:i/>
          <w:iCs/>
          <w:color w:val="000000"/>
        </w:rPr>
        <w:t>P</w:t>
      </w:r>
      <w:r w:rsidRPr="00D758BE">
        <w:rPr>
          <w:rStyle w:val="lev"/>
          <w:rFonts w:asciiTheme="majorBidi" w:hAnsiTheme="majorBidi" w:cstheme="majorBidi"/>
          <w:b w:val="0"/>
          <w:bCs w:val="0"/>
          <w:color w:val="000000"/>
        </w:rPr>
        <w:t xml:space="preserve"> &lt; 0.01).</w:t>
      </w:r>
    </w:p>
    <w:p w14:paraId="0D7FD5B3" w14:textId="77777777" w:rsidR="00DA28E5" w:rsidRPr="00DA28E5" w:rsidRDefault="00DA28E5" w:rsidP="00DA28E5">
      <w:pPr>
        <w:spacing w:line="480" w:lineRule="auto"/>
        <w:rPr>
          <w:b/>
          <w:bCs/>
        </w:rPr>
      </w:pPr>
    </w:p>
    <w:sectPr w:rsidR="00DA28E5" w:rsidRPr="00DA28E5" w:rsidSect="00DA28E5">
      <w:footerReference w:type="default" r:id="rId7"/>
      <w:pgSz w:w="12240" w:h="15840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8E7B0" w14:textId="77777777" w:rsidR="005434C8" w:rsidRDefault="005434C8" w:rsidP="00B72730">
      <w:r>
        <w:separator/>
      </w:r>
    </w:p>
  </w:endnote>
  <w:endnote w:type="continuationSeparator" w:id="0">
    <w:p w14:paraId="7BC87DCC" w14:textId="77777777" w:rsidR="005434C8" w:rsidRDefault="005434C8" w:rsidP="00B7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6171245"/>
      <w:docPartObj>
        <w:docPartGallery w:val="Page Numbers (Bottom of Page)"/>
        <w:docPartUnique/>
      </w:docPartObj>
    </w:sdtPr>
    <w:sdtContent>
      <w:p w14:paraId="3088818A" w14:textId="77777777" w:rsidR="00B72730" w:rsidRDefault="00B7273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E4D" w:rsidRPr="00452E4D">
          <w:rPr>
            <w:noProof/>
            <w:lang w:val="fr-FR"/>
          </w:rPr>
          <w:t>15</w:t>
        </w:r>
        <w:r>
          <w:fldChar w:fldCharType="end"/>
        </w:r>
      </w:p>
    </w:sdtContent>
  </w:sdt>
  <w:p w14:paraId="7FDE4A85" w14:textId="77777777" w:rsidR="00B72730" w:rsidRDefault="00B7273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C06FA" w14:textId="77777777" w:rsidR="005434C8" w:rsidRDefault="005434C8" w:rsidP="00B72730">
      <w:r>
        <w:separator/>
      </w:r>
    </w:p>
  </w:footnote>
  <w:footnote w:type="continuationSeparator" w:id="0">
    <w:p w14:paraId="62EB6008" w14:textId="77777777" w:rsidR="005434C8" w:rsidRDefault="005434C8" w:rsidP="00B72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A15F6"/>
    <w:multiLevelType w:val="hybridMultilevel"/>
    <w:tmpl w:val="58FE8184"/>
    <w:lvl w:ilvl="0" w:tplc="5DFC223A">
      <w:start w:val="1"/>
      <w:numFmt w:val="decimal"/>
      <w:lvlText w:val="%1-"/>
      <w:lvlJc w:val="left"/>
      <w:pPr>
        <w:ind w:left="376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483" w:hanging="360"/>
      </w:pPr>
    </w:lvl>
    <w:lvl w:ilvl="2" w:tplc="040C001B" w:tentative="1">
      <w:start w:val="1"/>
      <w:numFmt w:val="lowerRoman"/>
      <w:lvlText w:val="%3."/>
      <w:lvlJc w:val="right"/>
      <w:pPr>
        <w:ind w:left="5203" w:hanging="180"/>
      </w:pPr>
    </w:lvl>
    <w:lvl w:ilvl="3" w:tplc="040C000F" w:tentative="1">
      <w:start w:val="1"/>
      <w:numFmt w:val="decimal"/>
      <w:lvlText w:val="%4."/>
      <w:lvlJc w:val="left"/>
      <w:pPr>
        <w:ind w:left="5923" w:hanging="360"/>
      </w:pPr>
    </w:lvl>
    <w:lvl w:ilvl="4" w:tplc="040C0019" w:tentative="1">
      <w:start w:val="1"/>
      <w:numFmt w:val="lowerLetter"/>
      <w:lvlText w:val="%5."/>
      <w:lvlJc w:val="left"/>
      <w:pPr>
        <w:ind w:left="6643" w:hanging="360"/>
      </w:pPr>
    </w:lvl>
    <w:lvl w:ilvl="5" w:tplc="040C001B" w:tentative="1">
      <w:start w:val="1"/>
      <w:numFmt w:val="lowerRoman"/>
      <w:lvlText w:val="%6."/>
      <w:lvlJc w:val="right"/>
      <w:pPr>
        <w:ind w:left="7363" w:hanging="180"/>
      </w:pPr>
    </w:lvl>
    <w:lvl w:ilvl="6" w:tplc="040C000F" w:tentative="1">
      <w:start w:val="1"/>
      <w:numFmt w:val="decimal"/>
      <w:lvlText w:val="%7."/>
      <w:lvlJc w:val="left"/>
      <w:pPr>
        <w:ind w:left="8083" w:hanging="360"/>
      </w:pPr>
    </w:lvl>
    <w:lvl w:ilvl="7" w:tplc="040C0019" w:tentative="1">
      <w:start w:val="1"/>
      <w:numFmt w:val="lowerLetter"/>
      <w:lvlText w:val="%8."/>
      <w:lvlJc w:val="left"/>
      <w:pPr>
        <w:ind w:left="8803" w:hanging="360"/>
      </w:pPr>
    </w:lvl>
    <w:lvl w:ilvl="8" w:tplc="040C001B" w:tentative="1">
      <w:start w:val="1"/>
      <w:numFmt w:val="lowerRoman"/>
      <w:lvlText w:val="%9."/>
      <w:lvlJc w:val="right"/>
      <w:pPr>
        <w:ind w:left="9523" w:hanging="180"/>
      </w:pPr>
    </w:lvl>
  </w:abstractNum>
  <w:num w:numId="1" w16cid:durableId="931473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8E5"/>
    <w:rsid w:val="000A2A7C"/>
    <w:rsid w:val="001C6719"/>
    <w:rsid w:val="001F6FC6"/>
    <w:rsid w:val="002511BB"/>
    <w:rsid w:val="00253484"/>
    <w:rsid w:val="002D29B1"/>
    <w:rsid w:val="00306402"/>
    <w:rsid w:val="00331041"/>
    <w:rsid w:val="00452E4D"/>
    <w:rsid w:val="00467765"/>
    <w:rsid w:val="0051225B"/>
    <w:rsid w:val="005434C8"/>
    <w:rsid w:val="0056092D"/>
    <w:rsid w:val="00822505"/>
    <w:rsid w:val="008D55F1"/>
    <w:rsid w:val="009A3593"/>
    <w:rsid w:val="009A7CA7"/>
    <w:rsid w:val="009E6F37"/>
    <w:rsid w:val="009F6C4D"/>
    <w:rsid w:val="00AC2575"/>
    <w:rsid w:val="00B72730"/>
    <w:rsid w:val="00BB6631"/>
    <w:rsid w:val="00D65720"/>
    <w:rsid w:val="00D758BE"/>
    <w:rsid w:val="00DA28E5"/>
    <w:rsid w:val="00E135D5"/>
    <w:rsid w:val="00E16A50"/>
    <w:rsid w:val="00EB6559"/>
    <w:rsid w:val="00F32D83"/>
    <w:rsid w:val="00F636F1"/>
    <w:rsid w:val="00F84B62"/>
    <w:rsid w:val="00FE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25D9E"/>
  <w15:chartTrackingRefBased/>
  <w15:docId w15:val="{A9B6152E-8609-4292-81E2-FFCD46E1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re2">
    <w:name w:val="heading 2"/>
    <w:basedOn w:val="Normal"/>
    <w:link w:val="Titre2Car"/>
    <w:uiPriority w:val="9"/>
    <w:qFormat/>
    <w:rsid w:val="000A2A7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28E5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DA28E5"/>
    <w:pPr>
      <w:ind w:left="720"/>
      <w:contextualSpacing/>
    </w:pPr>
    <w:rPr>
      <w:rFonts w:asciiTheme="minorHAnsi" w:eastAsiaTheme="minorHAnsi" w:hAnsiTheme="minorHAnsi" w:cstheme="minorBidi"/>
      <w:lang w:val="fr-FR"/>
    </w:rPr>
  </w:style>
  <w:style w:type="character" w:styleId="lev">
    <w:name w:val="Strong"/>
    <w:basedOn w:val="Policepardfaut"/>
    <w:uiPriority w:val="22"/>
    <w:qFormat/>
    <w:rsid w:val="00DA28E5"/>
    <w:rPr>
      <w:b/>
      <w:bCs/>
    </w:rPr>
  </w:style>
  <w:style w:type="character" w:styleId="Numrodeligne">
    <w:name w:val="line number"/>
    <w:basedOn w:val="Policepardfaut"/>
    <w:uiPriority w:val="99"/>
    <w:semiHidden/>
    <w:unhideWhenUsed/>
    <w:rsid w:val="00DA28E5"/>
  </w:style>
  <w:style w:type="paragraph" w:styleId="Bibliographie">
    <w:name w:val="Bibliography"/>
    <w:basedOn w:val="Normal"/>
    <w:next w:val="Normal"/>
    <w:uiPriority w:val="37"/>
    <w:unhideWhenUsed/>
    <w:rsid w:val="00DA28E5"/>
    <w:pPr>
      <w:tabs>
        <w:tab w:val="left" w:pos="264"/>
      </w:tabs>
      <w:spacing w:after="240"/>
      <w:ind w:left="264" w:hanging="264"/>
    </w:pPr>
  </w:style>
  <w:style w:type="paragraph" w:styleId="En-tte">
    <w:name w:val="header"/>
    <w:basedOn w:val="Normal"/>
    <w:link w:val="En-tteCar"/>
    <w:uiPriority w:val="99"/>
    <w:unhideWhenUsed/>
    <w:rsid w:val="00B72730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B72730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72730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2730"/>
    <w:rPr>
      <w:rFonts w:ascii="Times New Roman" w:eastAsia="Times New Roman" w:hAnsi="Times New Roman" w:cs="Times New Roman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0A2A7C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4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456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rezvani.hr21@gmail.com</dc:creator>
  <cp:keywords/>
  <dc:description/>
  <cp:lastModifiedBy>Hamid-Reza REZVANI</cp:lastModifiedBy>
  <cp:revision>2</cp:revision>
  <dcterms:created xsi:type="dcterms:W3CDTF">2026-04-13T09:43:00Z</dcterms:created>
  <dcterms:modified xsi:type="dcterms:W3CDTF">2026-04-13T09:43:00Z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id="3R3qiIFf"/&gt;&lt;style id="http://www.zotero.org/styles/cell-death-and-disease" hasBibliography="1" bibliographyStyleHasBeenSet="1"/&gt;&lt;prefs&gt;&lt;pref name="fieldType" value="Field"/&gt;&lt;/prefs&gt;&lt;/data&gt;</vt:lpwstr>
  </property>
</Properties>
</file>