
<file path=[Content_Types].xml><?xml version="1.0" encoding="utf-8"?>
<Types xmlns="http://schemas.openxmlformats.org/package/2006/content-types">
  <Default Extension="tiff" ContentType="image/tif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66A35">
      <w:pPr>
        <w:pStyle w:val="2"/>
        <w:keepNext w:val="0"/>
        <w:keepLines w:val="0"/>
        <w:widowControl/>
        <w:numPr>
          <w:ilvl w:val="0"/>
          <w:numId w:val="1"/>
        </w:numPr>
        <w:tabs>
          <w:tab w:val="left" w:pos="360"/>
        </w:tabs>
        <w:spacing w:before="240" w:after="240" w:line="480" w:lineRule="auto"/>
        <w:ind w:left="0" w:firstLine="0"/>
        <w:jc w:val="both"/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14:ligatures w14:val="none"/>
        </w:rPr>
      </w:pPr>
      <w:r>
        <w:rPr>
          <w:rFonts w:ascii="Times New Roman" w:hAnsi="Times New Roman" w:eastAsia="Cambria" w:cs="Times New Roman"/>
          <w:b/>
          <w:color w:val="auto"/>
          <w:kern w:val="0"/>
          <w:sz w:val="28"/>
          <w:szCs w:val="28"/>
          <w:lang w:eastAsia="en-US"/>
          <w14:ligatures w14:val="none"/>
        </w:rPr>
        <w:t>Supplementary Figures</w:t>
      </w:r>
    </w:p>
    <w:p w14:paraId="22C33B11">
      <w:pPr>
        <w:rPr>
          <w:lang w:val="en-GB"/>
        </w:rPr>
      </w:pPr>
      <w:r>
        <w:rPr>
          <w:rFonts w:hint="eastAsia"/>
          <w:lang w:val="en-GB"/>
        </w:rPr>
        <w:drawing>
          <wp:inline distT="0" distB="0" distL="0" distR="0">
            <wp:extent cx="5274310" cy="3727450"/>
            <wp:effectExtent l="0" t="0" r="2540" b="6350"/>
            <wp:docPr id="15292996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299632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BD455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Supplementary Figure </w:t>
      </w:r>
      <w:r>
        <w:rPr>
          <w:rFonts w:hint="eastAsia" w:ascii="Times New Roman" w:hAnsi="Times New Roman" w:cs="Times New Roman"/>
          <w:b/>
          <w:sz w:val="21"/>
          <w:szCs w:val="21"/>
        </w:rPr>
        <w:t>1</w:t>
      </w:r>
      <w:r>
        <w:rPr>
          <w:rFonts w:ascii="Times New Roman" w:hAnsi="Times New Roman" w:cs="Times New Roman"/>
          <w:b/>
          <w:sz w:val="21"/>
          <w:szCs w:val="21"/>
        </w:rPr>
        <w:t>| Quality control of single-cell RNA-seq data from HGSOC specimens.</w:t>
      </w:r>
      <w:r>
        <w:rPr>
          <w:rFonts w:ascii="Times New Roman" w:hAnsi="Times New Roman" w:cs="Times New Roman"/>
          <w:sz w:val="21"/>
          <w:szCs w:val="21"/>
        </w:rPr>
        <w:t xml:space="preserve"> (A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-</w:t>
      </w:r>
      <w:r>
        <w:rPr>
          <w:rFonts w:ascii="Times New Roman" w:hAnsi="Times New Roman" w:cs="Times New Roman"/>
          <w:sz w:val="21"/>
          <w:szCs w:val="21"/>
        </w:rPr>
        <w:t>C) Histograms showing the distributions of UMI counts (A), mitochondrial gene percentage (B), and detected gene numbers (C) before quality control. (D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-</w:t>
      </w:r>
      <w:r>
        <w:rPr>
          <w:rFonts w:ascii="Times New Roman" w:hAnsi="Times New Roman" w:cs="Times New Roman"/>
          <w:sz w:val="21"/>
          <w:szCs w:val="21"/>
        </w:rPr>
        <w:t>F) Histograms showing the distributions of UMI counts (D), mitochondrial gene percentage (E), and detected gene numbers (F) after quality control.</w:t>
      </w:r>
    </w:p>
    <w:p w14:paraId="58A42CB9">
      <w:pPr>
        <w:rPr>
          <w:rFonts w:ascii="Arial" w:hAnsi="Arial" w:cs="Arial"/>
          <w:iCs/>
          <w:sz w:val="24"/>
        </w:rPr>
      </w:pPr>
    </w:p>
    <w:p w14:paraId="0E592948">
      <w:pPr>
        <w:rPr>
          <w:rFonts w:hint="eastAsia"/>
        </w:rPr>
      </w:pPr>
    </w:p>
    <w:p w14:paraId="5DF53F0B">
      <w:pPr>
        <w:spacing w:before="120"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74310" cy="248221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06BA4">
      <w:pPr>
        <w:spacing w:before="120" w:after="240" w:line="48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Supplementary Figure </w:t>
      </w:r>
      <w:r>
        <w:rPr>
          <w:rFonts w:hint="eastAsia" w:ascii="Times New Roman" w:hAnsi="Times New Roman" w:cs="Times New Roman"/>
          <w:b/>
          <w:sz w:val="21"/>
          <w:szCs w:val="21"/>
        </w:rPr>
        <w:t>2</w:t>
      </w:r>
      <w:r>
        <w:rPr>
          <w:rFonts w:ascii="Times New Roman" w:hAnsi="Times New Roman" w:cs="Times New Roman"/>
          <w:b/>
          <w:sz w:val="21"/>
          <w:szCs w:val="21"/>
        </w:rPr>
        <w:t xml:space="preserve"> | The sources and proportions of samples in the single-cell data.</w:t>
      </w:r>
      <w:r>
        <w:rPr>
          <w:rFonts w:ascii="Times New Roman" w:hAnsi="Times New Roman" w:cs="Times New Roman"/>
          <w:sz w:val="21"/>
          <w:szCs w:val="21"/>
        </w:rPr>
        <w:t xml:space="preserve"> (A) UMAP plots showing the sources of samples from all samples of scRNA-seq cohort. (B) Cell proportions of major cell types in different lesions.</w:t>
      </w:r>
    </w:p>
    <w:p w14:paraId="6DAE3E41">
      <w:pPr>
        <w:spacing w:before="120"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74310" cy="4963795"/>
            <wp:effectExtent l="0" t="0" r="254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6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72EFC">
      <w:pPr>
        <w:spacing w:before="120" w:after="240" w:line="48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Supplementary Figure </w:t>
      </w:r>
      <w:r>
        <w:rPr>
          <w:rFonts w:hint="eastAsia" w:ascii="Times New Roman" w:hAnsi="Times New Roman" w:cs="Times New Roman"/>
          <w:b/>
          <w:sz w:val="21"/>
          <w:szCs w:val="21"/>
        </w:rPr>
        <w:t>3</w:t>
      </w:r>
      <w:r>
        <w:rPr>
          <w:rFonts w:ascii="Times New Roman" w:hAnsi="Times New Roman" w:cs="Times New Roman"/>
          <w:b/>
          <w:sz w:val="21"/>
          <w:szCs w:val="21"/>
        </w:rPr>
        <w:t xml:space="preserve"> | ERO1A drives SKOV3 cells migration and peritoneal metastasis in vitro and in vivo.</w:t>
      </w:r>
      <w:r>
        <w:rPr>
          <w:rFonts w:ascii="Times New Roman" w:hAnsi="Times New Roman" w:cs="Times New Roman"/>
          <w:sz w:val="21"/>
          <w:szCs w:val="21"/>
        </w:rPr>
        <w:t xml:space="preserve"> (A) Transwell migration and invasion assays. n = 3. OE versus NC analyzed by</w:t>
      </w:r>
      <w:r>
        <w:rPr>
          <w:rFonts w:ascii="Times New Roman" w:hAnsi="Times New Roman" w:cs="Times New Roman"/>
          <w:i/>
          <w:iCs/>
          <w:sz w:val="21"/>
          <w:szCs w:val="21"/>
        </w:rPr>
        <w:t xml:space="preserve"> t</w:t>
      </w:r>
      <w:r>
        <w:rPr>
          <w:rFonts w:ascii="Times New Roman" w:hAnsi="Times New Roman" w:cs="Times New Roman"/>
          <w:sz w:val="21"/>
          <w:szCs w:val="21"/>
        </w:rPr>
        <w:t>-test. Knockdown groups analyzed by one-way ANOVA with Tukey’s post hoc test. Scale bars, 200 μm. (B) Scratch-wound assays at 0 h and 24 h showing wound-healing ratios. n = 3. OE versus NC by two-sided t-test; knockdown by one-way ANOVA with Tukey’s post hoc test. Scale bars, 200 μm. (C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-</w:t>
      </w:r>
      <w:r>
        <w:rPr>
          <w:rFonts w:ascii="Times New Roman" w:hAnsi="Times New Roman" w:cs="Times New Roman"/>
          <w:sz w:val="21"/>
          <w:szCs w:val="21"/>
        </w:rPr>
        <w:t xml:space="preserve">D) Representative in vivo bioluminescence </w:t>
      </w:r>
      <w:bookmarkStart w:id="0" w:name="_Hlk214120909"/>
      <w:r>
        <w:rPr>
          <w:rFonts w:hint="eastAsia" w:ascii="Times New Roman" w:hAnsi="Times New Roman" w:cs="Times New Roman"/>
          <w:sz w:val="21"/>
          <w:szCs w:val="21"/>
        </w:rPr>
        <w:t xml:space="preserve">back </w:t>
      </w:r>
      <w:r>
        <w:rPr>
          <w:rFonts w:ascii="Times New Roman" w:hAnsi="Times New Roman" w:cs="Times New Roman"/>
          <w:sz w:val="21"/>
          <w:szCs w:val="21"/>
        </w:rPr>
        <w:t xml:space="preserve">(C) </w:t>
      </w:r>
      <w:r>
        <w:rPr>
          <w:rFonts w:hint="eastAsia" w:ascii="Times New Roman" w:hAnsi="Times New Roman" w:cs="Times New Roman"/>
          <w:sz w:val="21"/>
          <w:szCs w:val="21"/>
        </w:rPr>
        <w:t>and abdominal</w:t>
      </w:r>
      <w:r>
        <w:rPr>
          <w:rFonts w:ascii="Times New Roman" w:hAnsi="Times New Roman" w:cs="Times New Roman"/>
          <w:sz w:val="21"/>
          <w:szCs w:val="21"/>
        </w:rPr>
        <w:t xml:space="preserve"> (D)</w:t>
      </w:r>
      <w:bookmarkEnd w:id="0"/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images at 7 d (C) and 14 d (D) after implantation and corresponding photon-flux quantification. (E) Gross tumors from orthotopic SKOV3 shNC and shERO1A groups with tumor volume quantification (mm³). Scale bar, 1 cm. Two-sided t-tests. shNC n = 4; shERO1A n = 4. *</w:t>
      </w:r>
      <w:r>
        <w:rPr>
          <w:rFonts w:ascii="Times New Roman" w:hAnsi="Times New Roman" w:cs="Times New Roman"/>
          <w:i/>
          <w:iCs/>
          <w:sz w:val="21"/>
          <w:szCs w:val="21"/>
        </w:rPr>
        <w:t>P</w:t>
      </w:r>
      <w:r>
        <w:rPr>
          <w:rFonts w:ascii="Times New Roman" w:hAnsi="Times New Roman" w:cs="Times New Roman"/>
          <w:sz w:val="21"/>
          <w:szCs w:val="21"/>
        </w:rPr>
        <w:t xml:space="preserve"> &lt; 0.05, **</w:t>
      </w:r>
      <w:r>
        <w:rPr>
          <w:rFonts w:ascii="Times New Roman" w:hAnsi="Times New Roman" w:cs="Times New Roman"/>
          <w:i/>
          <w:iCs/>
          <w:sz w:val="21"/>
          <w:szCs w:val="21"/>
        </w:rPr>
        <w:t xml:space="preserve">P </w:t>
      </w:r>
      <w:r>
        <w:rPr>
          <w:rFonts w:ascii="Times New Roman" w:hAnsi="Times New Roman" w:cs="Times New Roman"/>
          <w:sz w:val="21"/>
          <w:szCs w:val="21"/>
        </w:rPr>
        <w:t>&lt; 0.01, ***</w:t>
      </w:r>
      <w:r>
        <w:rPr>
          <w:rFonts w:ascii="Times New Roman" w:hAnsi="Times New Roman" w:cs="Times New Roman"/>
          <w:i/>
          <w:iCs/>
          <w:sz w:val="21"/>
          <w:szCs w:val="21"/>
        </w:rPr>
        <w:t>P</w:t>
      </w:r>
      <w:r>
        <w:rPr>
          <w:rFonts w:ascii="Times New Roman" w:hAnsi="Times New Roman" w:cs="Times New Roman"/>
          <w:sz w:val="21"/>
          <w:szCs w:val="21"/>
        </w:rPr>
        <w:t xml:space="preserve"> &lt; 0.001</w:t>
      </w:r>
      <w:r>
        <w:rPr>
          <w:rFonts w:hint="eastAsia" w:ascii="Times New Roman" w:hAnsi="Times New Roman" w:cs="Times New Roman"/>
          <w:bCs/>
          <w:sz w:val="21"/>
          <w:szCs w:val="21"/>
        </w:rPr>
        <w:t>; ns, not significant.</w:t>
      </w:r>
    </w:p>
    <w:p w14:paraId="0B9A93F8">
      <w:r>
        <w:rPr>
          <w:rFonts w:hint="eastAsia"/>
        </w:rPr>
        <w:drawing>
          <wp:inline distT="0" distB="0" distL="0" distR="0">
            <wp:extent cx="5274310" cy="4610100"/>
            <wp:effectExtent l="0" t="0" r="2540" b="0"/>
            <wp:docPr id="11920676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067600" name="图片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9EA53">
      <w:pPr>
        <w:spacing w:before="120" w:after="240" w:line="48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Supplementary Figure </w:t>
      </w:r>
      <w:r>
        <w:rPr>
          <w:rFonts w:hint="eastAsia" w:ascii="Times New Roman" w:hAnsi="Times New Roman" w:cs="Times New Roman"/>
          <w:b/>
          <w:sz w:val="21"/>
          <w:szCs w:val="21"/>
        </w:rPr>
        <w:t>4</w:t>
      </w:r>
      <w:r>
        <w:rPr>
          <w:rFonts w:ascii="Times New Roman" w:hAnsi="Times New Roman" w:cs="Times New Roman"/>
          <w:b/>
          <w:sz w:val="21"/>
          <w:szCs w:val="21"/>
        </w:rPr>
        <w:t xml:space="preserve"> | ERO1A promote</w:t>
      </w:r>
      <w:r>
        <w:rPr>
          <w:rFonts w:hint="eastAsia" w:ascii="Times New Roman" w:hAnsi="Times New Roman" w:cs="Times New Roman"/>
          <w:b/>
          <w:sz w:val="21"/>
          <w:szCs w:val="21"/>
        </w:rPr>
        <w:t>s</w:t>
      </w:r>
      <w:r>
        <w:rPr>
          <w:rFonts w:ascii="Times New Roman" w:hAnsi="Times New Roman" w:cs="Times New Roman"/>
          <w:b/>
          <w:sz w:val="21"/>
          <w:szCs w:val="21"/>
        </w:rPr>
        <w:t xml:space="preserve"> endothelial angiogenesis through VEGFA</w:t>
      </w:r>
      <w:r>
        <w:rPr>
          <w:rFonts w:hint="eastAsia" w:ascii="Times New Roman" w:hAnsi="Times New Roman" w:cs="Times New Roman"/>
          <w:b/>
          <w:sz w:val="21"/>
          <w:szCs w:val="21"/>
        </w:rPr>
        <w:t xml:space="preserve"> </w:t>
      </w:r>
      <w:r>
        <w:rPr>
          <w:rFonts w:ascii="Times New Roman" w:hAnsi="Times New Roman" w:cs="Times New Roman"/>
          <w:b/>
          <w:sz w:val="21"/>
          <w:szCs w:val="21"/>
        </w:rPr>
        <w:t>in SKOV3.</w:t>
      </w:r>
      <w:r>
        <w:rPr>
          <w:rFonts w:ascii="Times New Roman" w:hAnsi="Times New Roman" w:cs="Times New Roman"/>
          <w:sz w:val="21"/>
          <w:szCs w:val="21"/>
        </w:rPr>
        <w:t xml:space="preserve"> (A) CellChat analysis reveals the roles of various cell clusters in the VEGF signaling pathway. (B</w:t>
      </w:r>
      <w:r>
        <w:rPr>
          <w:rFonts w:hint="eastAsia" w:ascii="Times New Roman" w:hAnsi="Times New Roman" w:cs="Times New Roman"/>
          <w:sz w:val="21"/>
          <w:szCs w:val="21"/>
        </w:rPr>
        <w:t>)</w:t>
      </w:r>
      <w:r>
        <w:rPr>
          <w:rFonts w:ascii="Times New Roman" w:hAnsi="Times New Roman" w:cs="Times New Roman"/>
          <w:sz w:val="21"/>
          <w:szCs w:val="21"/>
        </w:rPr>
        <w:t xml:space="preserve"> Ranked ligand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-</w:t>
      </w:r>
      <w:r>
        <w:rPr>
          <w:rFonts w:ascii="Times New Roman" w:hAnsi="Times New Roman" w:cs="Times New Roman"/>
          <w:sz w:val="21"/>
          <w:szCs w:val="21"/>
        </w:rPr>
        <w:t>receptor pairs contributing to E04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-</w:t>
      </w:r>
      <w:r>
        <w:rPr>
          <w:rFonts w:ascii="Times New Roman" w:hAnsi="Times New Roman" w:cs="Times New Roman"/>
          <w:sz w:val="21"/>
          <w:szCs w:val="21"/>
        </w:rPr>
        <w:t>endothelium communication. (C–D) HUVEC tube-formation with indirect conditioned medium from control (NC) or ERO1A-overexpressing (OE-ERO1A) SKOV3, ± VEGFA-neutralizing antibody (α-VEGFA) (</w:t>
      </w:r>
      <w:r>
        <w:rPr>
          <w:rFonts w:hint="eastAsia" w:ascii="Times New Roman" w:hAnsi="Times New Roman" w:cs="Times New Roman"/>
          <w:sz w:val="21"/>
          <w:szCs w:val="21"/>
        </w:rPr>
        <w:t>C</w:t>
      </w:r>
      <w:r>
        <w:rPr>
          <w:rFonts w:ascii="Times New Roman" w:hAnsi="Times New Roman" w:cs="Times New Roman"/>
          <w:sz w:val="21"/>
          <w:szCs w:val="21"/>
        </w:rPr>
        <w:t>) or supplementation with recombinant VEGFA (r-VEGFA) (</w:t>
      </w:r>
      <w:r>
        <w:rPr>
          <w:rFonts w:hint="eastAsia" w:ascii="Times New Roman" w:hAnsi="Times New Roman" w:cs="Times New Roman"/>
          <w:sz w:val="21"/>
          <w:szCs w:val="21"/>
        </w:rPr>
        <w:t>D</w:t>
      </w:r>
      <w:r>
        <w:rPr>
          <w:rFonts w:ascii="Times New Roman" w:hAnsi="Times New Roman" w:cs="Times New Roman"/>
          <w:sz w:val="21"/>
          <w:szCs w:val="21"/>
        </w:rPr>
        <w:t xml:space="preserve">). n = 3, one-way ANOVA </w:t>
      </w:r>
      <w:r>
        <w:rPr>
          <w:rFonts w:hint="eastAsia" w:ascii="Times New Roman" w:hAnsi="Times New Roman" w:cs="Times New Roman"/>
          <w:sz w:val="21"/>
          <w:szCs w:val="21"/>
        </w:rPr>
        <w:t>with</w:t>
      </w:r>
      <w:r>
        <w:rPr>
          <w:rFonts w:ascii="Times New Roman" w:hAnsi="Times New Roman" w:cs="Times New Roman"/>
          <w:sz w:val="21"/>
          <w:szCs w:val="21"/>
        </w:rPr>
        <w:t xml:space="preserve"> Sidak’s multiple-comparisons test</w:t>
      </w:r>
      <w:r>
        <w:rPr>
          <w:rFonts w:hint="eastAsia" w:ascii="Times New Roman" w:hAnsi="Times New Roman" w:cs="Times New Roman"/>
          <w:sz w:val="21"/>
          <w:szCs w:val="21"/>
        </w:rPr>
        <w:t>.</w:t>
      </w:r>
    </w:p>
    <w:p w14:paraId="5CD2661F">
      <w:pPr>
        <w:spacing w:before="120" w:after="240" w:line="48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drawing>
          <wp:inline distT="0" distB="0" distL="0" distR="0">
            <wp:extent cx="5274310" cy="4840605"/>
            <wp:effectExtent l="0" t="0" r="2540" b="0"/>
            <wp:docPr id="70825090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250905" name="图片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4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ED1C8">
      <w:pPr>
        <w:spacing w:before="120" w:after="240" w:line="480" w:lineRule="auto"/>
        <w:jc w:val="both"/>
        <w:rPr>
          <w:rFonts w:hint="eastAsia"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Supplementary Figure </w:t>
      </w:r>
      <w:r>
        <w:rPr>
          <w:rFonts w:hint="eastAsia" w:ascii="Times New Roman" w:hAnsi="Times New Roman" w:cs="Times New Roman"/>
          <w:b/>
          <w:sz w:val="21"/>
          <w:szCs w:val="21"/>
        </w:rPr>
        <w:t>5</w:t>
      </w:r>
      <w:r>
        <w:rPr>
          <w:rFonts w:ascii="Times New Roman" w:hAnsi="Times New Roman" w:cs="Times New Roman"/>
          <w:b/>
          <w:sz w:val="21"/>
          <w:szCs w:val="21"/>
        </w:rPr>
        <w:t xml:space="preserve"> | Targeting ERO1A enhances platinum sensitivity of SKOV3 cells in vitro and in vivo.</w:t>
      </w:r>
      <w:r>
        <w:rPr>
          <w:rFonts w:ascii="Times New Roman" w:hAnsi="Times New Roman" w:cs="Times New Roman"/>
          <w:sz w:val="21"/>
          <w:szCs w:val="21"/>
        </w:rPr>
        <w:t xml:space="preserve"> (A) UMAP plots of malignant epithelial cells colored by treatment status(left) and PFI groups (right).  (B</w:t>
      </w:r>
      <w:r>
        <w:rPr>
          <w:rFonts w:hint="eastAsia" w:ascii="Times New Roman" w:hAnsi="Times New Roman" w:cs="Times New Roman"/>
          <w:sz w:val="21"/>
          <w:szCs w:val="21"/>
        </w:rPr>
        <w:t>)</w:t>
      </w:r>
      <w:r>
        <w:rPr>
          <w:rFonts w:ascii="Times New Roman" w:hAnsi="Times New Roman" w:cs="Times New Roman"/>
          <w:sz w:val="21"/>
          <w:szCs w:val="21"/>
        </w:rPr>
        <w:t xml:space="preserve"> Cisplatin dose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-</w:t>
      </w:r>
      <w:bookmarkStart w:id="1" w:name="_GoBack"/>
      <w:bookmarkEnd w:id="1"/>
      <w:r>
        <w:rPr>
          <w:rFonts w:ascii="Times New Roman" w:hAnsi="Times New Roman" w:cs="Times New Roman"/>
          <w:sz w:val="21"/>
          <w:szCs w:val="21"/>
        </w:rPr>
        <w:t>response of SKOV3 with ERO1A overexpression (OE-ERO1A) or control (NC). IC₅₀ was estimated by nonlinear regression; IC₅₀ comparisons by two-sided t-test, n = 3. (C) Representative laparotomy images (red arrows, peritoneal deposits) and quantification of the number of intraperitoneal metastatic lesions in SKOV3. (</w:t>
      </w:r>
      <w:r>
        <w:rPr>
          <w:rFonts w:hint="eastAsia" w:ascii="Times New Roman" w:hAnsi="Times New Roman" w:cs="Times New Roman"/>
          <w:sz w:val="21"/>
          <w:szCs w:val="21"/>
        </w:rPr>
        <w:t>D</w:t>
      </w:r>
      <w:r>
        <w:rPr>
          <w:rFonts w:ascii="Times New Roman" w:hAnsi="Times New Roman" w:cs="Times New Roman"/>
          <w:sz w:val="21"/>
          <w:szCs w:val="21"/>
        </w:rPr>
        <w:t xml:space="preserve">) Excised primary ovarian tumors and quantified volumes (mm³) from SKOV3. Scale bars, 1 cm. n = 3/4. For </w:t>
      </w:r>
      <w:r>
        <w:rPr>
          <w:rFonts w:hint="eastAsia" w:ascii="Times New Roman" w:hAnsi="Times New Roman" w:cs="Times New Roman"/>
          <w:sz w:val="21"/>
          <w:szCs w:val="21"/>
        </w:rPr>
        <w:t>C-D</w:t>
      </w:r>
      <w:r>
        <w:rPr>
          <w:rFonts w:ascii="Times New Roman" w:hAnsi="Times New Roman" w:cs="Times New Roman"/>
          <w:sz w:val="21"/>
          <w:szCs w:val="21"/>
        </w:rPr>
        <w:t>, dots represent individual mice. one-way ANOVA followed by Tukey’s multiple-comparison test across the four groups. (</w:t>
      </w:r>
      <w:r>
        <w:rPr>
          <w:rFonts w:hint="eastAsia" w:ascii="Times New Roman" w:hAnsi="Times New Roman" w:cs="Times New Roman"/>
          <w:sz w:val="21"/>
          <w:szCs w:val="21"/>
        </w:rPr>
        <w:t>E</w:t>
      </w:r>
      <w:r>
        <w:rPr>
          <w:rFonts w:ascii="Times New Roman" w:hAnsi="Times New Roman" w:cs="Times New Roman"/>
          <w:sz w:val="21"/>
          <w:szCs w:val="21"/>
        </w:rPr>
        <w:t xml:space="preserve">) Western blots images of stable </w:t>
      </w:r>
      <w:r>
        <w:rPr>
          <w:rFonts w:hint="eastAsia" w:ascii="Times New Roman" w:hAnsi="Times New Roman" w:cs="Times New Roman"/>
          <w:sz w:val="21"/>
          <w:szCs w:val="21"/>
        </w:rPr>
        <w:t>VEGFA</w:t>
      </w:r>
      <w:r>
        <w:rPr>
          <w:rFonts w:ascii="Times New Roman" w:hAnsi="Times New Roman" w:cs="Times New Roman"/>
          <w:sz w:val="21"/>
          <w:szCs w:val="21"/>
        </w:rPr>
        <w:t xml:space="preserve"> knockdown in OVCAR3. n = 3. Two-sided t-test.</w:t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*</w:t>
      </w:r>
      <w:r>
        <w:rPr>
          <w:rFonts w:ascii="Times New Roman" w:hAnsi="Times New Roman" w:cs="Times New Roman"/>
          <w:i/>
          <w:iCs/>
          <w:sz w:val="21"/>
          <w:szCs w:val="21"/>
        </w:rPr>
        <w:t xml:space="preserve">P </w:t>
      </w:r>
      <w:r>
        <w:rPr>
          <w:rFonts w:ascii="Times New Roman" w:hAnsi="Times New Roman" w:cs="Times New Roman"/>
          <w:sz w:val="21"/>
          <w:szCs w:val="21"/>
        </w:rPr>
        <w:t>&lt; 0.05, **</w:t>
      </w:r>
      <w:r>
        <w:rPr>
          <w:rFonts w:ascii="Times New Roman" w:hAnsi="Times New Roman" w:cs="Times New Roman"/>
          <w:i/>
          <w:iCs/>
          <w:sz w:val="21"/>
          <w:szCs w:val="21"/>
        </w:rPr>
        <w:t xml:space="preserve">P </w:t>
      </w:r>
      <w:r>
        <w:rPr>
          <w:rFonts w:ascii="Times New Roman" w:hAnsi="Times New Roman" w:cs="Times New Roman"/>
          <w:sz w:val="21"/>
          <w:szCs w:val="21"/>
        </w:rPr>
        <w:t>&lt; 0.01, ***</w:t>
      </w:r>
      <w:r>
        <w:rPr>
          <w:rFonts w:ascii="Times New Roman" w:hAnsi="Times New Roman" w:cs="Times New Roman"/>
          <w:i/>
          <w:iCs/>
          <w:sz w:val="21"/>
          <w:szCs w:val="21"/>
        </w:rPr>
        <w:t>P</w:t>
      </w:r>
      <w:r>
        <w:rPr>
          <w:rFonts w:ascii="Times New Roman" w:hAnsi="Times New Roman" w:cs="Times New Roman"/>
          <w:sz w:val="21"/>
          <w:szCs w:val="21"/>
        </w:rPr>
        <w:t xml:space="preserve"> &lt; 0.001.</w:t>
      </w:r>
    </w:p>
    <w:p w14:paraId="4D5F40A0">
      <w:pPr>
        <w:spacing w:before="120" w:after="240" w:line="480" w:lineRule="auto"/>
        <w:jc w:val="both"/>
      </w:pPr>
      <w:r>
        <w:rPr>
          <w:rFonts w:hint="eastAsia"/>
        </w:rPr>
        <w:drawing>
          <wp:inline distT="0" distB="0" distL="0" distR="0">
            <wp:extent cx="5274310" cy="6206490"/>
            <wp:effectExtent l="0" t="0" r="2540" b="3810"/>
            <wp:docPr id="53711590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115904" name="图片 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0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7417D">
      <w:pPr>
        <w:spacing w:before="120" w:after="240" w:line="480" w:lineRule="auto"/>
        <w:jc w:val="both"/>
        <w:rPr>
          <w:rFonts w:hint="eastAsia" w:ascii="Times New Roman" w:hAnsi="Times New Roman" w:cs="Times New Roman"/>
          <w:bCs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Supplementary Figure 6 | Representative immunohistochemical images of orthotopic primary ovarian lesions from the VEGFA-knockdown rescue experiment.</w:t>
      </w:r>
      <w:r>
        <w:rPr>
          <w:rFonts w:hint="eastAsia" w:ascii="Times New Roman" w:hAnsi="Times New Roman" w:cs="Times New Roman"/>
          <w:bCs/>
          <w:sz w:val="21"/>
          <w:szCs w:val="21"/>
        </w:rPr>
        <w:t xml:space="preserve"> </w:t>
      </w:r>
      <w:r>
        <w:rPr>
          <w:rFonts w:ascii="Times New Roman" w:hAnsi="Times New Roman" w:cs="Times New Roman"/>
          <w:bCs/>
          <w:sz w:val="21"/>
          <w:szCs w:val="21"/>
        </w:rPr>
        <w:t>(A) Representative CD31 immunohistochemical staining of orthotopic primary ovarian tumors from the puroNC and shVEGFA groups treated with vehicle control, cisplatin, EN460, or cisplatin plus EN460.</w:t>
      </w:r>
      <w:r>
        <w:rPr>
          <w:rFonts w:hint="eastAsia" w:ascii="Times New Roman" w:hAnsi="Times New Roman" w:cs="Times New Roman"/>
          <w:bCs/>
          <w:sz w:val="21"/>
          <w:szCs w:val="21"/>
        </w:rPr>
        <w:t xml:space="preserve"> </w:t>
      </w:r>
      <w:r>
        <w:rPr>
          <w:rFonts w:ascii="Times New Roman" w:hAnsi="Times New Roman" w:cs="Times New Roman"/>
          <w:bCs/>
          <w:sz w:val="21"/>
          <w:szCs w:val="21"/>
        </w:rPr>
        <w:t>(B) Representative VEGFA immunohistochemical staining of orthotopic primary ovarian tumors from the puroNC and shVEGFA groups treated as indicated.</w:t>
      </w:r>
      <w:r>
        <w:rPr>
          <w:rFonts w:hint="eastAsia" w:ascii="Times New Roman" w:hAnsi="Times New Roman" w:cs="Times New Roman"/>
          <w:bCs/>
          <w:sz w:val="21"/>
          <w:szCs w:val="21"/>
        </w:rPr>
        <w:t xml:space="preserve"> </w:t>
      </w:r>
      <w:r>
        <w:rPr>
          <w:rFonts w:ascii="Times New Roman" w:hAnsi="Times New Roman" w:cs="Times New Roman"/>
          <w:bCs/>
          <w:sz w:val="21"/>
          <w:szCs w:val="21"/>
        </w:rPr>
        <w:t>(C) Representative cleaved Caspase 3 immunohistochemical staining of orthotopic primary ovarian tumors from the puroNC and shVEGFA groups treated as indicated.</w:t>
      </w:r>
      <w:r>
        <w:rPr>
          <w:rFonts w:hint="eastAsia" w:ascii="Times New Roman" w:hAnsi="Times New Roman" w:cs="Times New Roman"/>
          <w:bCs/>
          <w:sz w:val="21"/>
          <w:szCs w:val="21"/>
        </w:rPr>
        <w:t xml:space="preserve"> </w:t>
      </w:r>
      <w:r>
        <w:rPr>
          <w:rFonts w:ascii="Times New Roman" w:hAnsi="Times New Roman" w:cs="Times New Roman"/>
          <w:bCs/>
          <w:sz w:val="21"/>
          <w:szCs w:val="21"/>
        </w:rPr>
        <w:t>All representative IHC images were obtained from orthotopic primary ovarian tumor lesions. Scale bars, 60 μm.</w:t>
      </w: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70610A"/>
    <w:multiLevelType w:val="multilevel"/>
    <w:tmpl w:val="6C70610A"/>
    <w:lvl w:ilvl="0" w:tentative="0">
      <w:start w:val="1"/>
      <w:numFmt w:val="decimal"/>
      <w:lvlText w:val="%1"/>
      <w:lvlJc w:val="left"/>
      <w:pPr>
        <w:ind w:left="420" w:hanging="420"/>
      </w:pPr>
      <w:rPr>
        <w:rFonts w:hint="default" w:ascii="Times New Roman" w:hAnsi="Times New Roman" w:cs="Times New Roman"/>
        <w:b/>
        <w:color w:val="auto"/>
        <w:sz w:val="28"/>
        <w:szCs w:val="28"/>
      </w:rPr>
    </w:lvl>
    <w:lvl w:ilvl="1" w:tentative="0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872"/>
    <w:rsid w:val="000048AE"/>
    <w:rsid w:val="0007199D"/>
    <w:rsid w:val="00116121"/>
    <w:rsid w:val="00427245"/>
    <w:rsid w:val="005242E7"/>
    <w:rsid w:val="0054049C"/>
    <w:rsid w:val="005716A3"/>
    <w:rsid w:val="005F47C5"/>
    <w:rsid w:val="006337F7"/>
    <w:rsid w:val="006B2872"/>
    <w:rsid w:val="00817BA3"/>
    <w:rsid w:val="008822F9"/>
    <w:rsid w:val="00994E86"/>
    <w:rsid w:val="00C05912"/>
    <w:rsid w:val="00C61DDE"/>
    <w:rsid w:val="00E105EF"/>
    <w:rsid w:val="00FD16CE"/>
    <w:rsid w:val="3E3E265D"/>
    <w:rsid w:val="4F86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2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line number"/>
    <w:basedOn w:val="16"/>
    <w:semiHidden/>
    <w:unhideWhenUsed/>
    <w:uiPriority w:val="99"/>
  </w:style>
  <w:style w:type="character" w:customStyle="1" w:styleId="18">
    <w:name w:val="标题 1 字符"/>
    <w:basedOn w:val="16"/>
    <w:link w:val="2"/>
    <w:uiPriority w:val="2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tiff"/><Relationship Id="rId8" Type="http://schemas.openxmlformats.org/officeDocument/2006/relationships/image" Target="media/image3.tiff"/><Relationship Id="rId7" Type="http://schemas.openxmlformats.org/officeDocument/2006/relationships/image" Target="media/image2.tiff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6.jpeg"/><Relationship Id="rId10" Type="http://schemas.openxmlformats.org/officeDocument/2006/relationships/image" Target="media/image5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546</Words>
  <Characters>3172</Characters>
  <Lines>54</Lines>
  <Paragraphs>12</Paragraphs>
  <TotalTime>66</TotalTime>
  <ScaleCrop>false</ScaleCrop>
  <LinksUpToDate>false</LinksUpToDate>
  <CharactersWithSpaces>3712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2025-11-26T14:36:00Z</dcterms:created>
  <dc:creator>思杨 张</dc:creator>
  <cp:lastModifiedBy>墨玦</cp:lastModifiedBy>
  <dcterms:modified xsi:type="dcterms:W3CDTF">2026-06-12T04:52:40Z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eyJoZGlkIjoiZjVjMzY1MDI0N2ZkMWUxYjI4YmY0Zjg1ZGQ1NDNiMGUiLCJ1c2VySWQiOiIzODcyNTY1OTMifQ==</vt:lpwstr>
  </property>
  <property fmtid="{D5CDD505-2E9C-101B-9397-08002B2CF9AE}" pid="3" name="KSOProductBuildVer">
    <vt:lpwstr>2052-12.1.0.26895</vt:lpwstr>
  </property>
  <property fmtid="{D5CDD505-2E9C-101B-9397-08002B2CF9AE}" pid="4" name="ICV">
    <vt:lpwstr>110F0A8FAF714678863F806CF47E495D_13</vt:lpwstr>
  </property>
</Properties>
</file>