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DAA" w:rsidRPr="004F6E59" w:rsidRDefault="002D0DAA" w:rsidP="002D0DAA">
      <w:pPr>
        <w:pStyle w:val="CommentText"/>
        <w:spacing w:line="480" w:lineRule="auto"/>
        <w:contextualSpacing/>
        <w:jc w:val="both"/>
        <w:rPr>
          <w:rFonts w:ascii="Times New Roman" w:hAnsi="Times New Roman"/>
          <w:b/>
          <w:sz w:val="28"/>
          <w:szCs w:val="28"/>
          <w:lang w:val="en-US"/>
        </w:rPr>
      </w:pPr>
      <w:r w:rsidRPr="004F6E59">
        <w:rPr>
          <w:rFonts w:ascii="Times New Roman" w:hAnsi="Times New Roman"/>
          <w:b/>
          <w:sz w:val="28"/>
          <w:szCs w:val="28"/>
          <w:lang w:val="en-US"/>
        </w:rPr>
        <w:t>Supplementary Information</w:t>
      </w:r>
    </w:p>
    <w:p w:rsidR="002D0DAA" w:rsidRPr="004F6E59" w:rsidRDefault="002D0DAA" w:rsidP="002D0DAA">
      <w:pPr>
        <w:autoSpaceDE w:val="0"/>
        <w:autoSpaceDN w:val="0"/>
        <w:adjustRightInd w:val="0"/>
        <w:spacing w:after="0" w:line="480" w:lineRule="auto"/>
        <w:jc w:val="both"/>
        <w:rPr>
          <w:rFonts w:ascii="Times New Roman" w:hAnsi="Times New Roman"/>
          <w:b/>
          <w:bCs/>
          <w:i/>
          <w:sz w:val="24"/>
          <w:szCs w:val="24"/>
          <w:lang w:val="en-US"/>
        </w:rPr>
      </w:pPr>
      <w:r w:rsidRPr="004F6E59">
        <w:rPr>
          <w:rFonts w:ascii="Arial" w:hAnsi="Arial" w:cs="Arial"/>
          <w:b/>
          <w:lang w:val="en-US"/>
        </w:rPr>
        <w:t>Supplementary Data</w:t>
      </w:r>
    </w:p>
    <w:p w:rsidR="002D0DAA" w:rsidRPr="004F6E59" w:rsidRDefault="002D0DAA" w:rsidP="002D0DAA">
      <w:pPr>
        <w:autoSpaceDE w:val="0"/>
        <w:autoSpaceDN w:val="0"/>
        <w:adjustRightInd w:val="0"/>
        <w:spacing w:after="0" w:line="480" w:lineRule="auto"/>
        <w:jc w:val="both"/>
        <w:rPr>
          <w:rFonts w:ascii="Times New Roman" w:hAnsi="Times New Roman"/>
          <w:b/>
          <w:bCs/>
          <w:i/>
          <w:sz w:val="24"/>
          <w:szCs w:val="24"/>
          <w:lang w:val="en-US"/>
        </w:rPr>
      </w:pPr>
      <w:r w:rsidRPr="004F6E59">
        <w:rPr>
          <w:rFonts w:ascii="Times New Roman" w:hAnsi="Times New Roman"/>
          <w:b/>
          <w:bCs/>
          <w:i/>
          <w:sz w:val="24"/>
          <w:szCs w:val="24"/>
          <w:lang w:val="en-US"/>
        </w:rPr>
        <w:t>Effect of Sμg on SOASII oteoblasts: under simulated microgravity cell migration of osteosarcoma cells is MMP independent</w:t>
      </w:r>
    </w:p>
    <w:p w:rsidR="002D0DAA" w:rsidRPr="004F6E59" w:rsidRDefault="002D0DAA" w:rsidP="002D0DAA">
      <w:pPr>
        <w:autoSpaceDE w:val="0"/>
        <w:autoSpaceDN w:val="0"/>
        <w:adjustRightInd w:val="0"/>
        <w:spacing w:after="0" w:line="480" w:lineRule="auto"/>
        <w:jc w:val="both"/>
        <w:rPr>
          <w:rFonts w:ascii="Times New Roman" w:hAnsi="Times New Roman"/>
          <w:sz w:val="24"/>
          <w:szCs w:val="24"/>
          <w:lang w:val="en-US"/>
        </w:rPr>
      </w:pPr>
      <w:r w:rsidRPr="004F6E59">
        <w:rPr>
          <w:rStyle w:val="st"/>
          <w:rFonts w:ascii="Times New Roman" w:hAnsi="Times New Roman"/>
          <w:sz w:val="24"/>
          <w:szCs w:val="24"/>
          <w:lang w:val="en-US"/>
        </w:rPr>
        <w:t>As referenced osteoblast cell line  Sarcoma osteogenic Saos-2 (ATCC</w:t>
      </w:r>
      <w:r w:rsidRPr="004F6E59">
        <w:rPr>
          <w:rStyle w:val="st"/>
          <w:rFonts w:ascii="Times New Roman" w:hAnsi="Times New Roman"/>
          <w:sz w:val="24"/>
          <w:szCs w:val="24"/>
          <w:vertAlign w:val="superscript"/>
          <w:lang w:val="en-US"/>
        </w:rPr>
        <w:t>®</w:t>
      </w:r>
      <w:r w:rsidRPr="004F6E59">
        <w:rPr>
          <w:rStyle w:val="st"/>
          <w:rFonts w:ascii="Times New Roman" w:hAnsi="Times New Roman"/>
          <w:sz w:val="24"/>
          <w:szCs w:val="24"/>
          <w:lang w:val="en-US"/>
        </w:rPr>
        <w:t xml:space="preserve"> HTB-85</w:t>
      </w:r>
      <w:r w:rsidRPr="004F6E59">
        <w:rPr>
          <w:rStyle w:val="st"/>
          <w:rFonts w:ascii="Times New Roman" w:hAnsi="Times New Roman"/>
          <w:sz w:val="24"/>
          <w:szCs w:val="24"/>
          <w:vertAlign w:val="superscript"/>
          <w:lang w:val="en-US"/>
        </w:rPr>
        <w:t>™</w:t>
      </w:r>
      <w:r w:rsidRPr="004F6E59">
        <w:rPr>
          <w:rStyle w:val="st"/>
          <w:rFonts w:ascii="Times New Roman" w:hAnsi="Times New Roman"/>
          <w:sz w:val="24"/>
          <w:szCs w:val="24"/>
          <w:lang w:val="en-US"/>
        </w:rPr>
        <w:t xml:space="preserve">) have been employed. </w:t>
      </w:r>
      <w:r w:rsidRPr="004F6E59">
        <w:rPr>
          <w:rFonts w:ascii="Times New Roman" w:hAnsi="Times New Roman"/>
          <w:sz w:val="24"/>
          <w:szCs w:val="24"/>
          <w:lang w:val="en-US"/>
        </w:rPr>
        <w:t>As also reported by others,</w:t>
      </w:r>
      <w:r w:rsidRPr="004F6E59">
        <w:rPr>
          <w:rFonts w:ascii="Times New Roman" w:hAnsi="Times New Roman"/>
          <w:sz w:val="24"/>
          <w:szCs w:val="24"/>
          <w:vertAlign w:val="superscript"/>
          <w:lang w:val="en-US"/>
        </w:rPr>
        <w:t>(11)</w:t>
      </w:r>
      <w:r w:rsidRPr="004F6E59">
        <w:rPr>
          <w:rFonts w:ascii="Times New Roman" w:hAnsi="Times New Roman"/>
          <w:sz w:val="24"/>
          <w:szCs w:val="24"/>
          <w:lang w:val="en-US"/>
        </w:rPr>
        <w:t xml:space="preserve"> on Earth osteosarcoma cell migration was dependent on matrix metalloproteinase (MMP) activity (data not shown). By contrast, Fig. 1S indicates that under Sμg conditions the malignant osteoblast migration to the site of injury occurred even in the presence of 26 μM ilomastat (an irreversible broad-range inhibitor for MMPs). It indicates that the migration properties of osteosarcoma cells depend on the gravitational force, involving distinct proteolytic sets of enzymes.</w:t>
      </w:r>
    </w:p>
    <w:p w:rsidR="002D0DAA" w:rsidRPr="004F6E59" w:rsidRDefault="002D0DAA" w:rsidP="002D0DAA">
      <w:pPr>
        <w:autoSpaceDE w:val="0"/>
        <w:autoSpaceDN w:val="0"/>
        <w:adjustRightInd w:val="0"/>
        <w:spacing w:after="0" w:line="480" w:lineRule="auto"/>
        <w:jc w:val="both"/>
        <w:rPr>
          <w:rFonts w:ascii="Times New Roman" w:hAnsi="Times New Roman"/>
          <w:sz w:val="24"/>
          <w:szCs w:val="24"/>
          <w:lang w:val="en-US"/>
        </w:rPr>
      </w:pPr>
      <w:r w:rsidRPr="004F6E59">
        <w:rPr>
          <w:rFonts w:ascii="Times New Roman" w:hAnsi="Times New Roman"/>
          <w:sz w:val="24"/>
          <w:szCs w:val="24"/>
          <w:lang w:val="en-US"/>
        </w:rPr>
        <w:t>Furthermore, a 24 hours-treatment of Sμg turned out to be an osteotropic agent which enhances SAOS-II cell-motility, as demonstrated by the difference of cell-migration rates between normo- (3.2±0.1 μm/h) and micro-gravity conditions (3.7±0.05 μm/h). Therefore, on the basis of the</w:t>
      </w:r>
      <w:r w:rsidRPr="004F6E59">
        <w:rPr>
          <w:rFonts w:ascii="Times New Roman" w:hAnsi="Times New Roman"/>
          <w:bCs/>
          <w:sz w:val="24"/>
          <w:szCs w:val="24"/>
          <w:lang w:val="en-US"/>
        </w:rPr>
        <w:t xml:space="preserve"> </w:t>
      </w:r>
      <w:r w:rsidRPr="004F6E59">
        <w:rPr>
          <w:rFonts w:ascii="Times New Roman" w:hAnsi="Times New Roman"/>
          <w:sz w:val="24"/>
          <w:szCs w:val="24"/>
          <w:lang w:val="en-US"/>
        </w:rPr>
        <w:t>wound healing assay</w:t>
      </w:r>
      <w:r w:rsidRPr="004F6E59">
        <w:rPr>
          <w:rFonts w:ascii="Times New Roman" w:hAnsi="Times New Roman"/>
          <w:bCs/>
          <w:sz w:val="24"/>
          <w:szCs w:val="24"/>
          <w:lang w:val="en-US"/>
        </w:rPr>
        <w:t xml:space="preserve"> on SAOS-II cells we observe that </w:t>
      </w:r>
      <w:r w:rsidRPr="004F6E59">
        <w:rPr>
          <w:rFonts w:ascii="Times New Roman" w:hAnsi="Times New Roman"/>
          <w:sz w:val="24"/>
          <w:szCs w:val="24"/>
          <w:lang w:val="en-US"/>
        </w:rPr>
        <w:t>Sμg</w:t>
      </w:r>
      <w:r w:rsidRPr="004F6E59">
        <w:rPr>
          <w:rFonts w:ascii="Times New Roman" w:hAnsi="Times New Roman"/>
          <w:bCs/>
          <w:sz w:val="24"/>
          <w:szCs w:val="24"/>
          <w:lang w:val="en-US"/>
        </w:rPr>
        <w:t xml:space="preserve"> </w:t>
      </w:r>
      <w:r w:rsidRPr="004F6E59">
        <w:rPr>
          <w:rFonts w:ascii="Times New Roman" w:hAnsi="Times New Roman"/>
          <w:bCs/>
          <w:i/>
          <w:sz w:val="24"/>
          <w:szCs w:val="24"/>
          <w:lang w:val="en-US"/>
        </w:rPr>
        <w:t>a</w:t>
      </w:r>
      <w:r w:rsidRPr="004F6E59">
        <w:rPr>
          <w:rFonts w:ascii="Times New Roman" w:hAnsi="Times New Roman"/>
          <w:bCs/>
          <w:sz w:val="24"/>
          <w:szCs w:val="24"/>
          <w:lang w:val="en-US"/>
        </w:rPr>
        <w:t xml:space="preserve">) increases the migration velocity by 15%, </w:t>
      </w:r>
      <w:r w:rsidRPr="004F6E59">
        <w:rPr>
          <w:rFonts w:ascii="Times New Roman" w:hAnsi="Times New Roman"/>
          <w:i/>
          <w:sz w:val="24"/>
          <w:szCs w:val="24"/>
          <w:lang w:val="en-US"/>
        </w:rPr>
        <w:t>b</w:t>
      </w:r>
      <w:r w:rsidRPr="004F6E59">
        <w:rPr>
          <w:rFonts w:ascii="Times New Roman" w:hAnsi="Times New Roman"/>
          <w:sz w:val="24"/>
          <w:szCs w:val="24"/>
          <w:lang w:val="en-US"/>
        </w:rPr>
        <w:t>) renders the cell migration process independent on MMPs proteolytic activities (Fig. 1S), c) induces a loosening of the confluence layer, motility becoming individual rather than collective (Figs. 1S  (F-G). Since proteolytic and non-proteolytic cell motility involve distinct migration strategies,</w:t>
      </w:r>
      <w:r w:rsidRPr="004F6E59">
        <w:rPr>
          <w:rFonts w:ascii="Times New Roman" w:hAnsi="Times New Roman"/>
          <w:sz w:val="24"/>
          <w:szCs w:val="24"/>
          <w:vertAlign w:val="superscript"/>
          <w:lang w:val="en-US"/>
        </w:rPr>
        <w:t>(12,13)</w:t>
      </w:r>
      <w:r w:rsidRPr="004F6E59">
        <w:rPr>
          <w:rFonts w:ascii="Times New Roman" w:hAnsi="Times New Roman"/>
          <w:sz w:val="24"/>
          <w:szCs w:val="24"/>
          <w:lang w:val="en-US"/>
        </w:rPr>
        <w:t xml:space="preserve"> these findings suggest that under Sμg conditions migration of osteosarcoma cell line occurs through a distinct migration strategy, which is sensitive to the gravitational force. Of note, Fig. 1S  clearly shows that under Sμg cell layers lose confluence (likely due to a decrease of cell-cell contacts) and the cell migration becomes individual (Fig. 1S (G)).</w:t>
      </w:r>
    </w:p>
    <w:p w:rsidR="002D0DAA" w:rsidRPr="004F6E59" w:rsidRDefault="002D0DAA" w:rsidP="002D0DAA">
      <w:pPr>
        <w:pStyle w:val="CommentText"/>
        <w:spacing w:line="480" w:lineRule="auto"/>
        <w:contextualSpacing/>
        <w:jc w:val="both"/>
        <w:rPr>
          <w:rFonts w:ascii="Arial" w:hAnsi="Arial" w:cs="Arial"/>
          <w:b/>
          <w:lang w:val="en-US"/>
        </w:rPr>
      </w:pPr>
      <w:r w:rsidRPr="004F6E59">
        <w:rPr>
          <w:rFonts w:ascii="Arial" w:hAnsi="Arial" w:cs="Arial"/>
          <w:b/>
          <w:lang w:val="en-US"/>
        </w:rPr>
        <w:t>Supplementary Materials and methods</w:t>
      </w:r>
    </w:p>
    <w:p w:rsidR="002D0DAA" w:rsidRPr="004F6E59" w:rsidRDefault="002D0DAA" w:rsidP="002D0DAA">
      <w:pPr>
        <w:pStyle w:val="CommentText"/>
        <w:spacing w:line="480" w:lineRule="auto"/>
        <w:contextualSpacing/>
        <w:jc w:val="both"/>
        <w:rPr>
          <w:rFonts w:ascii="Arial" w:hAnsi="Arial" w:cs="Arial"/>
          <w:b/>
          <w:lang w:val="en-US"/>
        </w:rPr>
      </w:pPr>
      <w:r w:rsidRPr="004F6E59">
        <w:rPr>
          <w:rFonts w:ascii="Arial" w:hAnsi="Arial" w:cs="Arial"/>
          <w:b/>
          <w:lang w:val="en-US"/>
        </w:rPr>
        <w:t>Isolation and culture of primary human osteoblasts</w:t>
      </w:r>
    </w:p>
    <w:p w:rsidR="002D0DAA" w:rsidRPr="004F6E59" w:rsidRDefault="002D0DAA" w:rsidP="002D0DAA">
      <w:pPr>
        <w:pStyle w:val="CommentText"/>
        <w:spacing w:line="480" w:lineRule="auto"/>
        <w:contextualSpacing/>
        <w:jc w:val="both"/>
        <w:rPr>
          <w:rFonts w:ascii="Times New Roman" w:hAnsi="Times New Roman"/>
          <w:sz w:val="24"/>
          <w:szCs w:val="24"/>
          <w:lang w:val="en-US"/>
        </w:rPr>
      </w:pPr>
      <w:r w:rsidRPr="004F6E59">
        <w:rPr>
          <w:rFonts w:ascii="Times New Roman" w:hAnsi="Times New Roman"/>
          <w:sz w:val="24"/>
          <w:szCs w:val="24"/>
          <w:lang w:val="en-GB"/>
        </w:rPr>
        <w:t>Briefly, after dissection, trabecular bone chips were repeatedly washed with PBS</w:t>
      </w:r>
      <w:r w:rsidRPr="004F6E59">
        <w:rPr>
          <w:rFonts w:ascii="Times New Roman" w:hAnsi="Times New Roman"/>
          <w:sz w:val="24"/>
          <w:szCs w:val="24"/>
          <w:lang w:val="en-US"/>
        </w:rPr>
        <w:t xml:space="preserve"> at 37°C for 2 h in shaking conditions</w:t>
      </w:r>
      <w:r w:rsidRPr="004F6E59">
        <w:rPr>
          <w:rFonts w:ascii="Times New Roman" w:hAnsi="Times New Roman"/>
          <w:sz w:val="24"/>
          <w:szCs w:val="24"/>
          <w:lang w:val="en-GB"/>
        </w:rPr>
        <w:t xml:space="preserve">. Then, two distinct enzymatic digestions were repeated and performed at 37°C. </w:t>
      </w:r>
      <w:r w:rsidRPr="004F6E59">
        <w:rPr>
          <w:rFonts w:ascii="Times New Roman" w:hAnsi="Times New Roman"/>
          <w:sz w:val="24"/>
          <w:szCs w:val="24"/>
          <w:lang w:val="en-GB"/>
        </w:rPr>
        <w:lastRenderedPageBreak/>
        <w:t xml:space="preserve">The first digestion employed 1mg/ml Trypsin from porcine pancreas ≥ 60 U/mg (SERVA Electrophoresis GmbH Heidelberg, DE) resuspended in PBS buffered at pH 7.2. After washing, trypsinized bone chips underwent to repeated digestions with a second type of protease employing 2.5 mg/ml Collagenase NB 4G Proved grade ≥ 0.18U/mg (SERVA Electrophoresis GmbH, Heidelberg, DE) in PBS buffer with Calcium and Magnesium. The supernatants from the 4th bone-chips digestion was collected and centrifuged at 310 RCF for 5’. </w:t>
      </w:r>
      <w:r w:rsidRPr="004F6E59">
        <w:rPr>
          <w:rFonts w:ascii="Times New Roman" w:hAnsi="Times New Roman"/>
          <w:sz w:val="24"/>
          <w:szCs w:val="24"/>
          <w:lang w:val="en-US"/>
        </w:rPr>
        <w:t xml:space="preserve">The cell pellets was </w:t>
      </w:r>
      <w:r w:rsidRPr="004F6E59">
        <w:rPr>
          <w:rFonts w:ascii="Times New Roman" w:hAnsi="Times New Roman"/>
          <w:sz w:val="24"/>
          <w:szCs w:val="24"/>
          <w:lang w:val="en-GB"/>
        </w:rPr>
        <w:t>resuspended in DMEM with 15% FBS, thus cell</w:t>
      </w:r>
      <w:r w:rsidRPr="004F6E59">
        <w:rPr>
          <w:rFonts w:ascii="Times New Roman" w:hAnsi="Times New Roman"/>
          <w:sz w:val="24"/>
          <w:szCs w:val="24"/>
          <w:lang w:val="en-US"/>
        </w:rPr>
        <w:t xml:space="preserve"> were then grown in low calcium media, supplemented with fetal bovine serum (10%; Intergen, Purchase, </w:t>
      </w:r>
      <w:r w:rsidRPr="004F6E59">
        <w:rPr>
          <w:rFonts w:ascii="Times New Roman" w:hAnsi="Times New Roman"/>
          <w:bCs/>
          <w:iCs/>
          <w:sz w:val="24"/>
          <w:szCs w:val="24"/>
          <w:lang w:val="en-US"/>
        </w:rPr>
        <w:t>NY,</w:t>
      </w:r>
      <w:r w:rsidRPr="004F6E59">
        <w:rPr>
          <w:rFonts w:ascii="Times New Roman" w:hAnsi="Times New Roman"/>
          <w:bCs/>
          <w:i/>
          <w:iCs/>
          <w:sz w:val="24"/>
          <w:szCs w:val="24"/>
          <w:lang w:val="en-US"/>
        </w:rPr>
        <w:t xml:space="preserve"> </w:t>
      </w:r>
      <w:r w:rsidRPr="004F6E59">
        <w:rPr>
          <w:rFonts w:ascii="Times New Roman" w:hAnsi="Times New Roman"/>
          <w:sz w:val="24"/>
          <w:szCs w:val="24"/>
          <w:lang w:val="en-US"/>
        </w:rPr>
        <w:t xml:space="preserve">USA), penicillin (50 U/ml), and streptomycin </w:t>
      </w:r>
      <w:r w:rsidRPr="004F6E59">
        <w:rPr>
          <w:rFonts w:ascii="Times New Roman" w:hAnsi="Times New Roman"/>
          <w:i/>
          <w:iCs/>
          <w:sz w:val="24"/>
          <w:szCs w:val="24"/>
          <w:lang w:val="en-US"/>
        </w:rPr>
        <w:t xml:space="preserve">(50 </w:t>
      </w:r>
      <w:r w:rsidRPr="004F6E59">
        <w:rPr>
          <w:rFonts w:ascii="Times New Roman" w:hAnsi="Times New Roman"/>
          <w:sz w:val="24"/>
          <w:szCs w:val="24"/>
          <w:lang w:val="en-US"/>
        </w:rPr>
        <w:t>pg/ml). When the cultures reached confluence in 3-5 weeks, the bone chips were removed and the cellular outgrowths treated with trypsin (0.05%) and EDTA (0.02%) to prepare single cell suspensions. All cells were incubated at 37°C and 5% CO</w:t>
      </w:r>
      <w:r w:rsidRPr="004F6E59">
        <w:rPr>
          <w:rFonts w:ascii="Times New Roman" w:hAnsi="Times New Roman"/>
          <w:sz w:val="24"/>
          <w:szCs w:val="24"/>
          <w:vertAlign w:val="subscript"/>
          <w:lang w:val="en-US"/>
        </w:rPr>
        <w:t>2</w:t>
      </w:r>
      <w:r w:rsidRPr="004F6E59">
        <w:rPr>
          <w:rFonts w:ascii="Times New Roman" w:hAnsi="Times New Roman"/>
          <w:sz w:val="24"/>
          <w:szCs w:val="24"/>
          <w:lang w:val="en-US"/>
        </w:rPr>
        <w:t>. Upon confluence, cells were detached from the plates by trypsinization, counted and subcultured at a density of 5 000 cells/cm</w:t>
      </w:r>
      <w:r w:rsidRPr="004F6E59">
        <w:rPr>
          <w:rFonts w:ascii="Times New Roman" w:hAnsi="Times New Roman"/>
          <w:sz w:val="24"/>
          <w:szCs w:val="24"/>
          <w:vertAlign w:val="superscript"/>
          <w:lang w:val="en-US"/>
        </w:rPr>
        <w:t>2</w:t>
      </w:r>
      <w:r w:rsidRPr="004F6E59">
        <w:rPr>
          <w:rFonts w:ascii="Times New Roman" w:hAnsi="Times New Roman"/>
          <w:sz w:val="24"/>
          <w:szCs w:val="24"/>
          <w:lang w:val="en-US"/>
        </w:rPr>
        <w:t xml:space="preserve"> for three passages. Osteoblast proliferation was compared between different tissue sources at passage one. Third passage cells were used in all other experiments.</w:t>
      </w:r>
    </w:p>
    <w:p w:rsidR="002D0DAA" w:rsidRPr="004F6E59" w:rsidRDefault="002D0DAA" w:rsidP="002D0DAA">
      <w:pPr>
        <w:spacing w:line="480" w:lineRule="auto"/>
        <w:jc w:val="both"/>
        <w:rPr>
          <w:rFonts w:ascii="Times New Roman" w:eastAsia="Times New Roman" w:hAnsi="Times New Roman"/>
          <w:b/>
          <w:bCs/>
          <w:i/>
          <w:sz w:val="24"/>
          <w:szCs w:val="24"/>
          <w:lang w:val="en-US" w:eastAsia="it-IT"/>
        </w:rPr>
      </w:pPr>
      <w:r w:rsidRPr="004F6E59">
        <w:rPr>
          <w:rFonts w:ascii="Times New Roman" w:eastAsia="Times New Roman" w:hAnsi="Times New Roman"/>
          <w:b/>
          <w:bCs/>
          <w:i/>
          <w:sz w:val="24"/>
          <w:szCs w:val="24"/>
          <w:lang w:val="en-US" w:eastAsia="it-IT"/>
        </w:rPr>
        <w:t>Quality check  for human primary osteoblasts</w:t>
      </w:r>
    </w:p>
    <w:p w:rsidR="002D0DAA" w:rsidRPr="004F6E59" w:rsidRDefault="002D0DAA" w:rsidP="002D0DAA">
      <w:pPr>
        <w:spacing w:before="100" w:beforeAutospacing="1" w:after="100" w:afterAutospacing="1" w:line="480" w:lineRule="auto"/>
        <w:jc w:val="both"/>
        <w:rPr>
          <w:rFonts w:ascii="Times New Roman" w:eastAsia="Times New Roman" w:hAnsi="Times New Roman"/>
          <w:sz w:val="24"/>
          <w:szCs w:val="24"/>
          <w:lang w:val="en-US" w:eastAsia="it-IT"/>
        </w:rPr>
      </w:pPr>
      <w:bookmarkStart w:id="0" w:name="article1.body1.sec4.sec9.p1"/>
      <w:bookmarkEnd w:id="0"/>
      <w:r w:rsidRPr="004F6E59">
        <w:rPr>
          <w:rFonts w:ascii="Times New Roman" w:eastAsia="Times New Roman" w:hAnsi="Times New Roman"/>
          <w:sz w:val="24"/>
          <w:szCs w:val="24"/>
          <w:lang w:val="en-US" w:eastAsia="it-IT"/>
        </w:rPr>
        <w:t xml:space="preserve">To provide a baseline before the treatment and to assess the quality of each cell purification a fraction of the purified cells were inspected.  Using immunochemistry analysis and morphological inspection the isolated primary cells were observed to be homogeneous and appropriate for osteoblasts, expressing BMP-2 RUNX2 and RANK L. Briefly, </w:t>
      </w:r>
      <w:r w:rsidRPr="004F6E59">
        <w:rPr>
          <w:rStyle w:val="Emphasis"/>
          <w:rFonts w:ascii="Times New Roman" w:hAnsi="Times New Roman"/>
          <w:i w:val="0"/>
          <w:sz w:val="24"/>
          <w:szCs w:val="24"/>
          <w:lang w:val="en-US"/>
        </w:rPr>
        <w:t>cells were seeded in a monolayer at 40 000 cells/cm</w:t>
      </w:r>
      <w:r w:rsidRPr="004F6E59">
        <w:rPr>
          <w:rStyle w:val="Emphasis"/>
          <w:rFonts w:ascii="Times New Roman" w:hAnsi="Times New Roman"/>
          <w:i w:val="0"/>
          <w:sz w:val="24"/>
          <w:szCs w:val="24"/>
          <w:vertAlign w:val="superscript"/>
          <w:lang w:val="en-US"/>
        </w:rPr>
        <w:t>2</w:t>
      </w:r>
      <w:r w:rsidRPr="004F6E59">
        <w:rPr>
          <w:rStyle w:val="Emphasis"/>
          <w:rFonts w:ascii="Times New Roman" w:hAnsi="Times New Roman"/>
          <w:i w:val="0"/>
          <w:sz w:val="24"/>
          <w:szCs w:val="24"/>
          <w:lang w:val="en-US"/>
        </w:rPr>
        <w:t xml:space="preserve"> and cultured until the confluence was reached.</w:t>
      </w:r>
      <w:r w:rsidRPr="004F6E59">
        <w:rPr>
          <w:rFonts w:ascii="Times New Roman" w:eastAsia="Times New Roman" w:hAnsi="Times New Roman"/>
          <w:sz w:val="24"/>
          <w:szCs w:val="24"/>
          <w:lang w:val="en-US" w:eastAsia="it-IT"/>
        </w:rPr>
        <w:t xml:space="preserve"> Primary osteoblasts were cultured for two weeks in osteogenic medium (OGM) containing 10 mM biglycerol phosphate, 50 µM ascorbic acid, 25 ng/ml bone morphogenetic protein-2 (BMP-2; R&amp;D Systems) in 10% serum containing alpha MEM. After two weeks of incubation, the cells were assessed for alkaline phosphatase activity as an indicator of differentiation. Morphological inspection was carried out to assess HA precipitated crystals. </w:t>
      </w:r>
      <w:r w:rsidRPr="004F6E59">
        <w:rPr>
          <w:rFonts w:ascii="Times New Roman" w:hAnsi="Times New Roman"/>
          <w:sz w:val="24"/>
          <w:szCs w:val="24"/>
          <w:lang w:val="en-GB"/>
        </w:rPr>
        <w:t xml:space="preserve">Osteoblast phenotype was characterised by immunohistochemistry as BMP-2, RUNX-2 and RANK-L. </w:t>
      </w:r>
      <w:r w:rsidRPr="004F6E59">
        <w:rPr>
          <w:rFonts w:ascii="Times New Roman" w:eastAsia="Times New Roman" w:hAnsi="Times New Roman"/>
          <w:sz w:val="24"/>
          <w:szCs w:val="24"/>
          <w:lang w:val="en-US" w:eastAsia="it-IT"/>
        </w:rPr>
        <w:t xml:space="preserve">Osteoblast cell lysates were generated using standard lysis buffers. The total protein content in the cells was measured by BCA and Biuret assay. Whereas alkaline phosphatase activity was measured in normalized samples using p-nitrophenyl phosphate (p-NPP; Pierce, Rockford, IL, USA) in a 1 M diethanolamine buffer at pH 9.8. Absorbance in control and treated cells was measured at 405 nm. </w:t>
      </w:r>
    </w:p>
    <w:p w:rsidR="002D0DAA" w:rsidRPr="004F6E59" w:rsidRDefault="002D0DAA" w:rsidP="002D0DAA">
      <w:pPr>
        <w:autoSpaceDE w:val="0"/>
        <w:autoSpaceDN w:val="0"/>
        <w:adjustRightInd w:val="0"/>
        <w:spacing w:after="0" w:line="480" w:lineRule="auto"/>
        <w:jc w:val="both"/>
        <w:rPr>
          <w:rFonts w:ascii="Times New Roman" w:hAnsi="Times New Roman"/>
          <w:b/>
          <w:i/>
          <w:sz w:val="24"/>
          <w:szCs w:val="24"/>
          <w:shd w:val="clear" w:color="auto" w:fill="FFFFFF"/>
          <w:lang w:val="en-US"/>
        </w:rPr>
      </w:pPr>
      <w:r w:rsidRPr="004F6E59">
        <w:rPr>
          <w:rFonts w:ascii="Times New Roman" w:hAnsi="Times New Roman"/>
          <w:b/>
          <w:i/>
          <w:sz w:val="24"/>
          <w:szCs w:val="24"/>
          <w:shd w:val="clear" w:color="auto" w:fill="FFFFFF"/>
          <w:lang w:val="en-US"/>
        </w:rPr>
        <w:t>Assays to evaluate the effect of simulated microgravity on cell number</w:t>
      </w:r>
    </w:p>
    <w:p w:rsidR="002D0DAA" w:rsidRPr="004F6E59" w:rsidRDefault="002D0DAA" w:rsidP="002D0DAA">
      <w:pPr>
        <w:autoSpaceDE w:val="0"/>
        <w:autoSpaceDN w:val="0"/>
        <w:adjustRightInd w:val="0"/>
        <w:spacing w:after="0" w:line="480" w:lineRule="auto"/>
        <w:jc w:val="both"/>
        <w:rPr>
          <w:rFonts w:ascii="Times New Roman" w:hAnsi="Times New Roman"/>
          <w:sz w:val="24"/>
          <w:szCs w:val="24"/>
          <w:lang w:val="en-US"/>
        </w:rPr>
      </w:pPr>
      <w:r w:rsidRPr="004F6E59">
        <w:rPr>
          <w:rStyle w:val="Emphasis"/>
          <w:rFonts w:ascii="Times New Roman" w:hAnsi="Times New Roman"/>
          <w:i w:val="0"/>
          <w:sz w:val="24"/>
          <w:szCs w:val="24"/>
          <w:lang w:val="en-US"/>
        </w:rPr>
        <w:t>The number of viable cells were assessed using the</w:t>
      </w:r>
      <w:r w:rsidRPr="004F6E59">
        <w:rPr>
          <w:rStyle w:val="Emphasis"/>
          <w:rFonts w:ascii="Times New Roman" w:hAnsi="Times New Roman"/>
          <w:sz w:val="24"/>
          <w:szCs w:val="24"/>
          <w:lang w:val="en-US"/>
        </w:rPr>
        <w:t xml:space="preserve"> </w:t>
      </w:r>
      <w:r w:rsidRPr="004F6E59">
        <w:rPr>
          <w:rStyle w:val="st"/>
          <w:rFonts w:ascii="Times New Roman" w:hAnsi="Times New Roman"/>
          <w:sz w:val="24"/>
          <w:szCs w:val="24"/>
          <w:lang w:val="en-US"/>
        </w:rPr>
        <w:t xml:space="preserve">trypan blue dye </w:t>
      </w:r>
      <w:r w:rsidRPr="004F6E59">
        <w:rPr>
          <w:rStyle w:val="Emphasis"/>
          <w:rFonts w:ascii="Times New Roman" w:hAnsi="Times New Roman"/>
          <w:i w:val="0"/>
          <w:sz w:val="24"/>
          <w:szCs w:val="24"/>
          <w:lang w:val="en-US"/>
        </w:rPr>
        <w:t>exclusion</w:t>
      </w:r>
      <w:r w:rsidRPr="004F6E59">
        <w:rPr>
          <w:rStyle w:val="st"/>
          <w:rFonts w:ascii="Times New Roman" w:hAnsi="Times New Roman"/>
          <w:sz w:val="24"/>
          <w:szCs w:val="24"/>
          <w:lang w:val="en-US"/>
        </w:rPr>
        <w:t xml:space="preserve"> procedure. </w:t>
      </w:r>
      <w:r w:rsidRPr="004F6E59">
        <w:rPr>
          <w:rStyle w:val="Emphasis"/>
          <w:rFonts w:ascii="Times New Roman" w:hAnsi="Times New Roman"/>
          <w:i w:val="0"/>
          <w:sz w:val="24"/>
          <w:szCs w:val="24"/>
          <w:lang w:val="en-US"/>
        </w:rPr>
        <w:t>When required, cells were detached by incubating plates with trypsin/versine solution for 10 minutes at 37°C. Cell solution was mixed 1:1</w:t>
      </w:r>
      <w:r w:rsidRPr="004F6E59">
        <w:rPr>
          <w:rStyle w:val="Emphasis"/>
          <w:rFonts w:ascii="Times New Roman" w:hAnsi="Times New Roman"/>
          <w:sz w:val="24"/>
          <w:szCs w:val="24"/>
          <w:lang w:val="en-US"/>
        </w:rPr>
        <w:t xml:space="preserve"> </w:t>
      </w:r>
      <w:r w:rsidRPr="004F6E59">
        <w:rPr>
          <w:rStyle w:val="Emphasis"/>
          <w:rFonts w:ascii="Times New Roman" w:hAnsi="Times New Roman"/>
          <w:i w:val="0"/>
          <w:sz w:val="24"/>
          <w:szCs w:val="24"/>
          <w:lang w:val="en-US"/>
        </w:rPr>
        <w:t>with trypan blue</w:t>
      </w:r>
      <w:r w:rsidRPr="004F6E59">
        <w:rPr>
          <w:rStyle w:val="st"/>
          <w:rFonts w:ascii="Times New Roman" w:hAnsi="Times New Roman"/>
          <w:sz w:val="24"/>
          <w:szCs w:val="24"/>
          <w:lang w:val="en-US"/>
        </w:rPr>
        <w:t xml:space="preserve"> stain (Invitrogen) and cells with intact membranes (viable cells) </w:t>
      </w:r>
      <w:r w:rsidRPr="004F6E59">
        <w:rPr>
          <w:rFonts w:ascii="Times New Roman" w:hAnsi="Times New Roman"/>
          <w:sz w:val="24"/>
          <w:szCs w:val="24"/>
          <w:lang w:val="en-US"/>
        </w:rPr>
        <w:t xml:space="preserve">were counted </w:t>
      </w:r>
      <w:r w:rsidRPr="004F6E59">
        <w:rPr>
          <w:rStyle w:val="Emphasis"/>
          <w:rFonts w:ascii="Times New Roman" w:hAnsi="Times New Roman"/>
          <w:i w:val="0"/>
          <w:sz w:val="24"/>
          <w:szCs w:val="24"/>
          <w:lang w:val="en-US"/>
        </w:rPr>
        <w:t>using a haemocytometer device under an</w:t>
      </w:r>
      <w:r w:rsidRPr="004F6E59">
        <w:rPr>
          <w:rStyle w:val="Emphasis"/>
          <w:rFonts w:ascii="Times New Roman" w:hAnsi="Times New Roman"/>
          <w:sz w:val="24"/>
          <w:szCs w:val="24"/>
          <w:lang w:val="en-US"/>
        </w:rPr>
        <w:t xml:space="preserve"> </w:t>
      </w:r>
      <w:r w:rsidRPr="004F6E59">
        <w:rPr>
          <w:rFonts w:ascii="Times New Roman" w:hAnsi="Times New Roman"/>
          <w:sz w:val="24"/>
          <w:szCs w:val="24"/>
          <w:lang w:val="en-US"/>
        </w:rPr>
        <w:t xml:space="preserve">optical microscope (Nikon Eclipse TE 2000-5). To determine the number of viable metabolically active cells (i.e. possessing active mitochondria), the cell titer 96 AQ cell colorimetric assay (Promega) was employed, following the manufacturers’ instructions. After incubation for four hours, MTS formazan soluble product was measured at absorbance 490 nm with a Tecan Spark 10N spectrophotometer reader. Spectrophotometric determination of cell protein content was evaluated by the biuret colorimetric analysis of peptides and the bicinchoninic acid (BCA) method, with readings at wavelengths of 310 nm and 562 nm, respectively (Biuret reagent kit, </w:t>
      </w:r>
      <w:r w:rsidRPr="004F6E59">
        <w:rPr>
          <w:rStyle w:val="st"/>
          <w:rFonts w:ascii="Times New Roman" w:hAnsi="Times New Roman"/>
          <w:sz w:val="24"/>
          <w:szCs w:val="24"/>
          <w:lang w:val="en-US"/>
        </w:rPr>
        <w:t xml:space="preserve">Sigma-Aldrich; </w:t>
      </w:r>
      <w:r w:rsidRPr="004F6E59">
        <w:rPr>
          <w:rStyle w:val="Emphasis"/>
          <w:rFonts w:ascii="Times New Roman" w:hAnsi="Times New Roman"/>
          <w:sz w:val="24"/>
          <w:szCs w:val="24"/>
          <w:lang w:val="en-US"/>
        </w:rPr>
        <w:t>BCA</w:t>
      </w:r>
      <w:r w:rsidRPr="004F6E59">
        <w:rPr>
          <w:rStyle w:val="st"/>
          <w:rFonts w:ascii="Times New Roman" w:hAnsi="Times New Roman"/>
          <w:i/>
          <w:sz w:val="24"/>
          <w:szCs w:val="24"/>
          <w:lang w:val="en-US"/>
        </w:rPr>
        <w:t xml:space="preserve"> </w:t>
      </w:r>
      <w:r w:rsidRPr="004F6E59">
        <w:rPr>
          <w:rStyle w:val="st"/>
          <w:rFonts w:ascii="Times New Roman" w:hAnsi="Times New Roman"/>
          <w:sz w:val="24"/>
          <w:szCs w:val="24"/>
          <w:lang w:val="en-US"/>
        </w:rPr>
        <w:t xml:space="preserve">Protein </w:t>
      </w:r>
      <w:r w:rsidRPr="004F6E59">
        <w:rPr>
          <w:rStyle w:val="Emphasis"/>
          <w:rFonts w:ascii="Times New Roman" w:hAnsi="Times New Roman"/>
          <w:sz w:val="24"/>
          <w:szCs w:val="24"/>
          <w:lang w:val="en-US"/>
        </w:rPr>
        <w:t>Assay</w:t>
      </w:r>
      <w:r w:rsidRPr="004F6E59">
        <w:rPr>
          <w:rStyle w:val="st"/>
          <w:rFonts w:ascii="Times New Roman" w:hAnsi="Times New Roman"/>
          <w:i/>
          <w:sz w:val="24"/>
          <w:szCs w:val="24"/>
          <w:lang w:val="en-US"/>
        </w:rPr>
        <w:t xml:space="preserve"> </w:t>
      </w:r>
      <w:r w:rsidRPr="004F6E59">
        <w:rPr>
          <w:rStyle w:val="st"/>
          <w:rFonts w:ascii="Times New Roman" w:hAnsi="Times New Roman"/>
          <w:sz w:val="24"/>
          <w:szCs w:val="24"/>
          <w:lang w:val="en-US"/>
        </w:rPr>
        <w:t>Kit, The Thermo Scientific Pierce)</w:t>
      </w:r>
      <w:r w:rsidRPr="004F6E59">
        <w:rPr>
          <w:rFonts w:ascii="Times New Roman" w:hAnsi="Times New Roman"/>
          <w:sz w:val="24"/>
          <w:szCs w:val="24"/>
          <w:lang w:val="en-US"/>
        </w:rPr>
        <w:t xml:space="preserve">. </w:t>
      </w:r>
    </w:p>
    <w:p w:rsidR="002D0DAA" w:rsidRPr="004F6E59" w:rsidRDefault="002D0DAA" w:rsidP="002D0DAA">
      <w:pPr>
        <w:autoSpaceDE w:val="0"/>
        <w:autoSpaceDN w:val="0"/>
        <w:adjustRightInd w:val="0"/>
        <w:spacing w:line="480" w:lineRule="auto"/>
        <w:jc w:val="both"/>
        <w:rPr>
          <w:rFonts w:ascii="Times New Roman" w:hAnsi="Times New Roman"/>
          <w:sz w:val="24"/>
          <w:szCs w:val="24"/>
          <w:lang w:val="en-US"/>
        </w:rPr>
      </w:pPr>
      <w:r w:rsidRPr="004F6E59">
        <w:rPr>
          <w:rFonts w:ascii="Times New Roman" w:hAnsi="Times New Roman"/>
          <w:sz w:val="24"/>
          <w:szCs w:val="24"/>
          <w:lang w:val="en-US"/>
        </w:rPr>
        <w:t>For all three assays, standard curve validated that the absorbance (at 490 nm, 310 nm or 562 nm, respectively) read were directly proportional to the number of living cells in culture. With all three methods, the effect of the treatment was reported in terms of percentages, as follows: the percentage calculation was based on the ratio of the mean value of Sμg-treated samples to the mean value of normo-gravity (control) samples. The statistical significance of data was determined using the Student’s t-test.( as reported by us</w:t>
      </w:r>
      <w:r w:rsidRPr="004F6E59">
        <w:rPr>
          <w:rFonts w:ascii="Times New Roman" w:hAnsi="Times New Roman"/>
          <w:sz w:val="24"/>
          <w:szCs w:val="24"/>
          <w:vertAlign w:val="superscript"/>
          <w:lang w:val="en-US"/>
        </w:rPr>
        <w:t>39</w:t>
      </w:r>
      <w:r w:rsidRPr="004F6E59">
        <w:rPr>
          <w:rFonts w:ascii="Times New Roman" w:hAnsi="Times New Roman"/>
          <w:sz w:val="24"/>
          <w:szCs w:val="24"/>
          <w:lang w:val="en-US"/>
        </w:rPr>
        <w:t>)</w:t>
      </w:r>
    </w:p>
    <w:p w:rsidR="002D0DAA" w:rsidRPr="004F6E59" w:rsidRDefault="002D0DAA" w:rsidP="002D0DAA">
      <w:pPr>
        <w:spacing w:line="480" w:lineRule="auto"/>
        <w:jc w:val="both"/>
        <w:rPr>
          <w:rFonts w:ascii="Times New Roman" w:hAnsi="Times New Roman"/>
          <w:b/>
          <w:sz w:val="24"/>
          <w:szCs w:val="24"/>
          <w:lang w:val="en-US"/>
        </w:rPr>
      </w:pPr>
    </w:p>
    <w:p w:rsidR="002D0DAA" w:rsidRPr="004F6E59" w:rsidRDefault="002D0DAA" w:rsidP="002D0DAA">
      <w:pPr>
        <w:spacing w:line="480" w:lineRule="auto"/>
        <w:jc w:val="both"/>
        <w:rPr>
          <w:rFonts w:ascii="Times New Roman" w:hAnsi="Times New Roman"/>
          <w:b/>
          <w:sz w:val="24"/>
          <w:szCs w:val="24"/>
          <w:lang w:val="en-US"/>
        </w:rPr>
      </w:pPr>
      <w:r w:rsidRPr="004F6E59">
        <w:rPr>
          <w:rFonts w:ascii="Times New Roman" w:hAnsi="Times New Roman"/>
          <w:b/>
          <w:sz w:val="24"/>
          <w:szCs w:val="24"/>
          <w:lang w:val="en-US"/>
        </w:rPr>
        <w:t xml:space="preserve">Supplementary legends </w:t>
      </w:r>
    </w:p>
    <w:p w:rsidR="002D0DAA" w:rsidRPr="004F6E59" w:rsidRDefault="002D0DAA" w:rsidP="002D0DAA">
      <w:pPr>
        <w:spacing w:line="480" w:lineRule="auto"/>
        <w:jc w:val="both"/>
        <w:rPr>
          <w:rFonts w:ascii="Times New Roman" w:hAnsi="Times New Roman"/>
          <w:sz w:val="24"/>
          <w:szCs w:val="24"/>
          <w:lang w:val="en-US"/>
        </w:rPr>
      </w:pPr>
      <w:r w:rsidRPr="004F6E59">
        <w:rPr>
          <w:rFonts w:ascii="Times New Roman" w:hAnsi="Times New Roman"/>
          <w:b/>
          <w:sz w:val="24"/>
          <w:szCs w:val="24"/>
          <w:lang w:val="en-US"/>
        </w:rPr>
        <w:t>Fig. 1S</w:t>
      </w:r>
      <w:r w:rsidRPr="004F6E59">
        <w:rPr>
          <w:rFonts w:ascii="Times New Roman" w:hAnsi="Times New Roman"/>
          <w:sz w:val="24"/>
          <w:szCs w:val="24"/>
          <w:lang w:val="en-US"/>
        </w:rPr>
        <w:t xml:space="preserve"> SAOS II cell migration under microgravity becomes. </w:t>
      </w:r>
      <w:r w:rsidRPr="004F6E59">
        <w:rPr>
          <w:rFonts w:ascii="Times New Roman" w:hAnsi="Times New Roman"/>
          <w:b/>
          <w:sz w:val="24"/>
          <w:szCs w:val="24"/>
          <w:lang w:val="en-US"/>
        </w:rPr>
        <w:t>I)</w:t>
      </w:r>
      <w:r w:rsidRPr="004F6E59">
        <w:rPr>
          <w:rFonts w:ascii="Times New Roman" w:hAnsi="Times New Roman"/>
          <w:sz w:val="24"/>
          <w:szCs w:val="24"/>
          <w:lang w:val="en-US"/>
        </w:rPr>
        <w:t xml:space="preserve"> MMP independent</w:t>
      </w:r>
      <w:r w:rsidRPr="004F6E59">
        <w:rPr>
          <w:rFonts w:ascii="Times New Roman" w:hAnsi="Times New Roman"/>
          <w:b/>
          <w:sz w:val="24"/>
          <w:szCs w:val="24"/>
          <w:lang w:val="en-US"/>
        </w:rPr>
        <w:t xml:space="preserve">. </w:t>
      </w:r>
      <w:r w:rsidRPr="004F6E59">
        <w:rPr>
          <w:rFonts w:ascii="Times New Roman" w:hAnsi="Times New Roman"/>
          <w:sz w:val="24"/>
          <w:szCs w:val="24"/>
          <w:lang w:val="en-US"/>
        </w:rPr>
        <w:t xml:space="preserve">(A) Phase contrast image of cell monolayer recorded immediately after the scratch (t0).(B) The wound after 24h microgravity exposition in the presence of 26 μM ilomastat(MMP irreversible inhibitor). In microgravity environment cell motility occurs even in the presence of 26 μM ilomastat. </w:t>
      </w:r>
      <w:r w:rsidRPr="004F6E59">
        <w:rPr>
          <w:rFonts w:ascii="Times New Roman" w:hAnsi="Times New Roman"/>
          <w:b/>
          <w:sz w:val="24"/>
          <w:szCs w:val="24"/>
          <w:lang w:val="en-US"/>
        </w:rPr>
        <w:t>II)</w:t>
      </w:r>
      <w:r w:rsidRPr="004F6E59">
        <w:rPr>
          <w:rFonts w:ascii="Times New Roman" w:hAnsi="Times New Roman"/>
          <w:sz w:val="24"/>
          <w:szCs w:val="24"/>
          <w:lang w:val="en-US"/>
        </w:rPr>
        <w:t xml:space="preserve"> faster (C) scratched cell monolayer at t0. (D) 24h post the wound under </w:t>
      </w:r>
      <w:r>
        <w:rPr>
          <w:rFonts w:ascii="Times New Roman" w:hAnsi="Times New Roman"/>
          <w:sz w:val="24"/>
          <w:szCs w:val="24"/>
          <w:lang w:val="en-US"/>
        </w:rPr>
        <w:t>normo-gravity</w:t>
      </w:r>
      <w:r w:rsidRPr="004F6E59">
        <w:rPr>
          <w:rFonts w:ascii="Times New Roman" w:hAnsi="Times New Roman"/>
          <w:sz w:val="24"/>
          <w:szCs w:val="24"/>
          <w:lang w:val="en-US"/>
        </w:rPr>
        <w:t xml:space="preserve">. (E) 24h post the wound under microgravity (microscopic magnification 4X). </w:t>
      </w:r>
      <w:r w:rsidRPr="004F6E59">
        <w:rPr>
          <w:rFonts w:ascii="Times New Roman" w:hAnsi="Times New Roman"/>
          <w:b/>
          <w:sz w:val="24"/>
          <w:szCs w:val="24"/>
          <w:lang w:val="en-US"/>
        </w:rPr>
        <w:t xml:space="preserve">III) </w:t>
      </w:r>
      <w:r w:rsidRPr="004F6E59">
        <w:rPr>
          <w:rFonts w:ascii="Times New Roman" w:hAnsi="Times New Roman"/>
          <w:sz w:val="24"/>
          <w:szCs w:val="24"/>
          <w:lang w:val="en-US"/>
        </w:rPr>
        <w:t>not-through sheet of cells (F) and (G): zoom on leading edges on BMP2 Immunostained cells 24h normo- and micro-gravity, respectively (magnification 40X).</w:t>
      </w:r>
    </w:p>
    <w:p w:rsidR="002D0DAA" w:rsidRPr="004F6E59" w:rsidRDefault="002D0DAA" w:rsidP="002D0DAA">
      <w:pPr>
        <w:spacing w:line="480" w:lineRule="auto"/>
        <w:jc w:val="both"/>
        <w:rPr>
          <w:rFonts w:ascii="Times New Roman" w:hAnsi="Times New Roman"/>
          <w:b/>
          <w:sz w:val="24"/>
          <w:szCs w:val="24"/>
          <w:lang w:val="en-US"/>
        </w:rPr>
      </w:pPr>
    </w:p>
    <w:p w:rsidR="002D0DAA" w:rsidRPr="004F6E59" w:rsidRDefault="002D0DAA" w:rsidP="002D0DAA">
      <w:pPr>
        <w:spacing w:line="480" w:lineRule="auto"/>
        <w:jc w:val="both"/>
        <w:rPr>
          <w:rFonts w:ascii="Times New Roman" w:hAnsi="Times New Roman"/>
          <w:sz w:val="24"/>
          <w:szCs w:val="24"/>
          <w:shd w:val="clear" w:color="auto" w:fill="FFFFFF"/>
          <w:lang w:val="en-US"/>
        </w:rPr>
      </w:pPr>
      <w:r w:rsidRPr="004F6E59">
        <w:rPr>
          <w:rFonts w:ascii="Times New Roman" w:hAnsi="Times New Roman"/>
          <w:b/>
          <w:sz w:val="24"/>
          <w:szCs w:val="24"/>
          <w:lang w:val="en-US"/>
        </w:rPr>
        <w:t>Table 1S</w:t>
      </w:r>
      <w:r w:rsidRPr="004F6E59">
        <w:rPr>
          <w:rFonts w:ascii="Times New Roman" w:hAnsi="Times New Roman"/>
          <w:sz w:val="24"/>
          <w:szCs w:val="24"/>
          <w:lang w:val="en-US"/>
        </w:rPr>
        <w:t xml:space="preserve"> . Biological functions of the  proteome which is differential regulated upon Sμg treatment.</w:t>
      </w:r>
      <w:r w:rsidRPr="004F6E59">
        <w:rPr>
          <w:rFonts w:ascii="Times New Roman" w:hAnsi="Times New Roman"/>
          <w:b/>
          <w:sz w:val="24"/>
          <w:szCs w:val="24"/>
          <w:lang w:val="en-US"/>
        </w:rPr>
        <w:t xml:space="preserve"> </w:t>
      </w:r>
      <w:r w:rsidRPr="004F6E59">
        <w:rPr>
          <w:rFonts w:ascii="Times New Roman" w:hAnsi="Times New Roman"/>
          <w:sz w:val="24"/>
          <w:szCs w:val="24"/>
          <w:shd w:val="clear" w:color="auto" w:fill="FFFFFF"/>
          <w:lang w:val="en-US"/>
        </w:rPr>
        <w:t xml:space="preserve">The table shows trends of osteoblast-differentiation proteins differentially regulated in abundance. ↓, indicates microgravity induced down regulation of proteins. ↑, indicates microgravity-induced up-regulation of protein. (UN), indicates Unique proteins in </w:t>
      </w:r>
      <w:r>
        <w:rPr>
          <w:rFonts w:ascii="Times New Roman" w:hAnsi="Times New Roman"/>
          <w:sz w:val="24"/>
          <w:szCs w:val="24"/>
          <w:shd w:val="clear" w:color="auto" w:fill="FFFFFF"/>
          <w:lang w:val="en-US"/>
        </w:rPr>
        <w:t>normo-gravity</w:t>
      </w:r>
      <w:r w:rsidRPr="004F6E59">
        <w:rPr>
          <w:rFonts w:ascii="Times New Roman" w:hAnsi="Times New Roman"/>
          <w:sz w:val="24"/>
          <w:szCs w:val="24"/>
          <w:shd w:val="clear" w:color="auto" w:fill="FFFFFF"/>
          <w:lang w:val="en-US"/>
        </w:rPr>
        <w:t xml:space="preserve"> and (UM)refers to Unique proteins found </w:t>
      </w:r>
      <w:r w:rsidRPr="004F6E59">
        <w:rPr>
          <w:rFonts w:ascii="Times New Roman" w:hAnsi="Times New Roman"/>
          <w:sz w:val="24"/>
          <w:szCs w:val="24"/>
          <w:lang w:val="en-US"/>
        </w:rPr>
        <w:t>Sμg proteome</w:t>
      </w:r>
      <w:r w:rsidRPr="004F6E59">
        <w:rPr>
          <w:rFonts w:ascii="Times New Roman" w:hAnsi="Times New Roman"/>
          <w:sz w:val="24"/>
          <w:szCs w:val="24"/>
          <w:shd w:val="clear" w:color="auto" w:fill="FFFFFF"/>
          <w:lang w:val="en-US"/>
        </w:rPr>
        <w:t xml:space="preserve">. For each protein its biological functions is specified. </w:t>
      </w:r>
    </w:p>
    <w:p w:rsidR="002D0DAA" w:rsidRPr="00A91E16" w:rsidRDefault="002D0DAA" w:rsidP="002D0DAA">
      <w:pPr>
        <w:pStyle w:val="CommentText"/>
        <w:spacing w:line="480" w:lineRule="auto"/>
        <w:contextualSpacing/>
        <w:jc w:val="both"/>
        <w:rPr>
          <w:rFonts w:ascii="Arial" w:hAnsi="Arial" w:cs="Arial"/>
          <w:lang w:val="en-US"/>
        </w:rPr>
      </w:pPr>
    </w:p>
    <w:p w:rsidR="00805CA8" w:rsidRDefault="00805CA8">
      <w:bookmarkStart w:id="1" w:name="_GoBack"/>
      <w:bookmarkEnd w:id="1"/>
    </w:p>
    <w:sectPr w:rsidR="00805CA8" w:rsidSect="00211C02">
      <w:headerReference w:type="even" r:id="rId5"/>
      <w:headerReference w:type="default" r:id="rId6"/>
      <w:footerReference w:type="even" r:id="rId7"/>
      <w:footerReference w:type="default" r:id="rId8"/>
      <w:headerReference w:type="first" r:id="rId9"/>
      <w:footerReference w:type="first" r:id="rId10"/>
      <w:pgSz w:w="11906" w:h="16838"/>
      <w:pgMar w:top="1417" w:right="1134" w:bottom="1134" w:left="1134"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03" w:rsidRDefault="002D0D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03" w:rsidRDefault="002D0DAA">
    <w:pPr>
      <w:pStyle w:val="Footer"/>
      <w:jc w:val="center"/>
    </w:pPr>
    <w:r>
      <w:fldChar w:fldCharType="begin"/>
    </w:r>
    <w:r>
      <w:instrText xml:space="preserve"> PAGE   \* MERGEFORMAT </w:instrText>
    </w:r>
    <w:r>
      <w:fldChar w:fldCharType="separate"/>
    </w:r>
    <w:r>
      <w:rPr>
        <w:noProof/>
      </w:rPr>
      <w:t>1</w:t>
    </w:r>
    <w:r>
      <w:fldChar w:fldCharType="end"/>
    </w:r>
  </w:p>
  <w:p w:rsidR="00B56A03" w:rsidRDefault="002D0D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03" w:rsidRDefault="002D0DA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03" w:rsidRDefault="002D0D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03" w:rsidRDefault="002D0D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03" w:rsidRDefault="002D0D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DAA"/>
    <w:rsid w:val="000546CA"/>
    <w:rsid w:val="00054B38"/>
    <w:rsid w:val="00085D6C"/>
    <w:rsid w:val="000F0A97"/>
    <w:rsid w:val="001124E1"/>
    <w:rsid w:val="0013375A"/>
    <w:rsid w:val="0014013D"/>
    <w:rsid w:val="00144BEA"/>
    <w:rsid w:val="001673F2"/>
    <w:rsid w:val="001754C0"/>
    <w:rsid w:val="001C4A49"/>
    <w:rsid w:val="001F187E"/>
    <w:rsid w:val="002513D7"/>
    <w:rsid w:val="0027057C"/>
    <w:rsid w:val="00272053"/>
    <w:rsid w:val="002B0F9C"/>
    <w:rsid w:val="002B6679"/>
    <w:rsid w:val="002C00DE"/>
    <w:rsid w:val="002D0DAA"/>
    <w:rsid w:val="002E0B8D"/>
    <w:rsid w:val="003116C6"/>
    <w:rsid w:val="0031238C"/>
    <w:rsid w:val="00330381"/>
    <w:rsid w:val="00364EFB"/>
    <w:rsid w:val="00373DDB"/>
    <w:rsid w:val="003A5DDD"/>
    <w:rsid w:val="003E7B59"/>
    <w:rsid w:val="003F7540"/>
    <w:rsid w:val="004215BB"/>
    <w:rsid w:val="00451825"/>
    <w:rsid w:val="004635BA"/>
    <w:rsid w:val="00477ACA"/>
    <w:rsid w:val="004A322A"/>
    <w:rsid w:val="004C69A3"/>
    <w:rsid w:val="00574C24"/>
    <w:rsid w:val="005B52E4"/>
    <w:rsid w:val="00612193"/>
    <w:rsid w:val="006354AE"/>
    <w:rsid w:val="006A494B"/>
    <w:rsid w:val="006F251F"/>
    <w:rsid w:val="00723168"/>
    <w:rsid w:val="0074010D"/>
    <w:rsid w:val="0076164A"/>
    <w:rsid w:val="00805CA8"/>
    <w:rsid w:val="00810935"/>
    <w:rsid w:val="008652C0"/>
    <w:rsid w:val="0089316B"/>
    <w:rsid w:val="008A6637"/>
    <w:rsid w:val="008B419E"/>
    <w:rsid w:val="008B6F33"/>
    <w:rsid w:val="008F040E"/>
    <w:rsid w:val="00920BA1"/>
    <w:rsid w:val="0092231B"/>
    <w:rsid w:val="00973734"/>
    <w:rsid w:val="009D1B3C"/>
    <w:rsid w:val="009E1669"/>
    <w:rsid w:val="00A247C7"/>
    <w:rsid w:val="00A86BFC"/>
    <w:rsid w:val="00B35D59"/>
    <w:rsid w:val="00B74419"/>
    <w:rsid w:val="00B86DA4"/>
    <w:rsid w:val="00BD1509"/>
    <w:rsid w:val="00BD6BD8"/>
    <w:rsid w:val="00BD7DB1"/>
    <w:rsid w:val="00BF0B15"/>
    <w:rsid w:val="00BF7C08"/>
    <w:rsid w:val="00CC1900"/>
    <w:rsid w:val="00CE6C02"/>
    <w:rsid w:val="00D34CC9"/>
    <w:rsid w:val="00D97D57"/>
    <w:rsid w:val="00DE07FE"/>
    <w:rsid w:val="00DE64C9"/>
    <w:rsid w:val="00E41792"/>
    <w:rsid w:val="00E4418D"/>
    <w:rsid w:val="00F37C2D"/>
    <w:rsid w:val="00F91A7B"/>
    <w:rsid w:val="00FA7A6A"/>
    <w:rsid w:val="00FD6417"/>
    <w:rsid w:val="00FE37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D0DAA"/>
    <w:pPr>
      <w:tabs>
        <w:tab w:val="center" w:pos="4819"/>
        <w:tab w:val="right" w:pos="9638"/>
      </w:tabs>
      <w:spacing w:after="0" w:line="240" w:lineRule="auto"/>
    </w:pPr>
    <w:rPr>
      <w:rFonts w:ascii="Calibri" w:eastAsia="Calibri" w:hAnsi="Calibri" w:cs="Times New Roman"/>
      <w:lang w:val="it-IT"/>
    </w:rPr>
  </w:style>
  <w:style w:type="character" w:customStyle="1" w:styleId="HeaderChar">
    <w:name w:val="Header Char"/>
    <w:basedOn w:val="DefaultParagraphFont"/>
    <w:link w:val="Header"/>
    <w:uiPriority w:val="99"/>
    <w:semiHidden/>
    <w:rsid w:val="002D0DAA"/>
    <w:rPr>
      <w:rFonts w:ascii="Calibri" w:eastAsia="Calibri" w:hAnsi="Calibri" w:cs="Times New Roman"/>
      <w:lang w:val="it-IT"/>
    </w:rPr>
  </w:style>
  <w:style w:type="paragraph" w:styleId="Footer">
    <w:name w:val="footer"/>
    <w:basedOn w:val="Normal"/>
    <w:link w:val="FooterChar"/>
    <w:uiPriority w:val="99"/>
    <w:unhideWhenUsed/>
    <w:rsid w:val="002D0DAA"/>
    <w:pPr>
      <w:tabs>
        <w:tab w:val="center" w:pos="4819"/>
        <w:tab w:val="right" w:pos="9638"/>
      </w:tabs>
      <w:spacing w:after="0" w:line="240" w:lineRule="auto"/>
    </w:pPr>
    <w:rPr>
      <w:rFonts w:ascii="Calibri" w:eastAsia="Calibri" w:hAnsi="Calibri" w:cs="Times New Roman"/>
      <w:lang w:val="it-IT"/>
    </w:rPr>
  </w:style>
  <w:style w:type="character" w:customStyle="1" w:styleId="FooterChar">
    <w:name w:val="Footer Char"/>
    <w:basedOn w:val="DefaultParagraphFont"/>
    <w:link w:val="Footer"/>
    <w:uiPriority w:val="99"/>
    <w:rsid w:val="002D0DAA"/>
    <w:rPr>
      <w:rFonts w:ascii="Calibri" w:eastAsia="Calibri" w:hAnsi="Calibri" w:cs="Times New Roman"/>
      <w:lang w:val="it-IT"/>
    </w:rPr>
  </w:style>
  <w:style w:type="character" w:styleId="Emphasis">
    <w:name w:val="Emphasis"/>
    <w:uiPriority w:val="20"/>
    <w:qFormat/>
    <w:rsid w:val="002D0DAA"/>
    <w:rPr>
      <w:i/>
      <w:iCs/>
    </w:rPr>
  </w:style>
  <w:style w:type="character" w:customStyle="1" w:styleId="st">
    <w:name w:val="st"/>
    <w:basedOn w:val="DefaultParagraphFont"/>
    <w:rsid w:val="002D0DAA"/>
  </w:style>
  <w:style w:type="paragraph" w:styleId="CommentText">
    <w:name w:val="annotation text"/>
    <w:basedOn w:val="Normal"/>
    <w:link w:val="CommentTextChar"/>
    <w:uiPriority w:val="99"/>
    <w:unhideWhenUsed/>
    <w:rsid w:val="002D0DAA"/>
    <w:pPr>
      <w:spacing w:after="16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2D0DAA"/>
    <w:rPr>
      <w:rFonts w:ascii="Calibri" w:eastAsia="Calibri" w:hAnsi="Calibri"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D0DAA"/>
    <w:pPr>
      <w:tabs>
        <w:tab w:val="center" w:pos="4819"/>
        <w:tab w:val="right" w:pos="9638"/>
      </w:tabs>
      <w:spacing w:after="0" w:line="240" w:lineRule="auto"/>
    </w:pPr>
    <w:rPr>
      <w:rFonts w:ascii="Calibri" w:eastAsia="Calibri" w:hAnsi="Calibri" w:cs="Times New Roman"/>
      <w:lang w:val="it-IT"/>
    </w:rPr>
  </w:style>
  <w:style w:type="character" w:customStyle="1" w:styleId="HeaderChar">
    <w:name w:val="Header Char"/>
    <w:basedOn w:val="DefaultParagraphFont"/>
    <w:link w:val="Header"/>
    <w:uiPriority w:val="99"/>
    <w:semiHidden/>
    <w:rsid w:val="002D0DAA"/>
    <w:rPr>
      <w:rFonts w:ascii="Calibri" w:eastAsia="Calibri" w:hAnsi="Calibri" w:cs="Times New Roman"/>
      <w:lang w:val="it-IT"/>
    </w:rPr>
  </w:style>
  <w:style w:type="paragraph" w:styleId="Footer">
    <w:name w:val="footer"/>
    <w:basedOn w:val="Normal"/>
    <w:link w:val="FooterChar"/>
    <w:uiPriority w:val="99"/>
    <w:unhideWhenUsed/>
    <w:rsid w:val="002D0DAA"/>
    <w:pPr>
      <w:tabs>
        <w:tab w:val="center" w:pos="4819"/>
        <w:tab w:val="right" w:pos="9638"/>
      </w:tabs>
      <w:spacing w:after="0" w:line="240" w:lineRule="auto"/>
    </w:pPr>
    <w:rPr>
      <w:rFonts w:ascii="Calibri" w:eastAsia="Calibri" w:hAnsi="Calibri" w:cs="Times New Roman"/>
      <w:lang w:val="it-IT"/>
    </w:rPr>
  </w:style>
  <w:style w:type="character" w:customStyle="1" w:styleId="FooterChar">
    <w:name w:val="Footer Char"/>
    <w:basedOn w:val="DefaultParagraphFont"/>
    <w:link w:val="Footer"/>
    <w:uiPriority w:val="99"/>
    <w:rsid w:val="002D0DAA"/>
    <w:rPr>
      <w:rFonts w:ascii="Calibri" w:eastAsia="Calibri" w:hAnsi="Calibri" w:cs="Times New Roman"/>
      <w:lang w:val="it-IT"/>
    </w:rPr>
  </w:style>
  <w:style w:type="character" w:styleId="Emphasis">
    <w:name w:val="Emphasis"/>
    <w:uiPriority w:val="20"/>
    <w:qFormat/>
    <w:rsid w:val="002D0DAA"/>
    <w:rPr>
      <w:i/>
      <w:iCs/>
    </w:rPr>
  </w:style>
  <w:style w:type="character" w:customStyle="1" w:styleId="st">
    <w:name w:val="st"/>
    <w:basedOn w:val="DefaultParagraphFont"/>
    <w:rsid w:val="002D0DAA"/>
  </w:style>
  <w:style w:type="paragraph" w:styleId="CommentText">
    <w:name w:val="annotation text"/>
    <w:basedOn w:val="Normal"/>
    <w:link w:val="CommentTextChar"/>
    <w:uiPriority w:val="99"/>
    <w:unhideWhenUsed/>
    <w:rsid w:val="002D0DAA"/>
    <w:pPr>
      <w:spacing w:after="16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2D0DAA"/>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1142</Words>
  <Characters>6511</Characters>
  <Application>Microsoft Office Word</Application>
  <DocSecurity>0</DocSecurity>
  <Lines>54</Lines>
  <Paragraphs>15</Paragraphs>
  <ScaleCrop>false</ScaleCrop>
  <Company>Microsoft</Company>
  <LinksUpToDate>false</LinksUpToDate>
  <CharactersWithSpaces>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Vimal Saklani</dc:creator>
  <cp:lastModifiedBy>Vimal Saklani</cp:lastModifiedBy>
  <cp:revision>1</cp:revision>
  <dcterms:created xsi:type="dcterms:W3CDTF">2018-04-19T17:28:00Z</dcterms:created>
  <dcterms:modified xsi:type="dcterms:W3CDTF">2018-04-19T17:29:00Z</dcterms:modified>
</cp:coreProperties>
</file>