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63769" w14:textId="6F15C6D3" w:rsidR="00313C34" w:rsidRDefault="00313C34" w:rsidP="00313C34">
      <w:pPr>
        <w:spacing w:after="0" w:line="48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Supplementary Figure Legends</w:t>
      </w:r>
    </w:p>
    <w:p w14:paraId="3179886F" w14:textId="77777777" w:rsidR="00313C34" w:rsidRDefault="00313C34" w:rsidP="00313C34">
      <w:pPr>
        <w:spacing w:after="0" w:line="48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75687BDA" w14:textId="03CFDBCB" w:rsidR="00313C34" w:rsidRPr="007F00BE" w:rsidRDefault="00313C34" w:rsidP="00313C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75D1">
        <w:rPr>
          <w:rFonts w:ascii="Times New Roman" w:hAnsi="Times New Roman" w:cs="Times New Roman"/>
          <w:b/>
          <w:color w:val="231F20"/>
          <w:sz w:val="24"/>
          <w:szCs w:val="24"/>
        </w:rPr>
        <w:t>Fig. S1.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Externalisation of phosphatidylserine, but not mitochondrial depolarisation or MOMP, occurs in a caspase-dependent manner. </w:t>
      </w:r>
      <w:r w:rsidRPr="00AD7B68">
        <w:rPr>
          <w:rFonts w:ascii="Times New Roman" w:hAnsi="Times New Roman" w:cs="Times New Roman"/>
          <w:sz w:val="24"/>
          <w:szCs w:val="24"/>
        </w:rPr>
        <w:t xml:space="preserve"> </w:t>
      </w:r>
      <w:r w:rsidRPr="00AD7B68">
        <w:rPr>
          <w:rFonts w:ascii="Times New Roman" w:hAnsi="Times New Roman" w:cs="Times New Roman"/>
          <w:color w:val="000000" w:themeColor="text1"/>
          <w:sz w:val="24"/>
          <w:szCs w:val="24"/>
        </w:rPr>
        <w:t>MAVER-1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7B68">
        <w:rPr>
          <w:rFonts w:ascii="Times New Roman" w:hAnsi="Times New Roman" w:cs="Times New Roman"/>
          <w:color w:val="000000" w:themeColor="text1"/>
          <w:sz w:val="24"/>
          <w:szCs w:val="24"/>
        </w:rPr>
        <w:t>K562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7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H929 and H1299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</w:t>
      </w:r>
      <w:r w:rsidRPr="00AD7B68">
        <w:rPr>
          <w:rFonts w:ascii="Times New Roman" w:hAnsi="Times New Roman" w:cs="Times New Roman"/>
          <w:color w:val="000000" w:themeColor="text1"/>
          <w:sz w:val="24"/>
          <w:szCs w:val="24"/>
        </w:rPr>
        <w:t>were exposed to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D7B68">
        <w:rPr>
          <w:rFonts w:ascii="Times New Roman" w:hAnsi="Times New Roman" w:cs="Times New Roman"/>
          <w:color w:val="000000" w:themeColor="text1"/>
          <w:sz w:val="24"/>
          <w:szCs w:val="24"/>
        </w:rPr>
        <w:t>VAD.fmk (30 µM) for 0.5 h, followed by ABT-199 (100 nM), A-1331852 (100 nM), A-1210477 (10 µM) or a combination of A-1331852 (100 nM) and A-1210477 (10 µM), respectively for 4 h and assessed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extent of phosphatidylserine (PS) externalisation, loss in mitochondrial membrane potential and cytochrome </w:t>
      </w:r>
      <w:r w:rsidRPr="008275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release. Graphs for cytochrome </w:t>
      </w:r>
      <w:r w:rsidRPr="008275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release</w:t>
      </w:r>
      <w:r w:rsidRPr="00AD7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were plotted </w:t>
      </w:r>
      <w:r w:rsidRPr="00AD7B68">
        <w:rPr>
          <w:rFonts w:ascii="Times New Roman" w:hAnsi="Times New Roman" w:cs="Times New Roman"/>
          <w:bCs/>
          <w:sz w:val="24"/>
          <w:szCs w:val="24"/>
        </w:rPr>
        <w:t>by counting at least 100 cells from three independent experiments.</w:t>
      </w:r>
      <w:r>
        <w:rPr>
          <w:rFonts w:ascii="Times New Roman" w:hAnsi="Times New Roman" w:cs="Times New Roman"/>
          <w:bCs/>
          <w:sz w:val="24"/>
          <w:szCs w:val="24"/>
        </w:rPr>
        <w:t xml:space="preserve"> Error bars = Mean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B1"/>
      </w:r>
      <w:r>
        <w:rPr>
          <w:rFonts w:ascii="Times New Roman" w:hAnsi="Times New Roman" w:cs="Times New Roman"/>
          <w:bCs/>
          <w:sz w:val="24"/>
          <w:szCs w:val="24"/>
        </w:rPr>
        <w:t xml:space="preserve"> SEM. </w:t>
      </w:r>
      <w:r w:rsidRPr="00AD7B68">
        <w:rPr>
          <w:rFonts w:ascii="Times New Roman" w:hAnsi="Times New Roman" w:cs="Times New Roman"/>
          <w:color w:val="231F20"/>
          <w:sz w:val="24"/>
          <w:szCs w:val="24"/>
        </w:rPr>
        <w:t xml:space="preserve">Statistical analysis was conducted by one-way </w:t>
      </w:r>
      <w:bookmarkStart w:id="0" w:name="_GoBack"/>
      <w:bookmarkEnd w:id="0"/>
      <w:r w:rsidRPr="007F00BE">
        <w:rPr>
          <w:rFonts w:ascii="Times New Roman" w:hAnsi="Times New Roman" w:cs="Times New Roman"/>
          <w:color w:val="231F20"/>
          <w:sz w:val="24"/>
          <w:szCs w:val="24"/>
        </w:rPr>
        <w:t>ANOVA (</w:t>
      </w:r>
      <w:r w:rsidRPr="007F00BE">
        <w:rPr>
          <w:rFonts w:ascii="Times New Roman" w:hAnsi="Times New Roman" w:cs="Times New Roman"/>
          <w:sz w:val="24"/>
          <w:szCs w:val="24"/>
        </w:rPr>
        <w:t xml:space="preserve">* </w:t>
      </w:r>
      <w:r w:rsidRPr="007F00BE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7F00BE">
        <w:rPr>
          <w:rFonts w:ascii="Times New Roman" w:hAnsi="Times New Roman" w:cs="Times New Roman"/>
          <w:sz w:val="24"/>
          <w:szCs w:val="24"/>
        </w:rPr>
        <w:t xml:space="preserve">≤ 0.05, ** </w:t>
      </w:r>
      <w:r w:rsidRPr="007F00BE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7F00BE">
        <w:rPr>
          <w:rFonts w:ascii="Times New Roman" w:hAnsi="Times New Roman" w:cs="Times New Roman"/>
          <w:sz w:val="24"/>
          <w:szCs w:val="24"/>
        </w:rPr>
        <w:t xml:space="preserve">≤ 0.005 and *** </w:t>
      </w:r>
      <w:r w:rsidRPr="007F00BE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7F00BE">
        <w:rPr>
          <w:rFonts w:ascii="Times New Roman" w:hAnsi="Times New Roman" w:cs="Times New Roman"/>
          <w:sz w:val="24"/>
          <w:szCs w:val="24"/>
        </w:rPr>
        <w:t>≤ 0.001).</w:t>
      </w:r>
    </w:p>
    <w:p w14:paraId="582FB3B1" w14:textId="390D68F0" w:rsidR="00BD5DD5" w:rsidRPr="007F00BE" w:rsidRDefault="00BD5DD5" w:rsidP="00313C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B95880" w14:textId="4C7F25E2" w:rsidR="00EF7006" w:rsidRPr="007F00BE" w:rsidRDefault="00BD5DD5" w:rsidP="00EF7006">
      <w:pPr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00B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Fig. S2. </w:t>
      </w:r>
      <w:r w:rsidR="001732A6" w:rsidRPr="007F00BE">
        <w:rPr>
          <w:rFonts w:ascii="Times New Roman" w:hAnsi="Times New Roman" w:cs="Times New Roman"/>
          <w:b/>
          <w:bCs/>
          <w:sz w:val="24"/>
          <w:szCs w:val="24"/>
        </w:rPr>
        <w:t xml:space="preserve">Mitochondrial fragmentation is induced by </w:t>
      </w:r>
      <w:r w:rsidR="0046037C" w:rsidRPr="007F00BE">
        <w:rPr>
          <w:rFonts w:ascii="Times New Roman" w:hAnsi="Times New Roman" w:cs="Times New Roman"/>
          <w:b/>
          <w:bCs/>
          <w:sz w:val="24"/>
          <w:szCs w:val="24"/>
        </w:rPr>
        <w:t xml:space="preserve">BH3 mimetic-mediated </w:t>
      </w:r>
      <w:r w:rsidR="001732A6" w:rsidRPr="007F00BE">
        <w:rPr>
          <w:rFonts w:ascii="Times New Roman" w:hAnsi="Times New Roman" w:cs="Times New Roman"/>
          <w:b/>
          <w:bCs/>
          <w:sz w:val="24"/>
          <w:szCs w:val="24"/>
        </w:rPr>
        <w:t>inhibition of MCL-1 and BCL-X</w:t>
      </w:r>
      <w:r w:rsidR="001732A6" w:rsidRPr="007F00B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L</w:t>
      </w:r>
      <w:r w:rsidR="001732A6" w:rsidRPr="007F00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6037C" w:rsidRPr="007F00BE">
        <w:rPr>
          <w:rFonts w:ascii="Times New Roman" w:hAnsi="Times New Roman" w:cs="Times New Roman"/>
          <w:sz w:val="24"/>
          <w:szCs w:val="24"/>
        </w:rPr>
        <w:t xml:space="preserve"> H1299 cells were exposed to </w:t>
      </w:r>
      <w:r w:rsidR="0046037C" w:rsidRPr="007F0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Z-VAD.fmk (30 µM) for 0.5 h, followed by </w:t>
      </w:r>
      <w:r w:rsidR="00EF7006" w:rsidRPr="007F0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A-1331852 (100 nM), A-1210477 (10 µM), a combination of A-1331852 (100 nM) and A-1210477 (10 µM), S63845 (100 nM), or a combination of S63845 (100 nM) and A-1331852 (100 nM), for 4 h and assessed for </w:t>
      </w:r>
      <w:r w:rsidR="00EF7006" w:rsidRPr="007F00BE">
        <w:rPr>
          <w:rFonts w:ascii="Times New Roman" w:hAnsi="Times New Roman" w:cs="Times New Roman"/>
          <w:color w:val="231F20"/>
          <w:sz w:val="24"/>
          <w:szCs w:val="24"/>
        </w:rPr>
        <w:t xml:space="preserve">mitochondrial integrity by immunostaining with HSP70 antibody. The extent of mitochondrial fragmentation was quantified by analysing ~100 cells for each condition in three independent experiments. </w:t>
      </w:r>
      <w:r w:rsidR="00EF7006" w:rsidRPr="007F00BE">
        <w:rPr>
          <w:rFonts w:ascii="Times New Roman" w:hAnsi="Times New Roman" w:cs="Times New Roman"/>
          <w:bCs/>
          <w:sz w:val="24"/>
          <w:szCs w:val="24"/>
        </w:rPr>
        <w:t xml:space="preserve">Error bars = Mean </w:t>
      </w:r>
      <w:r w:rsidR="00EF7006" w:rsidRPr="007F00BE">
        <w:rPr>
          <w:rFonts w:ascii="Times New Roman" w:hAnsi="Times New Roman" w:cs="Times New Roman"/>
          <w:bCs/>
          <w:sz w:val="24"/>
          <w:szCs w:val="24"/>
        </w:rPr>
        <w:sym w:font="Symbol" w:char="F0B1"/>
      </w:r>
      <w:r w:rsidR="00EF7006" w:rsidRPr="007F00BE">
        <w:rPr>
          <w:rFonts w:ascii="Times New Roman" w:hAnsi="Times New Roman" w:cs="Times New Roman"/>
          <w:bCs/>
          <w:sz w:val="24"/>
          <w:szCs w:val="24"/>
        </w:rPr>
        <w:t xml:space="preserve"> SEM. </w:t>
      </w:r>
      <w:r w:rsidR="00EF7006" w:rsidRPr="007F00BE">
        <w:rPr>
          <w:rFonts w:ascii="Times New Roman" w:hAnsi="Times New Roman" w:cs="Times New Roman"/>
          <w:color w:val="231F20"/>
          <w:sz w:val="24"/>
          <w:szCs w:val="24"/>
        </w:rPr>
        <w:t>Statistical analysis was conducted by one-way ANOVA (***</w:t>
      </w:r>
      <w:r w:rsidR="00EF7006" w:rsidRPr="007F00BE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="00EF7006" w:rsidRPr="007F00BE">
        <w:rPr>
          <w:rFonts w:ascii="Times New Roman" w:hAnsi="Times New Roman" w:cs="Times New Roman"/>
          <w:color w:val="231F20"/>
          <w:sz w:val="24"/>
          <w:szCs w:val="24"/>
        </w:rPr>
        <w:t>≤0.001).</w:t>
      </w:r>
    </w:p>
    <w:p w14:paraId="44DD2126" w14:textId="724D84AB" w:rsidR="00EF7006" w:rsidRPr="007F00BE" w:rsidRDefault="00EF7006" w:rsidP="00EF7006">
      <w:pPr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58541FAE" w14:textId="5D82C4FE" w:rsidR="00EF7006" w:rsidRPr="00AD7B68" w:rsidRDefault="00EF7006" w:rsidP="00EF7006">
      <w:pPr>
        <w:spacing w:after="0"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00BE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Fig S3. </w:t>
      </w:r>
      <w:r w:rsidR="00C77890" w:rsidRPr="007F00B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BH3 mimetic-mediated </w:t>
      </w:r>
      <w:r w:rsidR="00C77890" w:rsidRPr="007F00BE">
        <w:rPr>
          <w:rFonts w:ascii="Times New Roman" w:hAnsi="Times New Roman" w:cs="Times New Roman"/>
          <w:b/>
          <w:bCs/>
          <w:color w:val="231F20"/>
          <w:sz w:val="24"/>
          <w:szCs w:val="24"/>
        </w:rPr>
        <w:t>m</w:t>
      </w:r>
      <w:r w:rsidRPr="007F00BE">
        <w:rPr>
          <w:rFonts w:ascii="Times New Roman" w:hAnsi="Times New Roman" w:cs="Times New Roman"/>
          <w:b/>
          <w:bCs/>
          <w:color w:val="231F20"/>
          <w:sz w:val="24"/>
          <w:szCs w:val="24"/>
        </w:rPr>
        <w:t>itochondrial</w:t>
      </w:r>
      <w:r w:rsidRPr="007F00B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f</w:t>
      </w:r>
      <w:r w:rsidR="00C77890" w:rsidRPr="007F00BE">
        <w:rPr>
          <w:rFonts w:ascii="Times New Roman" w:hAnsi="Times New Roman" w:cs="Times New Roman"/>
          <w:b/>
          <w:color w:val="231F20"/>
          <w:sz w:val="24"/>
          <w:szCs w:val="24"/>
        </w:rPr>
        <w:t>ragmentat</w:t>
      </w:r>
      <w:r w:rsidRPr="007F00BE">
        <w:rPr>
          <w:rFonts w:ascii="Times New Roman" w:hAnsi="Times New Roman" w:cs="Times New Roman"/>
          <w:b/>
          <w:color w:val="231F20"/>
          <w:sz w:val="24"/>
          <w:szCs w:val="24"/>
        </w:rPr>
        <w:t>ion</w:t>
      </w:r>
      <w:r w:rsidR="00C77890" w:rsidRPr="007F00B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but not mitochondrial swelling</w:t>
      </w:r>
      <w:r w:rsidRPr="007F00B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C77890" w:rsidRPr="007F00BE">
        <w:rPr>
          <w:rFonts w:ascii="Times New Roman" w:hAnsi="Times New Roman" w:cs="Times New Roman"/>
          <w:b/>
          <w:color w:val="231F20"/>
          <w:sz w:val="24"/>
          <w:szCs w:val="24"/>
        </w:rPr>
        <w:t>is regulated by</w:t>
      </w:r>
      <w:r w:rsidRPr="007F00BE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DRP-1. 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H1299 cells were transfected with control, MCL-1 or BCL-X</w:t>
      </w:r>
      <w:r w:rsidRPr="007F00BE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L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 xml:space="preserve"> siRNAs, either alone or in combination with DRP-1 siRNA for 72 h, then exposed to </w:t>
      </w:r>
      <w:r w:rsidRPr="007F00BE">
        <w:rPr>
          <w:rFonts w:ascii="Times New Roman" w:hAnsi="Times New Roman" w:cs="Times New Roman"/>
          <w:bCs/>
          <w:sz w:val="24"/>
          <w:szCs w:val="24"/>
        </w:rPr>
        <w:t xml:space="preserve">Z-VAD.fmk (30 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µ</w:t>
      </w:r>
      <w:r w:rsidRPr="007F00BE">
        <w:rPr>
          <w:rFonts w:ascii="Times New Roman" w:hAnsi="Times New Roman" w:cs="Times New Roman"/>
          <w:bCs/>
          <w:sz w:val="24"/>
          <w:szCs w:val="24"/>
        </w:rPr>
        <w:t>M) for 0.5 h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 xml:space="preserve">, followed by A-1210477 (10 µM) and/or A-1331852 (100 nM) 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lastRenderedPageBreak/>
        <w:t>for 4 h and assessed for mitochondrial integrity by immunostaining with HSP70 antibody.</w:t>
      </w:r>
      <w:r w:rsidRPr="007F00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The extent of mitochondrial fragmentation was quantified by analysing ~100 cells for each condition in three independent experiments</w:t>
      </w:r>
      <w:r w:rsidR="00807EC5" w:rsidRPr="007F00BE">
        <w:rPr>
          <w:rFonts w:ascii="Times New Roman" w:hAnsi="Times New Roman" w:cs="Times New Roman"/>
          <w:color w:val="231F20"/>
          <w:sz w:val="24"/>
          <w:szCs w:val="24"/>
        </w:rPr>
        <w:t xml:space="preserve"> and t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he p</w:t>
      </w:r>
      <w:r w:rsidR="00807EC5" w:rsidRPr="007F00BE">
        <w:rPr>
          <w:rFonts w:ascii="Times New Roman" w:hAnsi="Times New Roman" w:cs="Times New Roman"/>
          <w:color w:val="231F20"/>
          <w:sz w:val="24"/>
          <w:szCs w:val="24"/>
        </w:rPr>
        <w:t>ercentage of different mitochondrial phenotypes, filamentous, fragmented or swollen was calculated.</w:t>
      </w:r>
      <w:r w:rsidRPr="007F00BE">
        <w:rPr>
          <w:rFonts w:ascii="Times New Roman" w:hAnsi="Times New Roman" w:cs="Times New Roman"/>
          <w:bCs/>
          <w:sz w:val="24"/>
          <w:szCs w:val="24"/>
        </w:rPr>
        <w:t xml:space="preserve"> Error bars = Mean </w:t>
      </w:r>
      <w:r w:rsidRPr="007F00BE">
        <w:rPr>
          <w:rFonts w:ascii="Times New Roman" w:hAnsi="Times New Roman" w:cs="Times New Roman"/>
          <w:bCs/>
          <w:sz w:val="24"/>
          <w:szCs w:val="24"/>
        </w:rPr>
        <w:sym w:font="Symbol" w:char="F0B1"/>
      </w:r>
      <w:r w:rsidRPr="007F00BE">
        <w:rPr>
          <w:rFonts w:ascii="Times New Roman" w:hAnsi="Times New Roman" w:cs="Times New Roman"/>
          <w:bCs/>
          <w:sz w:val="24"/>
          <w:szCs w:val="24"/>
        </w:rPr>
        <w:t xml:space="preserve"> SEM. 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Statistical analysis was conducted by one-way ANOVA (***</w:t>
      </w:r>
      <w:r w:rsidRPr="007F00BE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Pr="007F00BE">
        <w:rPr>
          <w:rFonts w:ascii="Times New Roman" w:hAnsi="Times New Roman" w:cs="Times New Roman"/>
          <w:color w:val="231F20"/>
          <w:sz w:val="24"/>
          <w:szCs w:val="24"/>
        </w:rPr>
        <w:t>≤0.001).</w:t>
      </w:r>
    </w:p>
    <w:p w14:paraId="78BF29F4" w14:textId="652F0809" w:rsidR="00EF7006" w:rsidRPr="00EF7006" w:rsidRDefault="00EF7006" w:rsidP="00313C3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1E3719" w14:textId="77777777" w:rsidR="009B1AD1" w:rsidRPr="001732A6" w:rsidRDefault="007F00BE"/>
    <w:sectPr w:rsidR="009B1AD1" w:rsidRPr="001732A6" w:rsidSect="003B7C5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34"/>
    <w:rsid w:val="00093DD7"/>
    <w:rsid w:val="000970B1"/>
    <w:rsid w:val="000C706B"/>
    <w:rsid w:val="00114D86"/>
    <w:rsid w:val="001732A6"/>
    <w:rsid w:val="001A08BF"/>
    <w:rsid w:val="001A58A2"/>
    <w:rsid w:val="001D12DF"/>
    <w:rsid w:val="00313C34"/>
    <w:rsid w:val="00367396"/>
    <w:rsid w:val="003B7C5E"/>
    <w:rsid w:val="003E3105"/>
    <w:rsid w:val="0046037C"/>
    <w:rsid w:val="00570177"/>
    <w:rsid w:val="0062069D"/>
    <w:rsid w:val="0071219D"/>
    <w:rsid w:val="007F00BE"/>
    <w:rsid w:val="00807EC5"/>
    <w:rsid w:val="00816276"/>
    <w:rsid w:val="00835BEC"/>
    <w:rsid w:val="0086129A"/>
    <w:rsid w:val="008C2990"/>
    <w:rsid w:val="008E2F91"/>
    <w:rsid w:val="00B61914"/>
    <w:rsid w:val="00BD5DD5"/>
    <w:rsid w:val="00C77890"/>
    <w:rsid w:val="00D70058"/>
    <w:rsid w:val="00E41B00"/>
    <w:rsid w:val="00EF7006"/>
    <w:rsid w:val="00F349F9"/>
    <w:rsid w:val="00F41BBD"/>
    <w:rsid w:val="00F4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B89A"/>
  <w14:defaultImageDpi w14:val="32767"/>
  <w15:docId w15:val="{65ABBE40-1B1D-5448-8606-C9BB985C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34"/>
    <w:pPr>
      <w:spacing w:after="200" w:line="276" w:lineRule="auto"/>
    </w:pPr>
    <w:rPr>
      <w:rFonts w:eastAsiaTheme="minorEastAsi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Varadarajan, Shankar</dc:creator>
  <cp:keywords/>
  <dc:description/>
  <cp:lastModifiedBy>Varadarajan, Shankar</cp:lastModifiedBy>
  <cp:revision>4</cp:revision>
  <dcterms:created xsi:type="dcterms:W3CDTF">2019-04-13T23:30:00Z</dcterms:created>
  <dcterms:modified xsi:type="dcterms:W3CDTF">2019-06-17T17:01:00Z</dcterms:modified>
</cp:coreProperties>
</file>