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9A2" w:rsidRPr="009D269B" w:rsidRDefault="00C31F65" w:rsidP="00CC2A22">
      <w:pPr>
        <w:jc w:val="both"/>
        <w:rPr>
          <w:rFonts w:asciiTheme="majorBidi" w:hAnsiTheme="majorBidi" w:cstheme="majorBidi"/>
          <w:b/>
          <w:bCs/>
          <w:sz w:val="24"/>
          <w:szCs w:val="24"/>
        </w:rPr>
      </w:pPr>
      <w:r w:rsidRPr="009D269B">
        <w:rPr>
          <w:rFonts w:asciiTheme="majorBidi" w:hAnsiTheme="majorBidi" w:cstheme="majorBidi"/>
          <w:b/>
          <w:bCs/>
          <w:sz w:val="24"/>
          <w:szCs w:val="24"/>
        </w:rPr>
        <w:t>Supplementary figure and table legends:</w:t>
      </w:r>
    </w:p>
    <w:p w:rsidR="00C31F65" w:rsidRPr="009D269B" w:rsidRDefault="00C31F65" w:rsidP="00CC2A22">
      <w:pPr>
        <w:jc w:val="both"/>
        <w:rPr>
          <w:rFonts w:asciiTheme="majorBidi" w:hAnsiTheme="majorBidi" w:cstheme="majorBidi"/>
          <w:b/>
          <w:bCs/>
          <w:sz w:val="24"/>
          <w:szCs w:val="24"/>
        </w:rPr>
      </w:pPr>
    </w:p>
    <w:p w:rsidR="00F46C05" w:rsidRDefault="00F46C05" w:rsidP="00F46C05">
      <w:pPr>
        <w:rPr>
          <w:rFonts w:asciiTheme="majorBidi" w:hAnsiTheme="majorBidi" w:cstheme="majorBidi"/>
          <w:sz w:val="24"/>
          <w:szCs w:val="24"/>
        </w:rPr>
      </w:pPr>
      <w:r w:rsidRPr="009D269B">
        <w:rPr>
          <w:rFonts w:asciiTheme="majorBidi" w:hAnsiTheme="majorBidi" w:cstheme="majorBidi"/>
          <w:b/>
          <w:bCs/>
          <w:sz w:val="24"/>
          <w:szCs w:val="24"/>
        </w:rPr>
        <w:t xml:space="preserve">Supplementary figure </w:t>
      </w:r>
      <w:r>
        <w:rPr>
          <w:rFonts w:asciiTheme="majorBidi" w:hAnsiTheme="majorBidi" w:cstheme="majorBidi"/>
          <w:b/>
          <w:bCs/>
          <w:sz w:val="24"/>
          <w:szCs w:val="24"/>
        </w:rPr>
        <w:t>1</w:t>
      </w:r>
      <w:r w:rsidRPr="009D269B">
        <w:rPr>
          <w:rFonts w:asciiTheme="majorBidi" w:hAnsiTheme="majorBidi" w:cstheme="majorBidi"/>
          <w:b/>
          <w:bCs/>
          <w:sz w:val="24"/>
          <w:szCs w:val="24"/>
        </w:rPr>
        <w:t xml:space="preserve">. </w:t>
      </w:r>
      <w:r w:rsidRPr="009D269B">
        <w:rPr>
          <w:rFonts w:asciiTheme="majorBidi" w:hAnsiTheme="majorBidi" w:cstheme="majorBidi"/>
          <w:sz w:val="24"/>
          <w:szCs w:val="24"/>
        </w:rPr>
        <w:t>MiR-3148</w:t>
      </w:r>
      <w:r w:rsidRPr="009D269B">
        <w:rPr>
          <w:rFonts w:asciiTheme="majorBidi" w:hAnsiTheme="majorBidi" w:cstheme="majorBidi"/>
          <w:sz w:val="24"/>
          <w:szCs w:val="24"/>
        </w:rPr>
        <w:t xml:space="preserve"> expression on day7 and day 13 of </w:t>
      </w:r>
      <w:proofErr w:type="spellStart"/>
      <w:r w:rsidRPr="009D269B">
        <w:rPr>
          <w:rFonts w:asciiTheme="majorBidi" w:hAnsiTheme="majorBidi" w:cstheme="majorBidi"/>
          <w:sz w:val="24"/>
          <w:szCs w:val="24"/>
        </w:rPr>
        <w:t>hMSC</w:t>
      </w:r>
      <w:proofErr w:type="spellEnd"/>
      <w:r w:rsidRPr="009D269B">
        <w:rPr>
          <w:rFonts w:asciiTheme="majorBidi" w:hAnsiTheme="majorBidi" w:cstheme="majorBidi"/>
          <w:sz w:val="24"/>
          <w:szCs w:val="24"/>
        </w:rPr>
        <w:t xml:space="preserve"> differentiation into osteoblast using microarray analysis.</w:t>
      </w:r>
    </w:p>
    <w:p w:rsidR="00981711" w:rsidRPr="009D269B" w:rsidRDefault="00981711" w:rsidP="00981711">
      <w:pPr>
        <w:jc w:val="both"/>
        <w:rPr>
          <w:rFonts w:asciiTheme="majorBidi" w:hAnsiTheme="majorBidi" w:cstheme="majorBidi"/>
          <w:sz w:val="24"/>
          <w:szCs w:val="24"/>
        </w:rPr>
      </w:pPr>
      <w:r w:rsidRPr="009D269B">
        <w:rPr>
          <w:rFonts w:asciiTheme="majorBidi" w:hAnsiTheme="majorBidi" w:cstheme="majorBidi"/>
          <w:b/>
          <w:bCs/>
          <w:sz w:val="24"/>
          <w:szCs w:val="24"/>
        </w:rPr>
        <w:t xml:space="preserve">Supplementary figure </w:t>
      </w:r>
      <w:r>
        <w:rPr>
          <w:rFonts w:asciiTheme="majorBidi" w:hAnsiTheme="majorBidi" w:cstheme="majorBidi"/>
          <w:b/>
          <w:bCs/>
          <w:sz w:val="24"/>
          <w:szCs w:val="24"/>
        </w:rPr>
        <w:t>2</w:t>
      </w:r>
      <w:r w:rsidRPr="009D269B">
        <w:rPr>
          <w:rFonts w:asciiTheme="majorBidi" w:hAnsiTheme="majorBidi" w:cstheme="majorBidi"/>
          <w:b/>
          <w:bCs/>
          <w:sz w:val="24"/>
          <w:szCs w:val="24"/>
        </w:rPr>
        <w:t xml:space="preserve">. </w:t>
      </w:r>
      <w:r w:rsidRPr="00981711">
        <w:rPr>
          <w:rFonts w:asciiTheme="majorBidi" w:hAnsiTheme="majorBidi" w:cstheme="majorBidi"/>
          <w:sz w:val="24"/>
          <w:szCs w:val="24"/>
        </w:rPr>
        <w:t>Expression of hsa-miR-3148 in the hMSC-miR-3148 cells.</w:t>
      </w:r>
      <w:r w:rsidRPr="009D269B">
        <w:rPr>
          <w:rFonts w:asciiTheme="majorBidi" w:hAnsiTheme="majorBidi" w:cstheme="majorBidi"/>
          <w:b/>
          <w:bCs/>
          <w:sz w:val="24"/>
          <w:szCs w:val="24"/>
        </w:rPr>
        <w:t xml:space="preserve"> </w:t>
      </w:r>
      <w:r w:rsidRPr="009D269B">
        <w:rPr>
          <w:rFonts w:asciiTheme="majorBidi" w:hAnsiTheme="majorBidi" w:cstheme="majorBidi"/>
          <w:sz w:val="24"/>
          <w:szCs w:val="24"/>
        </w:rPr>
        <w:t xml:space="preserve"> </w:t>
      </w:r>
      <w:proofErr w:type="spellStart"/>
      <w:proofErr w:type="gramStart"/>
      <w:r w:rsidRPr="009D269B">
        <w:rPr>
          <w:rFonts w:asciiTheme="majorBidi" w:hAnsiTheme="majorBidi" w:cstheme="majorBidi"/>
          <w:color w:val="000000"/>
          <w:sz w:val="24"/>
          <w:szCs w:val="24"/>
        </w:rPr>
        <w:t>qRT</w:t>
      </w:r>
      <w:proofErr w:type="spellEnd"/>
      <w:r w:rsidRPr="009D269B">
        <w:rPr>
          <w:rFonts w:asciiTheme="majorBidi" w:hAnsiTheme="majorBidi" w:cstheme="majorBidi"/>
          <w:color w:val="000000"/>
          <w:sz w:val="24"/>
          <w:szCs w:val="24"/>
        </w:rPr>
        <w:t>-PCR</w:t>
      </w:r>
      <w:proofErr w:type="gramEnd"/>
      <w:r w:rsidRPr="009D269B">
        <w:rPr>
          <w:rFonts w:asciiTheme="majorBidi" w:hAnsiTheme="majorBidi" w:cstheme="majorBidi"/>
          <w:color w:val="000000"/>
          <w:sz w:val="24"/>
          <w:szCs w:val="24"/>
        </w:rPr>
        <w:t xml:space="preserve"> quantification of hsa-miR-3148 expression in </w:t>
      </w:r>
      <w:r w:rsidRPr="009D269B">
        <w:rPr>
          <w:rFonts w:asciiTheme="majorBidi" w:hAnsiTheme="majorBidi" w:cstheme="majorBidi"/>
          <w:sz w:val="24"/>
          <w:szCs w:val="24"/>
        </w:rPr>
        <w:t xml:space="preserve">hMSC-miR-3148 </w:t>
      </w:r>
      <w:r w:rsidRPr="009D269B">
        <w:rPr>
          <w:rFonts w:asciiTheme="majorBidi" w:hAnsiTheme="majorBidi" w:cstheme="majorBidi"/>
          <w:color w:val="000000"/>
          <w:sz w:val="24"/>
          <w:szCs w:val="24"/>
        </w:rPr>
        <w:t xml:space="preserve">cells compared to </w:t>
      </w:r>
      <w:proofErr w:type="spellStart"/>
      <w:r w:rsidRPr="009D269B">
        <w:rPr>
          <w:rFonts w:asciiTheme="majorBidi" w:hAnsiTheme="majorBidi" w:cstheme="majorBidi"/>
          <w:color w:val="000000"/>
          <w:sz w:val="24"/>
          <w:szCs w:val="24"/>
        </w:rPr>
        <w:t>hMSC</w:t>
      </w:r>
      <w:proofErr w:type="spellEnd"/>
      <w:r w:rsidRPr="009D269B">
        <w:rPr>
          <w:rFonts w:asciiTheme="majorBidi" w:hAnsiTheme="majorBidi" w:cstheme="majorBidi"/>
          <w:color w:val="000000"/>
          <w:sz w:val="24"/>
          <w:szCs w:val="24"/>
        </w:rPr>
        <w:t>-mcherry control cells. Data are representative of three experiments and are presented as mean ± S.E.M., n = 3. SNORD95 was used as endogenous control.</w:t>
      </w:r>
    </w:p>
    <w:p w:rsidR="00675389" w:rsidRPr="009D269B" w:rsidRDefault="00675389" w:rsidP="00675389">
      <w:pPr>
        <w:jc w:val="both"/>
        <w:rPr>
          <w:rFonts w:asciiTheme="majorBidi" w:hAnsiTheme="majorBidi" w:cstheme="majorBidi"/>
          <w:bCs/>
          <w:color w:val="000000"/>
          <w:sz w:val="24"/>
          <w:szCs w:val="24"/>
        </w:rPr>
      </w:pPr>
      <w:r w:rsidRPr="009D269B">
        <w:rPr>
          <w:rFonts w:asciiTheme="majorBidi" w:eastAsia="Times New Roman" w:hAnsiTheme="majorBidi" w:cstheme="majorBidi"/>
          <w:b/>
          <w:bCs/>
          <w:sz w:val="24"/>
          <w:szCs w:val="24"/>
        </w:rPr>
        <w:t xml:space="preserve">Supplementary figure </w:t>
      </w:r>
      <w:r>
        <w:rPr>
          <w:rFonts w:asciiTheme="majorBidi" w:eastAsia="Times New Roman" w:hAnsiTheme="majorBidi" w:cstheme="majorBidi"/>
          <w:b/>
          <w:bCs/>
          <w:sz w:val="24"/>
          <w:szCs w:val="24"/>
        </w:rPr>
        <w:t>3</w:t>
      </w:r>
      <w:r w:rsidRPr="009D269B">
        <w:rPr>
          <w:rFonts w:asciiTheme="majorBidi" w:eastAsia="Times New Roman" w:hAnsiTheme="majorBidi" w:cstheme="majorBidi"/>
          <w:b/>
          <w:bCs/>
          <w:sz w:val="24"/>
          <w:szCs w:val="24"/>
        </w:rPr>
        <w:t xml:space="preserve">. </w:t>
      </w:r>
      <w:r w:rsidRPr="009D269B">
        <w:rPr>
          <w:rFonts w:asciiTheme="majorBidi" w:hAnsiTheme="majorBidi" w:cstheme="majorBidi"/>
          <w:b/>
          <w:bCs/>
          <w:sz w:val="24"/>
          <w:szCs w:val="24"/>
        </w:rPr>
        <w:t>(a)</w:t>
      </w:r>
      <w:r w:rsidRPr="009D269B">
        <w:rPr>
          <w:rFonts w:asciiTheme="majorBidi" w:hAnsiTheme="majorBidi" w:cstheme="majorBidi"/>
          <w:sz w:val="24"/>
          <w:szCs w:val="24"/>
        </w:rPr>
        <w:t xml:space="preserve"> </w:t>
      </w:r>
      <w:r w:rsidRPr="009D269B">
        <w:rPr>
          <w:rFonts w:asciiTheme="majorBidi" w:hAnsiTheme="majorBidi" w:cstheme="majorBidi"/>
          <w:color w:val="000000"/>
          <w:sz w:val="24"/>
          <w:szCs w:val="24"/>
        </w:rPr>
        <w:t xml:space="preserve">Disease and function heat map based on IPA depicting most affected functional and disease categories according to the </w:t>
      </w:r>
      <w:proofErr w:type="spellStart"/>
      <w:r w:rsidRPr="009D269B">
        <w:rPr>
          <w:rFonts w:asciiTheme="majorBidi" w:hAnsiTheme="majorBidi" w:cstheme="majorBidi"/>
          <w:color w:val="000000"/>
          <w:sz w:val="24"/>
          <w:szCs w:val="24"/>
        </w:rPr>
        <w:t>colour</w:t>
      </w:r>
      <w:proofErr w:type="spellEnd"/>
      <w:r w:rsidRPr="009D269B">
        <w:rPr>
          <w:rFonts w:asciiTheme="majorBidi" w:hAnsiTheme="majorBidi" w:cstheme="majorBidi"/>
          <w:color w:val="000000"/>
          <w:sz w:val="24"/>
          <w:szCs w:val="24"/>
        </w:rPr>
        <w:t xml:space="preserve"> scale. Illustration of cellular movement </w:t>
      </w:r>
      <w:r w:rsidRPr="009D269B">
        <w:rPr>
          <w:rFonts w:asciiTheme="majorBidi" w:hAnsiTheme="majorBidi" w:cstheme="majorBidi"/>
          <w:b/>
          <w:bCs/>
          <w:color w:val="000000"/>
          <w:sz w:val="24"/>
          <w:szCs w:val="24"/>
        </w:rPr>
        <w:t xml:space="preserve">(b) </w:t>
      </w:r>
      <w:r w:rsidRPr="009D269B">
        <w:rPr>
          <w:rFonts w:asciiTheme="majorBidi" w:hAnsiTheme="majorBidi" w:cstheme="majorBidi"/>
          <w:color w:val="000000"/>
          <w:sz w:val="24"/>
          <w:szCs w:val="24"/>
        </w:rPr>
        <w:t xml:space="preserve">and cell death and survival </w:t>
      </w:r>
      <w:r w:rsidRPr="009D269B">
        <w:rPr>
          <w:rFonts w:asciiTheme="majorBidi" w:hAnsiTheme="majorBidi" w:cstheme="majorBidi"/>
          <w:b/>
          <w:bCs/>
          <w:color w:val="000000"/>
          <w:sz w:val="24"/>
          <w:szCs w:val="24"/>
        </w:rPr>
        <w:t xml:space="preserve">(c) </w:t>
      </w:r>
      <w:r w:rsidRPr="009D269B">
        <w:rPr>
          <w:rFonts w:asciiTheme="majorBidi" w:hAnsiTheme="majorBidi" w:cstheme="majorBidi"/>
          <w:color w:val="000000"/>
          <w:sz w:val="24"/>
          <w:szCs w:val="24"/>
        </w:rPr>
        <w:t xml:space="preserve">functional categories is presented. </w:t>
      </w:r>
      <w:r w:rsidRPr="009D269B">
        <w:rPr>
          <w:rFonts w:asciiTheme="majorBidi" w:hAnsiTheme="majorBidi" w:cstheme="majorBidi"/>
          <w:b/>
          <w:bCs/>
          <w:color w:val="000000"/>
          <w:sz w:val="24"/>
          <w:szCs w:val="24"/>
        </w:rPr>
        <w:t>(d)</w:t>
      </w:r>
      <w:r w:rsidRPr="009D269B">
        <w:rPr>
          <w:rFonts w:asciiTheme="majorBidi" w:hAnsiTheme="majorBidi" w:cstheme="majorBidi"/>
          <w:color w:val="000000"/>
          <w:sz w:val="24"/>
          <w:szCs w:val="24"/>
        </w:rPr>
        <w:t xml:space="preserve"> IPA analysis on the downregulated gene list in hMSC-miR-3148 cells revealed remarkable inhibition of bone and connective tissue differentiation functional category. </w:t>
      </w:r>
      <w:r w:rsidRPr="009D269B">
        <w:rPr>
          <w:rFonts w:asciiTheme="majorBidi" w:hAnsiTheme="majorBidi" w:cstheme="majorBidi"/>
          <w:b/>
          <w:bCs/>
          <w:color w:val="000000"/>
          <w:sz w:val="24"/>
          <w:szCs w:val="24"/>
        </w:rPr>
        <w:t>(e)</w:t>
      </w:r>
      <w:r w:rsidRPr="009D269B">
        <w:rPr>
          <w:rFonts w:asciiTheme="majorBidi" w:hAnsiTheme="majorBidi" w:cstheme="majorBidi"/>
          <w:color w:val="000000"/>
          <w:sz w:val="24"/>
          <w:szCs w:val="24"/>
        </w:rPr>
        <w:t xml:space="preserve"> </w:t>
      </w:r>
      <w:r w:rsidRPr="009D269B">
        <w:rPr>
          <w:rFonts w:asciiTheme="majorBidi" w:hAnsiTheme="majorBidi" w:cstheme="majorBidi"/>
          <w:bCs/>
          <w:color w:val="000000"/>
          <w:sz w:val="24"/>
          <w:szCs w:val="24"/>
        </w:rPr>
        <w:t>Bar graph plot</w:t>
      </w:r>
      <w:r w:rsidRPr="009D269B">
        <w:rPr>
          <w:rFonts w:asciiTheme="majorBidi" w:hAnsiTheme="majorBidi" w:cstheme="majorBidi"/>
          <w:b/>
          <w:color w:val="000000"/>
          <w:sz w:val="24"/>
          <w:szCs w:val="24"/>
        </w:rPr>
        <w:t xml:space="preserve"> </w:t>
      </w:r>
      <w:r w:rsidRPr="009D269B">
        <w:rPr>
          <w:rFonts w:asciiTheme="majorBidi" w:hAnsiTheme="majorBidi" w:cstheme="majorBidi"/>
          <w:bCs/>
          <w:color w:val="000000"/>
          <w:sz w:val="24"/>
          <w:szCs w:val="24"/>
        </w:rPr>
        <w:t>depicting the top 10 activated upstream networks based on differentially expressed genes in hMSC-miR-3148 cells based on IPA analysis.</w:t>
      </w:r>
    </w:p>
    <w:p w:rsidR="00B70A2A" w:rsidRPr="009D269B" w:rsidRDefault="00B70A2A" w:rsidP="00B70A2A">
      <w:pPr>
        <w:jc w:val="both"/>
        <w:rPr>
          <w:rFonts w:asciiTheme="majorBidi" w:hAnsiTheme="majorBidi" w:cstheme="majorBidi"/>
          <w:b/>
          <w:bCs/>
          <w:sz w:val="24"/>
          <w:szCs w:val="24"/>
        </w:rPr>
      </w:pPr>
      <w:r w:rsidRPr="009D269B">
        <w:rPr>
          <w:rFonts w:asciiTheme="majorBidi" w:hAnsiTheme="majorBidi" w:cstheme="majorBidi"/>
          <w:b/>
          <w:bCs/>
          <w:sz w:val="24"/>
          <w:szCs w:val="24"/>
        </w:rPr>
        <w:t xml:space="preserve">Supplementary figure </w:t>
      </w:r>
      <w:r>
        <w:rPr>
          <w:rFonts w:asciiTheme="majorBidi" w:hAnsiTheme="majorBidi" w:cstheme="majorBidi"/>
          <w:b/>
          <w:bCs/>
          <w:sz w:val="24"/>
          <w:szCs w:val="24"/>
        </w:rPr>
        <w:t>4</w:t>
      </w:r>
      <w:r w:rsidRPr="009D269B">
        <w:rPr>
          <w:rFonts w:asciiTheme="majorBidi" w:hAnsiTheme="majorBidi" w:cstheme="majorBidi"/>
          <w:b/>
          <w:bCs/>
          <w:sz w:val="24"/>
          <w:szCs w:val="24"/>
        </w:rPr>
        <w:t>.</w:t>
      </w:r>
      <w:r w:rsidRPr="009D269B">
        <w:rPr>
          <w:rFonts w:asciiTheme="majorBidi" w:eastAsia="Times New Roman" w:hAnsiTheme="majorBidi" w:cstheme="majorBidi"/>
          <w:sz w:val="24"/>
          <w:szCs w:val="24"/>
        </w:rPr>
        <w:t xml:space="preserve"> Coomassie Brilliant Blue 2D-Gel preparative used for ID of significant spot proteins by MALDI-TOF.</w:t>
      </w:r>
    </w:p>
    <w:p w:rsidR="00873D91" w:rsidRPr="009D269B" w:rsidRDefault="00873D91" w:rsidP="00574250">
      <w:pPr>
        <w:rPr>
          <w:rFonts w:asciiTheme="majorBidi" w:hAnsiTheme="majorBidi" w:cstheme="majorBidi"/>
          <w:sz w:val="24"/>
          <w:szCs w:val="24"/>
        </w:rPr>
      </w:pPr>
      <w:bookmarkStart w:id="0" w:name="_GoBack"/>
      <w:bookmarkEnd w:id="0"/>
      <w:r w:rsidRPr="009D269B">
        <w:rPr>
          <w:rFonts w:asciiTheme="majorBidi" w:hAnsiTheme="majorBidi" w:cstheme="majorBidi"/>
          <w:b/>
          <w:bCs/>
          <w:sz w:val="24"/>
          <w:szCs w:val="24"/>
        </w:rPr>
        <w:t xml:space="preserve">Supplementary figure 5. </w:t>
      </w:r>
      <w:r w:rsidRPr="009D269B">
        <w:rPr>
          <w:rFonts w:asciiTheme="majorBidi" w:hAnsiTheme="majorBidi" w:cstheme="majorBidi"/>
          <w:sz w:val="24"/>
          <w:szCs w:val="24"/>
        </w:rPr>
        <w:t>Proliferation of human neonatal skin fibroblasts transduced with hsa-miR-3148 compared to cells transduced with mcherry control lentiviral vector on day3 and day5. Data are presented as mean S.D.</w:t>
      </w:r>
    </w:p>
    <w:p w:rsidR="00873D91" w:rsidRPr="009D269B" w:rsidRDefault="00873D91" w:rsidP="00873D91">
      <w:pPr>
        <w:jc w:val="both"/>
        <w:rPr>
          <w:rFonts w:asciiTheme="majorBidi" w:hAnsiTheme="majorBidi" w:cstheme="majorBidi"/>
          <w:b/>
          <w:bCs/>
          <w:sz w:val="24"/>
          <w:szCs w:val="24"/>
        </w:rPr>
      </w:pPr>
      <w:r w:rsidRPr="009D269B">
        <w:rPr>
          <w:rFonts w:asciiTheme="majorBidi" w:hAnsiTheme="majorBidi" w:cstheme="majorBidi"/>
          <w:b/>
          <w:bCs/>
          <w:sz w:val="24"/>
          <w:szCs w:val="24"/>
        </w:rPr>
        <w:t xml:space="preserve">Supplementary figure 6. Common upregulated and downregulated genes between hMSC-miR-3148 and </w:t>
      </w:r>
      <w:r w:rsidRPr="009D269B">
        <w:rPr>
          <w:rFonts w:asciiTheme="majorBidi" w:hAnsiTheme="majorBidi" w:cstheme="majorBidi"/>
          <w:b/>
          <w:bCs/>
          <w:color w:val="000000"/>
          <w:sz w:val="24"/>
          <w:szCs w:val="24"/>
          <w:shd w:val="clear" w:color="auto" w:fill="FFFFFF"/>
        </w:rPr>
        <w:t>doxorubicin</w:t>
      </w:r>
      <w:r w:rsidRPr="009D269B">
        <w:rPr>
          <w:rFonts w:asciiTheme="majorBidi" w:hAnsiTheme="majorBidi" w:cstheme="majorBidi"/>
          <w:b/>
          <w:bCs/>
          <w:sz w:val="24"/>
          <w:szCs w:val="24"/>
        </w:rPr>
        <w:t xml:space="preserve"> resistance sarcoma from the </w:t>
      </w:r>
      <w:r w:rsidRPr="009D269B">
        <w:rPr>
          <w:rFonts w:asciiTheme="majorBidi" w:hAnsiTheme="majorBidi" w:cstheme="majorBidi"/>
          <w:b/>
          <w:bCs/>
          <w:color w:val="000000"/>
          <w:sz w:val="24"/>
          <w:szCs w:val="24"/>
          <w:shd w:val="clear" w:color="auto" w:fill="FFFFFF"/>
        </w:rPr>
        <w:t>GSE3362 dataset.</w:t>
      </w:r>
      <w:r w:rsidRPr="009D269B">
        <w:rPr>
          <w:rFonts w:asciiTheme="majorBidi" w:hAnsiTheme="majorBidi" w:cstheme="majorBidi"/>
          <w:color w:val="000000"/>
          <w:sz w:val="24"/>
          <w:szCs w:val="24"/>
          <w:shd w:val="clear" w:color="auto" w:fill="FFFFFF"/>
        </w:rPr>
        <w:t xml:space="preserve"> </w:t>
      </w:r>
      <w:r w:rsidRPr="009D269B">
        <w:rPr>
          <w:rFonts w:asciiTheme="majorBidi" w:hAnsiTheme="majorBidi" w:cstheme="majorBidi"/>
          <w:b/>
          <w:bCs/>
          <w:sz w:val="24"/>
          <w:szCs w:val="24"/>
        </w:rPr>
        <w:t xml:space="preserve"> </w:t>
      </w:r>
      <w:r w:rsidRPr="009D269B">
        <w:rPr>
          <w:rFonts w:asciiTheme="majorBidi" w:hAnsiTheme="majorBidi" w:cstheme="majorBidi"/>
          <w:color w:val="000000"/>
          <w:sz w:val="24"/>
          <w:szCs w:val="24"/>
          <w:shd w:val="clear" w:color="auto" w:fill="FFFFFF"/>
        </w:rPr>
        <w:t>Gene expression data from</w:t>
      </w:r>
      <w:r w:rsidRPr="009D269B">
        <w:rPr>
          <w:rFonts w:asciiTheme="majorBidi" w:hAnsiTheme="majorBidi" w:cstheme="majorBidi"/>
          <w:sz w:val="24"/>
          <w:szCs w:val="24"/>
        </w:rPr>
        <w:t xml:space="preserve"> </w:t>
      </w:r>
      <w:r w:rsidRPr="009D269B">
        <w:rPr>
          <w:rFonts w:asciiTheme="majorBidi" w:hAnsiTheme="majorBidi" w:cstheme="majorBidi"/>
          <w:color w:val="000000"/>
          <w:sz w:val="24"/>
          <w:szCs w:val="24"/>
          <w:shd w:val="clear" w:color="auto" w:fill="FFFFFF"/>
        </w:rPr>
        <w:t xml:space="preserve">GSE3362 was retrieved and the upregulated and downregulated genes in doxorubicin-resistant sarcoma were identified and were crossed with the list of differentially expressed genes in miR-3148-hMSC cells. Our data revealed common upregulated (ACADVL, RAG1, CYP51A1, PLAT, ITGA5, LOX, MAP4, MMP1, SCG5, STC1, THBS1, ZNF91, TNFRSF25, DDIT3, SLC16A3, SYNGR2, XRCC3, SEMA3A, POLR3G, TFPI2, KLF2, REEP2, TOR4A, STEAP3, APBB1IP, and SLC25A19) and common downregulated (CYP1B1, GJA1, IGFBP2, GSTM3, CD70, AMPH, LIF, MSX1, OAS2, THBS4, TPD52L1, BHLHE40, RUNX3, FGL1, DHRS3, FGR, SLC7A8, CD24, CELSR1, TCAF1, DACT1, PHF10, FEZ1, and C15orf48) gens. </w:t>
      </w:r>
      <w:r w:rsidRPr="009D269B">
        <w:rPr>
          <w:rFonts w:asciiTheme="majorBidi" w:hAnsiTheme="majorBidi" w:cstheme="majorBidi"/>
          <w:b/>
          <w:bCs/>
          <w:sz w:val="24"/>
          <w:szCs w:val="24"/>
        </w:rPr>
        <w:t xml:space="preserve"> </w:t>
      </w:r>
    </w:p>
    <w:p w:rsidR="00873D91" w:rsidRPr="009D269B" w:rsidRDefault="009D269B" w:rsidP="00873D91">
      <w:pPr>
        <w:rPr>
          <w:rFonts w:asciiTheme="majorBidi" w:hAnsiTheme="majorBidi" w:cstheme="majorBidi"/>
          <w:sz w:val="24"/>
          <w:szCs w:val="24"/>
        </w:rPr>
      </w:pPr>
      <w:r w:rsidRPr="009D269B">
        <w:rPr>
          <w:rFonts w:asciiTheme="majorBidi" w:hAnsiTheme="majorBidi" w:cstheme="majorBidi"/>
          <w:b/>
          <w:bCs/>
          <w:sz w:val="24"/>
          <w:szCs w:val="24"/>
        </w:rPr>
        <w:t>Supplementary table 1</w:t>
      </w:r>
      <w:r w:rsidRPr="009D269B">
        <w:rPr>
          <w:rFonts w:asciiTheme="majorBidi" w:hAnsiTheme="majorBidi" w:cstheme="majorBidi"/>
          <w:sz w:val="24"/>
          <w:szCs w:val="24"/>
        </w:rPr>
        <w:t xml:space="preserve">.  List of differentially expressed genes (2.0 FC, p &lt;0.05) in hMSC-miR-3148 compared to </w:t>
      </w:r>
      <w:proofErr w:type="spellStart"/>
      <w:r w:rsidRPr="009D269B">
        <w:rPr>
          <w:rFonts w:asciiTheme="majorBidi" w:hAnsiTheme="majorBidi" w:cstheme="majorBidi"/>
          <w:sz w:val="24"/>
          <w:szCs w:val="24"/>
        </w:rPr>
        <w:t>hMSC</w:t>
      </w:r>
      <w:proofErr w:type="spellEnd"/>
      <w:r w:rsidRPr="009D269B">
        <w:rPr>
          <w:rFonts w:asciiTheme="majorBidi" w:hAnsiTheme="majorBidi" w:cstheme="majorBidi"/>
          <w:sz w:val="24"/>
          <w:szCs w:val="24"/>
        </w:rPr>
        <w:t>-mcherry control cells.</w:t>
      </w:r>
    </w:p>
    <w:p w:rsidR="009D269B" w:rsidRPr="009D269B" w:rsidRDefault="009D269B" w:rsidP="00873D91">
      <w:pPr>
        <w:rPr>
          <w:rFonts w:asciiTheme="majorBidi" w:hAnsiTheme="majorBidi" w:cstheme="majorBidi"/>
          <w:b/>
          <w:bCs/>
          <w:sz w:val="24"/>
          <w:szCs w:val="24"/>
        </w:rPr>
      </w:pPr>
      <w:r w:rsidRPr="009D269B">
        <w:rPr>
          <w:rFonts w:asciiTheme="majorBidi" w:eastAsia="Times New Roman" w:hAnsiTheme="majorBidi" w:cstheme="majorBidi"/>
          <w:b/>
          <w:bCs/>
          <w:sz w:val="24"/>
          <w:szCs w:val="24"/>
        </w:rPr>
        <w:t>Supplementary table 2</w:t>
      </w:r>
      <w:r w:rsidRPr="009D269B">
        <w:rPr>
          <w:rFonts w:asciiTheme="majorBidi" w:eastAsia="Times New Roman" w:hAnsiTheme="majorBidi" w:cstheme="majorBidi"/>
          <w:sz w:val="24"/>
          <w:szCs w:val="24"/>
        </w:rPr>
        <w:t xml:space="preserve">. List of significant differentially expressed proteins identified in hMSC-miR-3148 compared to </w:t>
      </w:r>
      <w:proofErr w:type="spellStart"/>
      <w:r w:rsidRPr="009D269B">
        <w:rPr>
          <w:rFonts w:asciiTheme="majorBidi" w:eastAsia="Times New Roman" w:hAnsiTheme="majorBidi" w:cstheme="majorBidi"/>
          <w:sz w:val="24"/>
          <w:szCs w:val="24"/>
        </w:rPr>
        <w:t>hMSC</w:t>
      </w:r>
      <w:proofErr w:type="spellEnd"/>
      <w:r w:rsidRPr="009D269B">
        <w:rPr>
          <w:rFonts w:asciiTheme="majorBidi" w:eastAsia="Times New Roman" w:hAnsiTheme="majorBidi" w:cstheme="majorBidi"/>
          <w:sz w:val="24"/>
          <w:szCs w:val="24"/>
        </w:rPr>
        <w:t>-mcherry cells using 2D-DIGE.</w:t>
      </w:r>
    </w:p>
    <w:p w:rsidR="00873D91" w:rsidRPr="009D269B" w:rsidRDefault="00873D91" w:rsidP="00D86C6C">
      <w:pPr>
        <w:jc w:val="both"/>
        <w:rPr>
          <w:rFonts w:asciiTheme="majorBidi" w:hAnsiTheme="majorBidi" w:cstheme="majorBidi"/>
          <w:sz w:val="24"/>
          <w:szCs w:val="24"/>
        </w:rPr>
      </w:pPr>
    </w:p>
    <w:p w:rsidR="00C31F65" w:rsidRPr="009D269B" w:rsidRDefault="00C31F65" w:rsidP="00C31F65">
      <w:pPr>
        <w:rPr>
          <w:rFonts w:asciiTheme="majorBidi" w:hAnsiTheme="majorBidi" w:cstheme="majorBidi"/>
          <w:b/>
          <w:bCs/>
          <w:sz w:val="24"/>
          <w:szCs w:val="24"/>
        </w:rPr>
      </w:pPr>
    </w:p>
    <w:p w:rsidR="00C31F65" w:rsidRPr="009D269B" w:rsidRDefault="00C31F65">
      <w:pPr>
        <w:rPr>
          <w:rFonts w:asciiTheme="majorBidi" w:hAnsiTheme="majorBidi" w:cstheme="majorBidi"/>
          <w:b/>
          <w:bCs/>
          <w:sz w:val="24"/>
          <w:szCs w:val="24"/>
        </w:rPr>
      </w:pPr>
    </w:p>
    <w:sectPr w:rsidR="00C31F65" w:rsidRPr="009D26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F65"/>
    <w:rsid w:val="00102E37"/>
    <w:rsid w:val="003079A2"/>
    <w:rsid w:val="00470B10"/>
    <w:rsid w:val="00574250"/>
    <w:rsid w:val="00675389"/>
    <w:rsid w:val="00873D91"/>
    <w:rsid w:val="00981711"/>
    <w:rsid w:val="009D269B"/>
    <w:rsid w:val="00AC69E7"/>
    <w:rsid w:val="00B70A2A"/>
    <w:rsid w:val="00C31F65"/>
    <w:rsid w:val="00CC2A22"/>
    <w:rsid w:val="00D86C6C"/>
    <w:rsid w:val="00F46C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EBDDA"/>
  <w15:chartTrackingRefBased/>
  <w15:docId w15:val="{DAD23315-098F-43C4-BA83-84529F95A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Qatar Foundation</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Nehad Alajez</dc:creator>
  <cp:keywords/>
  <dc:description/>
  <cp:lastModifiedBy>Dr. Nehad Alajez</cp:lastModifiedBy>
  <cp:revision>13</cp:revision>
  <dcterms:created xsi:type="dcterms:W3CDTF">2020-06-14T16:04:00Z</dcterms:created>
  <dcterms:modified xsi:type="dcterms:W3CDTF">2020-08-24T09:57:00Z</dcterms:modified>
</cp:coreProperties>
</file>