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D1969C" w14:textId="77777777" w:rsidR="00C6575E" w:rsidRPr="00A524BD" w:rsidRDefault="00A524BD" w:rsidP="00D166FA">
      <w:pPr>
        <w:spacing w:line="360" w:lineRule="auto"/>
        <w:rPr>
          <w:b/>
        </w:rPr>
      </w:pPr>
      <w:r w:rsidRPr="00A524BD">
        <w:rPr>
          <w:b/>
        </w:rPr>
        <w:t>SUPPLEMENTARY INFORMATION</w:t>
      </w:r>
    </w:p>
    <w:p w14:paraId="210791D8" w14:textId="77777777" w:rsidR="00BE37CB" w:rsidRDefault="00BE37CB" w:rsidP="00D166FA">
      <w:pPr>
        <w:spacing w:line="360" w:lineRule="auto"/>
        <w:rPr>
          <w:rFonts w:eastAsia="Times New Roman"/>
          <w:b/>
          <w:color w:val="000000" w:themeColor="text1"/>
          <w:lang w:eastAsia="ar-SA"/>
        </w:rPr>
      </w:pPr>
      <w:r>
        <w:rPr>
          <w:rFonts w:eastAsia="Times New Roman"/>
          <w:b/>
          <w:color w:val="000000" w:themeColor="text1"/>
          <w:lang w:eastAsia="ar-SA"/>
        </w:rPr>
        <w:t>Supplementary figure-1: Validation experiments that confirm the steroidogenic activity, t</w:t>
      </w:r>
      <w:r w:rsidRPr="006F1AB9">
        <w:rPr>
          <w:rFonts w:eastAsia="Times New Roman"/>
          <w:b/>
          <w:color w:val="000000" w:themeColor="text1"/>
          <w:lang w:eastAsia="ar-SA"/>
        </w:rPr>
        <w:t>he presence of activin receptors and their responsiveness to exogenously administered activin-A in human luteal granulosa cells</w:t>
      </w:r>
      <w:r w:rsidRPr="00BE37CB">
        <w:rPr>
          <w:rFonts w:eastAsia="Times New Roman"/>
          <w:b/>
          <w:color w:val="000000" w:themeColor="text1"/>
          <w:lang w:eastAsia="ar-SA"/>
        </w:rPr>
        <w:t xml:space="preserve"> </w:t>
      </w:r>
      <w:r>
        <w:rPr>
          <w:rFonts w:eastAsia="Times New Roman"/>
          <w:b/>
          <w:color w:val="000000" w:themeColor="text1"/>
          <w:lang w:eastAsia="ar-SA"/>
        </w:rPr>
        <w:t>in-vitro</w:t>
      </w:r>
      <w:r w:rsidRPr="006F1AB9">
        <w:rPr>
          <w:rFonts w:eastAsia="Times New Roman"/>
          <w:b/>
          <w:color w:val="000000" w:themeColor="text1"/>
          <w:lang w:eastAsia="ar-SA"/>
        </w:rPr>
        <w:t xml:space="preserve">. </w:t>
      </w:r>
    </w:p>
    <w:p w14:paraId="75E30486" w14:textId="6B06B19A" w:rsidR="00BE37CB" w:rsidRPr="0010064A" w:rsidRDefault="00BE37CB" w:rsidP="00D166FA">
      <w:pPr>
        <w:spacing w:line="360" w:lineRule="auto"/>
        <w:jc w:val="both"/>
        <w:rPr>
          <w:rFonts w:eastAsia="Times New Roman"/>
          <w:bCs/>
          <w:color w:val="000000" w:themeColor="text1"/>
          <w:lang w:eastAsia="ar-SA"/>
        </w:rPr>
      </w:pPr>
      <w:r w:rsidRPr="00BE37CB">
        <w:rPr>
          <w:rFonts w:eastAsia="Times New Roman"/>
          <w:bCs/>
          <w:color w:val="000000" w:themeColor="text1"/>
          <w:lang w:eastAsia="ar-SA"/>
        </w:rPr>
        <w:t xml:space="preserve">The </w:t>
      </w:r>
      <w:r>
        <w:rPr>
          <w:rFonts w:eastAsia="Times New Roman"/>
          <w:bCs/>
          <w:color w:val="000000" w:themeColor="text1"/>
          <w:lang w:eastAsia="ar-SA"/>
        </w:rPr>
        <w:t xml:space="preserve">luteal granulosa </w:t>
      </w:r>
      <w:r w:rsidRPr="00BE37CB">
        <w:rPr>
          <w:rFonts w:eastAsia="Times New Roman"/>
          <w:bCs/>
          <w:color w:val="000000" w:themeColor="text1"/>
          <w:lang w:eastAsia="ar-SA"/>
        </w:rPr>
        <w:t xml:space="preserve">cells </w:t>
      </w:r>
      <w:r>
        <w:rPr>
          <w:rFonts w:eastAsia="Times New Roman"/>
          <w:bCs/>
          <w:color w:val="000000" w:themeColor="text1"/>
          <w:lang w:eastAsia="ar-SA"/>
        </w:rPr>
        <w:t xml:space="preserve">are capable of maintaining their steroidogenic activity even under serum free culture condition. When fetal bovine serum (FBS) was added at 1 and 10% concentrations the steroidogenic activity of the cells increased in parallel with increasing FBS concentration (1A). Note the presence of lipid droplets used for steroidogenic function in the cells stained positive for </w:t>
      </w:r>
      <w:proofErr w:type="spellStart"/>
      <w:r>
        <w:rPr>
          <w:rFonts w:eastAsia="Times New Roman"/>
          <w:bCs/>
          <w:color w:val="000000" w:themeColor="text1"/>
          <w:lang w:eastAsia="ar-SA"/>
        </w:rPr>
        <w:t>OilRedO</w:t>
      </w:r>
      <w:proofErr w:type="spellEnd"/>
      <w:r>
        <w:rPr>
          <w:rFonts w:eastAsia="Times New Roman"/>
          <w:bCs/>
          <w:color w:val="000000" w:themeColor="text1"/>
          <w:lang w:eastAsia="ar-SA"/>
        </w:rPr>
        <w:t xml:space="preserve"> in these cells in light transmission and conventional </w:t>
      </w:r>
      <w:r w:rsidR="0010064A">
        <w:rPr>
          <w:rFonts w:eastAsia="Times New Roman"/>
          <w:bCs/>
          <w:color w:val="000000" w:themeColor="text1"/>
          <w:lang w:eastAsia="ar-SA"/>
        </w:rPr>
        <w:t xml:space="preserve">(upper panel) </w:t>
      </w:r>
      <w:r>
        <w:rPr>
          <w:rFonts w:eastAsia="Times New Roman"/>
          <w:bCs/>
          <w:color w:val="000000" w:themeColor="text1"/>
          <w:lang w:eastAsia="ar-SA"/>
        </w:rPr>
        <w:t xml:space="preserve">and </w:t>
      </w:r>
      <w:r w:rsidR="0010064A">
        <w:rPr>
          <w:rFonts w:eastAsia="Times New Roman"/>
          <w:bCs/>
          <w:color w:val="000000" w:themeColor="text1"/>
          <w:lang w:eastAsia="ar-SA"/>
        </w:rPr>
        <w:t xml:space="preserve">in comparison to fibroblast cell </w:t>
      </w:r>
      <w:r>
        <w:rPr>
          <w:rFonts w:eastAsia="Times New Roman"/>
          <w:bCs/>
          <w:color w:val="000000" w:themeColor="text1"/>
          <w:lang w:eastAsia="ar-SA"/>
        </w:rPr>
        <w:t>laser confocal immunofluorescence images</w:t>
      </w:r>
      <w:r w:rsidR="0010064A">
        <w:rPr>
          <w:rFonts w:eastAsia="Times New Roman"/>
          <w:bCs/>
          <w:color w:val="000000" w:themeColor="text1"/>
          <w:lang w:eastAsia="ar-SA"/>
        </w:rPr>
        <w:t xml:space="preserve"> (lower panel)</w:t>
      </w:r>
      <w:r>
        <w:rPr>
          <w:rFonts w:eastAsia="Times New Roman"/>
          <w:bCs/>
          <w:color w:val="000000" w:themeColor="text1"/>
          <w:lang w:eastAsia="ar-SA"/>
        </w:rPr>
        <w:t xml:space="preserve"> (1B).</w:t>
      </w:r>
      <w:r w:rsidR="0010064A">
        <w:rPr>
          <w:rFonts w:eastAsia="Times New Roman"/>
          <w:bCs/>
          <w:color w:val="000000" w:themeColor="text1"/>
          <w:lang w:eastAsia="ar-SA"/>
        </w:rPr>
        <w:t xml:space="preserve"> </w:t>
      </w:r>
      <w:r w:rsidRPr="00BE37CB">
        <w:rPr>
          <w:rFonts w:eastAsia="Times New Roman"/>
          <w:bCs/>
          <w:color w:val="000000" w:themeColor="text1"/>
          <w:lang w:eastAsia="ar-SA"/>
        </w:rPr>
        <w:t>The expression of</w:t>
      </w:r>
      <w:r w:rsidRPr="00DB58DB">
        <w:rPr>
          <w:rFonts w:eastAsia="Times New Roman"/>
          <w:bCs/>
          <w:color w:val="000000" w:themeColor="text1"/>
          <w:lang w:eastAsia="ar-SA"/>
        </w:rPr>
        <w:t xml:space="preserve"> activin receptors type 1B (ACVR1B),</w:t>
      </w:r>
      <w:r w:rsidRPr="006F1AB9">
        <w:rPr>
          <w:rFonts w:eastAsia="Times New Roman"/>
          <w:bCs/>
          <w:color w:val="000000" w:themeColor="text1"/>
          <w:lang w:eastAsia="ar-SA"/>
        </w:rPr>
        <w:t xml:space="preserve"> type 2A (ACVR2A) and type 2B (ACVR2B) were confirmed in the luteal granulosa cells with quantitative RT-PCR method. Ovar</w:t>
      </w:r>
      <w:r>
        <w:rPr>
          <w:rFonts w:eastAsia="Times New Roman"/>
          <w:bCs/>
          <w:color w:val="000000" w:themeColor="text1"/>
          <w:lang w:eastAsia="ar-SA"/>
        </w:rPr>
        <w:t>ian cortex</w:t>
      </w:r>
      <w:r w:rsidRPr="006F1AB9">
        <w:rPr>
          <w:rFonts w:eastAsia="Times New Roman"/>
          <w:bCs/>
          <w:color w:val="000000" w:themeColor="text1"/>
          <w:lang w:eastAsia="ar-SA"/>
        </w:rPr>
        <w:t xml:space="preserve"> was used as a positive control (1</w:t>
      </w:r>
      <w:r w:rsidR="0010064A">
        <w:rPr>
          <w:rFonts w:eastAsia="Times New Roman"/>
          <w:bCs/>
          <w:color w:val="000000" w:themeColor="text1"/>
          <w:lang w:eastAsia="ar-SA"/>
        </w:rPr>
        <w:t>C</w:t>
      </w:r>
      <w:r w:rsidRPr="006F1AB9">
        <w:rPr>
          <w:rFonts w:eastAsia="Times New Roman"/>
          <w:bCs/>
          <w:color w:val="000000" w:themeColor="text1"/>
          <w:lang w:eastAsia="ar-SA"/>
        </w:rPr>
        <w:t xml:space="preserve">). </w:t>
      </w:r>
      <w:r>
        <w:rPr>
          <w:rFonts w:eastAsia="Times New Roman"/>
          <w:bCs/>
          <w:color w:val="000000" w:themeColor="text1"/>
          <w:lang w:eastAsia="ar-SA"/>
        </w:rPr>
        <w:t>T</w:t>
      </w:r>
      <w:r w:rsidRPr="006F1AB9">
        <w:rPr>
          <w:rFonts w:eastAsia="Times New Roman"/>
          <w:bCs/>
          <w:color w:val="000000" w:themeColor="text1"/>
          <w:lang w:eastAsia="ar-SA"/>
        </w:rPr>
        <w:t>he expression of phospho-Smad2</w:t>
      </w:r>
      <w:r w:rsidRPr="006F1AB9">
        <w:rPr>
          <w:color w:val="000000" w:themeColor="text1"/>
          <w:vertAlign w:val="superscript"/>
        </w:rPr>
        <w:t xml:space="preserve">Ser465/Ser467 </w:t>
      </w:r>
      <w:r w:rsidRPr="006F1AB9">
        <w:rPr>
          <w:color w:val="000000" w:themeColor="text1"/>
        </w:rPr>
        <w:t xml:space="preserve">was increased </w:t>
      </w:r>
      <w:r w:rsidRPr="006F1AB9">
        <w:rPr>
          <w:rFonts w:eastAsia="Times New Roman"/>
          <w:bCs/>
          <w:color w:val="000000" w:themeColor="text1"/>
          <w:lang w:eastAsia="ar-SA"/>
        </w:rPr>
        <w:t xml:space="preserve">in a dose dependent manner after activin-A treatment </w:t>
      </w:r>
      <w:r>
        <w:rPr>
          <w:rFonts w:eastAsia="Times New Roman"/>
          <w:bCs/>
          <w:color w:val="000000" w:themeColor="text1"/>
          <w:lang w:eastAsia="ar-SA"/>
        </w:rPr>
        <w:t xml:space="preserve">at the indicated concentrations </w:t>
      </w:r>
      <w:r w:rsidRPr="006F1AB9">
        <w:rPr>
          <w:rFonts w:eastAsia="Times New Roman"/>
          <w:bCs/>
          <w:color w:val="000000" w:themeColor="text1"/>
          <w:lang w:eastAsia="ar-SA"/>
        </w:rPr>
        <w:t>in western blotting. This effect was abolished when the cells were treated with activin-A and its receptor inhibitor (1</w:t>
      </w:r>
      <w:r w:rsidR="0010064A">
        <w:rPr>
          <w:rFonts w:eastAsia="Times New Roman"/>
          <w:bCs/>
          <w:color w:val="000000" w:themeColor="text1"/>
          <w:lang w:eastAsia="ar-SA"/>
        </w:rPr>
        <w:t>D</w:t>
      </w:r>
      <w:r w:rsidRPr="006F1AB9">
        <w:rPr>
          <w:rFonts w:eastAsia="Times New Roman"/>
          <w:bCs/>
          <w:color w:val="000000" w:themeColor="text1"/>
          <w:lang w:eastAsia="ar-SA"/>
        </w:rPr>
        <w:t>).</w:t>
      </w:r>
    </w:p>
    <w:p w14:paraId="5F54B9DD" w14:textId="77777777" w:rsidR="004415B1" w:rsidRDefault="004415B1" w:rsidP="00D166FA">
      <w:pPr>
        <w:spacing w:line="360" w:lineRule="auto"/>
        <w:rPr>
          <w:b/>
        </w:rPr>
      </w:pPr>
    </w:p>
    <w:p w14:paraId="1F12AA31" w14:textId="77777777" w:rsidR="004415B1" w:rsidRDefault="0010064A" w:rsidP="00D166FA">
      <w:pPr>
        <w:spacing w:line="360" w:lineRule="auto"/>
        <w:rPr>
          <w:b/>
        </w:rPr>
      </w:pPr>
      <w:r w:rsidRPr="00A524BD">
        <w:rPr>
          <w:b/>
        </w:rPr>
        <w:t>Supplementary figure-</w:t>
      </w:r>
      <w:r>
        <w:rPr>
          <w:b/>
        </w:rPr>
        <w:t>2</w:t>
      </w:r>
      <w:r w:rsidRPr="00A524BD">
        <w:rPr>
          <w:b/>
        </w:rPr>
        <w:t xml:space="preserve">: </w:t>
      </w:r>
      <w:r>
        <w:rPr>
          <w:b/>
        </w:rPr>
        <w:t xml:space="preserve">Long-term steroidogenic activity of the luteal granulosa cells incubated with and without activin-A in culture.  </w:t>
      </w:r>
    </w:p>
    <w:p w14:paraId="2804E501" w14:textId="7336F99B" w:rsidR="0010064A" w:rsidRPr="0010064A" w:rsidRDefault="0010064A" w:rsidP="00D166FA">
      <w:pPr>
        <w:spacing w:line="360" w:lineRule="auto"/>
        <w:jc w:val="both"/>
        <w:rPr>
          <w:bCs/>
        </w:rPr>
      </w:pPr>
      <w:r w:rsidRPr="0010064A">
        <w:rPr>
          <w:bCs/>
        </w:rPr>
        <w:t xml:space="preserve">While </w:t>
      </w:r>
      <w:r>
        <w:rPr>
          <w:bCs/>
        </w:rPr>
        <w:t xml:space="preserve">control </w:t>
      </w:r>
      <w:r w:rsidRPr="0010064A">
        <w:rPr>
          <w:bCs/>
        </w:rPr>
        <w:t>cells</w:t>
      </w:r>
      <w:r>
        <w:rPr>
          <w:bCs/>
        </w:rPr>
        <w:t xml:space="preserve"> maintain their steroidogenic function and continued to produce E</w:t>
      </w:r>
      <w:r>
        <w:rPr>
          <w:bCs/>
          <w:vertAlign w:val="subscript"/>
        </w:rPr>
        <w:t>2</w:t>
      </w:r>
      <w:r>
        <w:rPr>
          <w:bCs/>
        </w:rPr>
        <w:t xml:space="preserve"> and P</w:t>
      </w:r>
      <w:r>
        <w:rPr>
          <w:bCs/>
          <w:vertAlign w:val="subscript"/>
        </w:rPr>
        <w:t>4</w:t>
      </w:r>
      <w:r>
        <w:rPr>
          <w:bCs/>
        </w:rPr>
        <w:t xml:space="preserve"> in relatively steady levels  those treated with activin-A had significantly reduced E</w:t>
      </w:r>
      <w:r>
        <w:rPr>
          <w:bCs/>
          <w:vertAlign w:val="subscript"/>
        </w:rPr>
        <w:t>2</w:t>
      </w:r>
      <w:r>
        <w:rPr>
          <w:bCs/>
        </w:rPr>
        <w:t xml:space="preserve"> and P</w:t>
      </w:r>
      <w:r>
        <w:rPr>
          <w:bCs/>
          <w:vertAlign w:val="subscript"/>
        </w:rPr>
        <w:t>4</w:t>
      </w:r>
      <w:r>
        <w:rPr>
          <w:bCs/>
        </w:rPr>
        <w:t xml:space="preserve"> output when cultured up to 96hrs.</w:t>
      </w:r>
    </w:p>
    <w:p w14:paraId="3A9DB713" w14:textId="77777777" w:rsidR="004415B1" w:rsidRDefault="004415B1" w:rsidP="00D166FA">
      <w:pPr>
        <w:spacing w:line="360" w:lineRule="auto"/>
        <w:rPr>
          <w:b/>
        </w:rPr>
      </w:pPr>
    </w:p>
    <w:p w14:paraId="78A24D28" w14:textId="2F875772" w:rsidR="00394291" w:rsidRPr="008E48DB" w:rsidRDefault="00A524BD" w:rsidP="00D166FA">
      <w:pPr>
        <w:spacing w:line="360" w:lineRule="auto"/>
        <w:jc w:val="both"/>
        <w:rPr>
          <w:b/>
        </w:rPr>
      </w:pPr>
      <w:r w:rsidRPr="00A524BD">
        <w:rPr>
          <w:b/>
        </w:rPr>
        <w:t>Supplementary figure-</w:t>
      </w:r>
      <w:r w:rsidR="00A25699">
        <w:rPr>
          <w:b/>
        </w:rPr>
        <w:t>3</w:t>
      </w:r>
      <w:r w:rsidRPr="00A524BD">
        <w:rPr>
          <w:b/>
        </w:rPr>
        <w:t xml:space="preserve">: </w:t>
      </w:r>
      <w:r w:rsidR="00394291">
        <w:rPr>
          <w:b/>
        </w:rPr>
        <w:t xml:space="preserve">Cell viability assay before and after activin-A treatment of luteal granulosa cells (GCs). </w:t>
      </w:r>
      <w:r w:rsidR="003A609B">
        <w:t xml:space="preserve">Intravital </w:t>
      </w:r>
      <w:r w:rsidR="008D43CD">
        <w:t>green fluorescent carbocyanine uptake assay (</w:t>
      </w:r>
      <w:r w:rsidR="003A609B">
        <w:t>YO-PRO1 staining</w:t>
      </w:r>
      <w:r w:rsidR="008D43CD">
        <w:t>) did not reveal any significant differences between the vitality of the luteal GCs before and after activin-A treatment</w:t>
      </w:r>
      <w:r w:rsidR="0087283B">
        <w:t xml:space="preserve"> (97% vs. 96% respectively, p&gt;0.05)</w:t>
      </w:r>
      <w:r w:rsidR="008D43CD">
        <w:t xml:space="preserve">. Hoechst is chromatin stain. </w:t>
      </w:r>
    </w:p>
    <w:p w14:paraId="4B7C5173" w14:textId="77777777" w:rsidR="00D166FA" w:rsidRDefault="00D166FA" w:rsidP="00D166FA">
      <w:pPr>
        <w:spacing w:line="360" w:lineRule="auto"/>
        <w:rPr>
          <w:b/>
        </w:rPr>
      </w:pPr>
    </w:p>
    <w:p w14:paraId="6565526B" w14:textId="77777777" w:rsidR="00D166FA" w:rsidRDefault="00D166FA" w:rsidP="00D166FA">
      <w:pPr>
        <w:spacing w:line="360" w:lineRule="auto"/>
        <w:rPr>
          <w:b/>
        </w:rPr>
      </w:pPr>
    </w:p>
    <w:p w14:paraId="2F0AE9B3" w14:textId="77777777" w:rsidR="00554D61" w:rsidRDefault="00554D61" w:rsidP="00D166FA">
      <w:pPr>
        <w:spacing w:line="360" w:lineRule="auto"/>
        <w:jc w:val="both"/>
        <w:rPr>
          <w:b/>
        </w:rPr>
      </w:pPr>
    </w:p>
    <w:p w14:paraId="660389F9" w14:textId="130E84D7" w:rsidR="00D166FA" w:rsidRDefault="00A25699" w:rsidP="00D166FA">
      <w:pPr>
        <w:spacing w:line="360" w:lineRule="auto"/>
        <w:jc w:val="both"/>
        <w:rPr>
          <w:bCs/>
        </w:rPr>
      </w:pPr>
      <w:r w:rsidRPr="00A524BD">
        <w:rPr>
          <w:b/>
        </w:rPr>
        <w:lastRenderedPageBreak/>
        <w:t>Supplementary figure-</w:t>
      </w:r>
      <w:r>
        <w:rPr>
          <w:b/>
        </w:rPr>
        <w:t>4</w:t>
      </w:r>
      <w:r w:rsidRPr="00A524BD">
        <w:rPr>
          <w:b/>
        </w:rPr>
        <w:t xml:space="preserve">: </w:t>
      </w:r>
      <w:r w:rsidR="00D166FA" w:rsidRPr="00D166FA">
        <w:rPr>
          <w:b/>
        </w:rPr>
        <w:t>The effect of activin-A on the luteinization characteristics of the cells obtained from patients undergoing pure natural cycle (without gonadotropin stimulation)(upper panel) and stimulated IVF cycle using GnRH (gonadotropin releasing hormone) and gonadotropin stimulation (long protocol)(lower panel).</w:t>
      </w:r>
      <w:r w:rsidR="00D166FA">
        <w:rPr>
          <w:bCs/>
        </w:rPr>
        <w:t xml:space="preserve"> </w:t>
      </w:r>
    </w:p>
    <w:p w14:paraId="35E89AE5" w14:textId="77777777" w:rsidR="00554D61" w:rsidRDefault="00D166FA" w:rsidP="00D166FA">
      <w:pPr>
        <w:spacing w:line="360" w:lineRule="auto"/>
        <w:jc w:val="both"/>
        <w:rPr>
          <w:bCs/>
        </w:rPr>
      </w:pPr>
      <w:r>
        <w:rPr>
          <w:bCs/>
        </w:rPr>
        <w:t>Activin-A treatment was associated with down-regulation in the expression of steroidogenic enzymes and E</w:t>
      </w:r>
      <w:r>
        <w:rPr>
          <w:bCs/>
          <w:vertAlign w:val="subscript"/>
        </w:rPr>
        <w:t>2</w:t>
      </w:r>
      <w:r>
        <w:rPr>
          <w:bCs/>
        </w:rPr>
        <w:t xml:space="preserve"> and P</w:t>
      </w:r>
      <w:r>
        <w:rPr>
          <w:bCs/>
          <w:vertAlign w:val="subscript"/>
        </w:rPr>
        <w:t>4</w:t>
      </w:r>
      <w:r>
        <w:rPr>
          <w:bCs/>
        </w:rPr>
        <w:t xml:space="preserve"> production in luteal granulosa cells </w:t>
      </w:r>
      <w:r w:rsidR="00554D61">
        <w:rPr>
          <w:bCs/>
        </w:rPr>
        <w:t xml:space="preserve">of different origin </w:t>
      </w:r>
      <w:r>
        <w:rPr>
          <w:bCs/>
        </w:rPr>
        <w:t xml:space="preserve">on </w:t>
      </w:r>
      <w:proofErr w:type="spellStart"/>
      <w:r>
        <w:rPr>
          <w:bCs/>
        </w:rPr>
        <w:t>qRT</w:t>
      </w:r>
      <w:proofErr w:type="spellEnd"/>
      <w:r>
        <w:rPr>
          <w:bCs/>
        </w:rPr>
        <w:t xml:space="preserve">-PCR. </w:t>
      </w:r>
    </w:p>
    <w:p w14:paraId="6B593671" w14:textId="77777777" w:rsidR="00554D61" w:rsidRDefault="00554D61" w:rsidP="00D166FA">
      <w:pPr>
        <w:spacing w:line="360" w:lineRule="auto"/>
        <w:jc w:val="both"/>
        <w:rPr>
          <w:bCs/>
        </w:rPr>
      </w:pPr>
    </w:p>
    <w:p w14:paraId="2A29064C" w14:textId="77777777" w:rsidR="00554D61" w:rsidRDefault="00554D61" w:rsidP="00D166FA">
      <w:pPr>
        <w:spacing w:line="360" w:lineRule="auto"/>
        <w:jc w:val="both"/>
        <w:rPr>
          <w:b/>
        </w:rPr>
      </w:pPr>
      <w:r w:rsidRPr="00A524BD">
        <w:rPr>
          <w:b/>
        </w:rPr>
        <w:t>Supplementary figure-</w:t>
      </w:r>
      <w:r>
        <w:rPr>
          <w:b/>
        </w:rPr>
        <w:t>5</w:t>
      </w:r>
      <w:r w:rsidRPr="00A524BD">
        <w:rPr>
          <w:b/>
        </w:rPr>
        <w:t>:</w:t>
      </w:r>
      <w:r>
        <w:rPr>
          <w:b/>
        </w:rPr>
        <w:t xml:space="preserve"> The expression of gonadotropin receptors (FSH-R and LH-R), VEGF and cyclin-D1 before and after treatment with activin-A in luteal granulosa cells.</w:t>
      </w:r>
    </w:p>
    <w:p w14:paraId="50F3D056" w14:textId="60D1A650" w:rsidR="00554D61" w:rsidRDefault="00554D61" w:rsidP="00D166FA">
      <w:pPr>
        <w:spacing w:line="360" w:lineRule="auto"/>
        <w:jc w:val="both"/>
        <w:rPr>
          <w:bCs/>
        </w:rPr>
      </w:pPr>
      <w:r>
        <w:rPr>
          <w:bCs/>
        </w:rPr>
        <w:t>The expression of LH-R and VEGF were down-regulated, FSH-R and cyclin D1 up-regulated after activin-A treatment. By contrast</w:t>
      </w:r>
      <w:r w:rsidR="001C1C1B">
        <w:rPr>
          <w:bCs/>
        </w:rPr>
        <w:t>,</w:t>
      </w:r>
      <w:r>
        <w:rPr>
          <w:bCs/>
        </w:rPr>
        <w:t xml:space="preserve"> luteotropic  </w:t>
      </w:r>
      <w:proofErr w:type="spellStart"/>
      <w:r>
        <w:rPr>
          <w:bCs/>
        </w:rPr>
        <w:t>hCG</w:t>
      </w:r>
      <w:proofErr w:type="spellEnd"/>
      <w:r>
        <w:rPr>
          <w:bCs/>
        </w:rPr>
        <w:t xml:space="preserve"> had the opposite effect on </w:t>
      </w:r>
      <w:proofErr w:type="spellStart"/>
      <w:r>
        <w:rPr>
          <w:bCs/>
        </w:rPr>
        <w:t>qRT</w:t>
      </w:r>
      <w:proofErr w:type="spellEnd"/>
      <w:r>
        <w:rPr>
          <w:bCs/>
        </w:rPr>
        <w:t>-PCR.</w:t>
      </w:r>
    </w:p>
    <w:p w14:paraId="09194667" w14:textId="77777777" w:rsidR="00554D61" w:rsidRDefault="00554D61" w:rsidP="00D166FA">
      <w:pPr>
        <w:spacing w:line="360" w:lineRule="auto"/>
        <w:jc w:val="both"/>
        <w:rPr>
          <w:bCs/>
        </w:rPr>
      </w:pPr>
    </w:p>
    <w:p w14:paraId="777B7E78" w14:textId="42BA1EE0" w:rsidR="00C6575E" w:rsidRPr="00554D61" w:rsidRDefault="00C6575E" w:rsidP="00D166FA">
      <w:pPr>
        <w:spacing w:line="360" w:lineRule="auto"/>
        <w:jc w:val="both"/>
        <w:rPr>
          <w:bCs/>
        </w:rPr>
      </w:pPr>
      <w:r>
        <w:br w:type="page"/>
      </w:r>
    </w:p>
    <w:p w14:paraId="1B246247" w14:textId="6B7B9CEE" w:rsidR="000C3223" w:rsidRPr="000C3223" w:rsidRDefault="000C3223" w:rsidP="00D166FA">
      <w:pPr>
        <w:spacing w:line="360" w:lineRule="auto"/>
        <w:rPr>
          <w:b/>
        </w:rPr>
      </w:pPr>
    </w:p>
    <w:sectPr w:rsidR="000C3223" w:rsidRPr="000C3223" w:rsidSect="00632FD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5"/>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4BD"/>
    <w:rsid w:val="00004130"/>
    <w:rsid w:val="00005973"/>
    <w:rsid w:val="00015CAC"/>
    <w:rsid w:val="0001720E"/>
    <w:rsid w:val="0002740A"/>
    <w:rsid w:val="000279F0"/>
    <w:rsid w:val="00030379"/>
    <w:rsid w:val="000322C1"/>
    <w:rsid w:val="00032F2A"/>
    <w:rsid w:val="00033888"/>
    <w:rsid w:val="00035B05"/>
    <w:rsid w:val="00037B86"/>
    <w:rsid w:val="00040925"/>
    <w:rsid w:val="00041B31"/>
    <w:rsid w:val="000450FF"/>
    <w:rsid w:val="00046FE7"/>
    <w:rsid w:val="00047B41"/>
    <w:rsid w:val="000504DC"/>
    <w:rsid w:val="0005371F"/>
    <w:rsid w:val="0005411E"/>
    <w:rsid w:val="000563F1"/>
    <w:rsid w:val="00071C6D"/>
    <w:rsid w:val="0007323A"/>
    <w:rsid w:val="000746D1"/>
    <w:rsid w:val="00076F54"/>
    <w:rsid w:val="00077805"/>
    <w:rsid w:val="000804E7"/>
    <w:rsid w:val="00085304"/>
    <w:rsid w:val="000853CE"/>
    <w:rsid w:val="00091897"/>
    <w:rsid w:val="0009632E"/>
    <w:rsid w:val="000A0FBD"/>
    <w:rsid w:val="000A5F3D"/>
    <w:rsid w:val="000A7DFA"/>
    <w:rsid w:val="000B0948"/>
    <w:rsid w:val="000B0F66"/>
    <w:rsid w:val="000B7411"/>
    <w:rsid w:val="000C3223"/>
    <w:rsid w:val="000C4191"/>
    <w:rsid w:val="000C494F"/>
    <w:rsid w:val="000C733A"/>
    <w:rsid w:val="000D550E"/>
    <w:rsid w:val="000D5BC8"/>
    <w:rsid w:val="000E0F3F"/>
    <w:rsid w:val="000E4D68"/>
    <w:rsid w:val="000E5F9C"/>
    <w:rsid w:val="000E5FDC"/>
    <w:rsid w:val="000E614A"/>
    <w:rsid w:val="000E657D"/>
    <w:rsid w:val="000E6F49"/>
    <w:rsid w:val="000F0795"/>
    <w:rsid w:val="000F07FC"/>
    <w:rsid w:val="000F43DE"/>
    <w:rsid w:val="001002B3"/>
    <w:rsid w:val="0010064A"/>
    <w:rsid w:val="001008CC"/>
    <w:rsid w:val="00101107"/>
    <w:rsid w:val="00103299"/>
    <w:rsid w:val="0010370D"/>
    <w:rsid w:val="0011512D"/>
    <w:rsid w:val="00115361"/>
    <w:rsid w:val="001177C8"/>
    <w:rsid w:val="00121212"/>
    <w:rsid w:val="00133A16"/>
    <w:rsid w:val="00134205"/>
    <w:rsid w:val="00143198"/>
    <w:rsid w:val="00152171"/>
    <w:rsid w:val="001540DF"/>
    <w:rsid w:val="00155D73"/>
    <w:rsid w:val="00155DFC"/>
    <w:rsid w:val="00163ACD"/>
    <w:rsid w:val="00167B32"/>
    <w:rsid w:val="0017077F"/>
    <w:rsid w:val="0017269A"/>
    <w:rsid w:val="00173682"/>
    <w:rsid w:val="001774AA"/>
    <w:rsid w:val="00180989"/>
    <w:rsid w:val="00181CA8"/>
    <w:rsid w:val="00185055"/>
    <w:rsid w:val="00187DD3"/>
    <w:rsid w:val="00193846"/>
    <w:rsid w:val="001A210F"/>
    <w:rsid w:val="001B1245"/>
    <w:rsid w:val="001B201E"/>
    <w:rsid w:val="001B5B28"/>
    <w:rsid w:val="001C1C1B"/>
    <w:rsid w:val="001C34B6"/>
    <w:rsid w:val="001C7682"/>
    <w:rsid w:val="001D2101"/>
    <w:rsid w:val="001D4878"/>
    <w:rsid w:val="001D574B"/>
    <w:rsid w:val="001F191E"/>
    <w:rsid w:val="001F3A12"/>
    <w:rsid w:val="001F46A7"/>
    <w:rsid w:val="001F4979"/>
    <w:rsid w:val="001F622D"/>
    <w:rsid w:val="00212281"/>
    <w:rsid w:val="002122D6"/>
    <w:rsid w:val="00217C15"/>
    <w:rsid w:val="00217E4E"/>
    <w:rsid w:val="00220F12"/>
    <w:rsid w:val="00226772"/>
    <w:rsid w:val="0022757B"/>
    <w:rsid w:val="0023513F"/>
    <w:rsid w:val="0023558E"/>
    <w:rsid w:val="002358BB"/>
    <w:rsid w:val="00243711"/>
    <w:rsid w:val="00245E53"/>
    <w:rsid w:val="00250CD2"/>
    <w:rsid w:val="0026196D"/>
    <w:rsid w:val="002630F2"/>
    <w:rsid w:val="00280F5B"/>
    <w:rsid w:val="00280F73"/>
    <w:rsid w:val="002818AC"/>
    <w:rsid w:val="0028283F"/>
    <w:rsid w:val="00282CFE"/>
    <w:rsid w:val="00286846"/>
    <w:rsid w:val="00294BCE"/>
    <w:rsid w:val="00297D62"/>
    <w:rsid w:val="002A0CD1"/>
    <w:rsid w:val="002B4324"/>
    <w:rsid w:val="002C67B0"/>
    <w:rsid w:val="002E1854"/>
    <w:rsid w:val="002E3A49"/>
    <w:rsid w:val="002E3B0E"/>
    <w:rsid w:val="002E61F7"/>
    <w:rsid w:val="002E6C61"/>
    <w:rsid w:val="002F2E4C"/>
    <w:rsid w:val="00306C3F"/>
    <w:rsid w:val="00334007"/>
    <w:rsid w:val="0033468C"/>
    <w:rsid w:val="003358DE"/>
    <w:rsid w:val="00341DBD"/>
    <w:rsid w:val="0035203F"/>
    <w:rsid w:val="00354B5F"/>
    <w:rsid w:val="00373B43"/>
    <w:rsid w:val="003746A6"/>
    <w:rsid w:val="0037535D"/>
    <w:rsid w:val="0037748F"/>
    <w:rsid w:val="00380273"/>
    <w:rsid w:val="00380911"/>
    <w:rsid w:val="00381B09"/>
    <w:rsid w:val="00385CF6"/>
    <w:rsid w:val="00387656"/>
    <w:rsid w:val="0039328F"/>
    <w:rsid w:val="00394291"/>
    <w:rsid w:val="00395A51"/>
    <w:rsid w:val="00397A67"/>
    <w:rsid w:val="003A22EE"/>
    <w:rsid w:val="003A2C3C"/>
    <w:rsid w:val="003A3199"/>
    <w:rsid w:val="003A4117"/>
    <w:rsid w:val="003A609B"/>
    <w:rsid w:val="003A6CC3"/>
    <w:rsid w:val="003B2BCB"/>
    <w:rsid w:val="003B4CC4"/>
    <w:rsid w:val="003B7D2E"/>
    <w:rsid w:val="003C2884"/>
    <w:rsid w:val="003C53F4"/>
    <w:rsid w:val="003D7E15"/>
    <w:rsid w:val="003E3356"/>
    <w:rsid w:val="003E3F0A"/>
    <w:rsid w:val="003E7DC5"/>
    <w:rsid w:val="003E7F9A"/>
    <w:rsid w:val="003F481A"/>
    <w:rsid w:val="003F4967"/>
    <w:rsid w:val="00402A2C"/>
    <w:rsid w:val="0041211E"/>
    <w:rsid w:val="00413002"/>
    <w:rsid w:val="00420D98"/>
    <w:rsid w:val="0042183F"/>
    <w:rsid w:val="00427763"/>
    <w:rsid w:val="0043500B"/>
    <w:rsid w:val="004415B1"/>
    <w:rsid w:val="00441A4E"/>
    <w:rsid w:val="00444EE0"/>
    <w:rsid w:val="00445038"/>
    <w:rsid w:val="00447837"/>
    <w:rsid w:val="0046591B"/>
    <w:rsid w:val="004678CD"/>
    <w:rsid w:val="00472641"/>
    <w:rsid w:val="00487301"/>
    <w:rsid w:val="00494076"/>
    <w:rsid w:val="00495C30"/>
    <w:rsid w:val="0049758E"/>
    <w:rsid w:val="004A15A9"/>
    <w:rsid w:val="004A2AEC"/>
    <w:rsid w:val="004B0DC8"/>
    <w:rsid w:val="004B146B"/>
    <w:rsid w:val="004B28CA"/>
    <w:rsid w:val="004C5639"/>
    <w:rsid w:val="004D14B7"/>
    <w:rsid w:val="004F38A0"/>
    <w:rsid w:val="004F56B7"/>
    <w:rsid w:val="00501C5D"/>
    <w:rsid w:val="00501D11"/>
    <w:rsid w:val="005044BF"/>
    <w:rsid w:val="00507BA3"/>
    <w:rsid w:val="00507C3C"/>
    <w:rsid w:val="00512AF5"/>
    <w:rsid w:val="00514516"/>
    <w:rsid w:val="005178B6"/>
    <w:rsid w:val="00523583"/>
    <w:rsid w:val="00523A29"/>
    <w:rsid w:val="0052451C"/>
    <w:rsid w:val="00526222"/>
    <w:rsid w:val="00526E67"/>
    <w:rsid w:val="0052794D"/>
    <w:rsid w:val="00530E1B"/>
    <w:rsid w:val="0053316F"/>
    <w:rsid w:val="00540B9E"/>
    <w:rsid w:val="00541D1C"/>
    <w:rsid w:val="005426C8"/>
    <w:rsid w:val="005436BE"/>
    <w:rsid w:val="005521E1"/>
    <w:rsid w:val="00554924"/>
    <w:rsid w:val="00554D61"/>
    <w:rsid w:val="005574D9"/>
    <w:rsid w:val="005830C0"/>
    <w:rsid w:val="00592041"/>
    <w:rsid w:val="00597843"/>
    <w:rsid w:val="005A6E4C"/>
    <w:rsid w:val="005B005E"/>
    <w:rsid w:val="005B00A8"/>
    <w:rsid w:val="005B229C"/>
    <w:rsid w:val="005C131E"/>
    <w:rsid w:val="005C3CB9"/>
    <w:rsid w:val="005C75B7"/>
    <w:rsid w:val="005D02D1"/>
    <w:rsid w:val="005D1AF1"/>
    <w:rsid w:val="005D794B"/>
    <w:rsid w:val="005E27FC"/>
    <w:rsid w:val="005E7ECB"/>
    <w:rsid w:val="005F1D8E"/>
    <w:rsid w:val="005F3C91"/>
    <w:rsid w:val="00606A24"/>
    <w:rsid w:val="00625649"/>
    <w:rsid w:val="00626677"/>
    <w:rsid w:val="00626C72"/>
    <w:rsid w:val="00631C27"/>
    <w:rsid w:val="00632FD2"/>
    <w:rsid w:val="00641C32"/>
    <w:rsid w:val="0064261D"/>
    <w:rsid w:val="00652565"/>
    <w:rsid w:val="00655890"/>
    <w:rsid w:val="006558F3"/>
    <w:rsid w:val="006568F3"/>
    <w:rsid w:val="0066057D"/>
    <w:rsid w:val="00664735"/>
    <w:rsid w:val="00664810"/>
    <w:rsid w:val="00665C32"/>
    <w:rsid w:val="00670F26"/>
    <w:rsid w:val="0067238D"/>
    <w:rsid w:val="00675E6D"/>
    <w:rsid w:val="00680B05"/>
    <w:rsid w:val="00684240"/>
    <w:rsid w:val="006867FF"/>
    <w:rsid w:val="00687D0F"/>
    <w:rsid w:val="00696A03"/>
    <w:rsid w:val="006B3DEB"/>
    <w:rsid w:val="006B6354"/>
    <w:rsid w:val="006B785C"/>
    <w:rsid w:val="006C7579"/>
    <w:rsid w:val="006D05C9"/>
    <w:rsid w:val="006D6BB1"/>
    <w:rsid w:val="006E1DDE"/>
    <w:rsid w:val="006E46B6"/>
    <w:rsid w:val="006E5EF6"/>
    <w:rsid w:val="006F3969"/>
    <w:rsid w:val="006F705E"/>
    <w:rsid w:val="00701FD5"/>
    <w:rsid w:val="00702EF1"/>
    <w:rsid w:val="00706BE8"/>
    <w:rsid w:val="007130E5"/>
    <w:rsid w:val="00731B65"/>
    <w:rsid w:val="0073312C"/>
    <w:rsid w:val="007350C6"/>
    <w:rsid w:val="00735E13"/>
    <w:rsid w:val="00742953"/>
    <w:rsid w:val="0074503A"/>
    <w:rsid w:val="0074657B"/>
    <w:rsid w:val="00750DA9"/>
    <w:rsid w:val="007536FA"/>
    <w:rsid w:val="00761506"/>
    <w:rsid w:val="0076219B"/>
    <w:rsid w:val="00762348"/>
    <w:rsid w:val="00762677"/>
    <w:rsid w:val="00763A94"/>
    <w:rsid w:val="00776BA3"/>
    <w:rsid w:val="0078093D"/>
    <w:rsid w:val="007816BB"/>
    <w:rsid w:val="00797669"/>
    <w:rsid w:val="007A0283"/>
    <w:rsid w:val="007A19F1"/>
    <w:rsid w:val="007A356B"/>
    <w:rsid w:val="007B7067"/>
    <w:rsid w:val="007B7BA4"/>
    <w:rsid w:val="007C09AD"/>
    <w:rsid w:val="007C7B66"/>
    <w:rsid w:val="007C7D7B"/>
    <w:rsid w:val="007D043A"/>
    <w:rsid w:val="007D3E9E"/>
    <w:rsid w:val="007D4248"/>
    <w:rsid w:val="007D50AA"/>
    <w:rsid w:val="007E6635"/>
    <w:rsid w:val="007F083A"/>
    <w:rsid w:val="007F0F2D"/>
    <w:rsid w:val="0080168C"/>
    <w:rsid w:val="00806621"/>
    <w:rsid w:val="00810B19"/>
    <w:rsid w:val="00810F21"/>
    <w:rsid w:val="0081717B"/>
    <w:rsid w:val="00820B93"/>
    <w:rsid w:val="008300DB"/>
    <w:rsid w:val="00832CD7"/>
    <w:rsid w:val="00834221"/>
    <w:rsid w:val="00835835"/>
    <w:rsid w:val="00841543"/>
    <w:rsid w:val="00843EE1"/>
    <w:rsid w:val="00845AE4"/>
    <w:rsid w:val="008474D7"/>
    <w:rsid w:val="00853F84"/>
    <w:rsid w:val="008608EC"/>
    <w:rsid w:val="00862A1B"/>
    <w:rsid w:val="008634E7"/>
    <w:rsid w:val="00864804"/>
    <w:rsid w:val="00864816"/>
    <w:rsid w:val="00866428"/>
    <w:rsid w:val="008711BE"/>
    <w:rsid w:val="0087283B"/>
    <w:rsid w:val="00872C63"/>
    <w:rsid w:val="00874D9D"/>
    <w:rsid w:val="00875474"/>
    <w:rsid w:val="00882647"/>
    <w:rsid w:val="00882B03"/>
    <w:rsid w:val="00886F61"/>
    <w:rsid w:val="008C085A"/>
    <w:rsid w:val="008C14A4"/>
    <w:rsid w:val="008C2CD0"/>
    <w:rsid w:val="008C3EA4"/>
    <w:rsid w:val="008D43CD"/>
    <w:rsid w:val="008E2AAC"/>
    <w:rsid w:val="008E42E6"/>
    <w:rsid w:val="008E48DB"/>
    <w:rsid w:val="008F1E69"/>
    <w:rsid w:val="008F35B8"/>
    <w:rsid w:val="008F512F"/>
    <w:rsid w:val="008F68DE"/>
    <w:rsid w:val="00903457"/>
    <w:rsid w:val="00903BD3"/>
    <w:rsid w:val="009118E0"/>
    <w:rsid w:val="00912156"/>
    <w:rsid w:val="00912C3B"/>
    <w:rsid w:val="00920B49"/>
    <w:rsid w:val="00923200"/>
    <w:rsid w:val="00924549"/>
    <w:rsid w:val="009270BE"/>
    <w:rsid w:val="00927253"/>
    <w:rsid w:val="00933E25"/>
    <w:rsid w:val="00934B95"/>
    <w:rsid w:val="00936717"/>
    <w:rsid w:val="00937DC6"/>
    <w:rsid w:val="00943C3B"/>
    <w:rsid w:val="00951058"/>
    <w:rsid w:val="00964A70"/>
    <w:rsid w:val="00965565"/>
    <w:rsid w:val="00966360"/>
    <w:rsid w:val="00974AAE"/>
    <w:rsid w:val="009838B3"/>
    <w:rsid w:val="00987C6B"/>
    <w:rsid w:val="00987F2C"/>
    <w:rsid w:val="00991B64"/>
    <w:rsid w:val="00993FBE"/>
    <w:rsid w:val="009A5492"/>
    <w:rsid w:val="009D18EA"/>
    <w:rsid w:val="009D2572"/>
    <w:rsid w:val="009D70BF"/>
    <w:rsid w:val="009F0EEC"/>
    <w:rsid w:val="009F280F"/>
    <w:rsid w:val="009F7B9D"/>
    <w:rsid w:val="00A014CA"/>
    <w:rsid w:val="00A02A84"/>
    <w:rsid w:val="00A069EF"/>
    <w:rsid w:val="00A1708A"/>
    <w:rsid w:val="00A21C59"/>
    <w:rsid w:val="00A25699"/>
    <w:rsid w:val="00A31B32"/>
    <w:rsid w:val="00A33D26"/>
    <w:rsid w:val="00A37DAA"/>
    <w:rsid w:val="00A45069"/>
    <w:rsid w:val="00A524BD"/>
    <w:rsid w:val="00A57F90"/>
    <w:rsid w:val="00A63116"/>
    <w:rsid w:val="00A654C8"/>
    <w:rsid w:val="00A83CA7"/>
    <w:rsid w:val="00A853E5"/>
    <w:rsid w:val="00A875E1"/>
    <w:rsid w:val="00A9458A"/>
    <w:rsid w:val="00A95318"/>
    <w:rsid w:val="00A96267"/>
    <w:rsid w:val="00AA1CBB"/>
    <w:rsid w:val="00AA5532"/>
    <w:rsid w:val="00AB06D3"/>
    <w:rsid w:val="00AB5F53"/>
    <w:rsid w:val="00AD1552"/>
    <w:rsid w:val="00AD3018"/>
    <w:rsid w:val="00AD32C2"/>
    <w:rsid w:val="00AD7AD8"/>
    <w:rsid w:val="00AE135D"/>
    <w:rsid w:val="00AE370B"/>
    <w:rsid w:val="00AE6174"/>
    <w:rsid w:val="00AE7F41"/>
    <w:rsid w:val="00AF07DD"/>
    <w:rsid w:val="00AF41BD"/>
    <w:rsid w:val="00AF5532"/>
    <w:rsid w:val="00AF6210"/>
    <w:rsid w:val="00B048E2"/>
    <w:rsid w:val="00B1043F"/>
    <w:rsid w:val="00B16ADD"/>
    <w:rsid w:val="00B16CCB"/>
    <w:rsid w:val="00B204F1"/>
    <w:rsid w:val="00B232BC"/>
    <w:rsid w:val="00B256DF"/>
    <w:rsid w:val="00B26E00"/>
    <w:rsid w:val="00B30FB3"/>
    <w:rsid w:val="00B314D5"/>
    <w:rsid w:val="00B37740"/>
    <w:rsid w:val="00B437E6"/>
    <w:rsid w:val="00B47B59"/>
    <w:rsid w:val="00B50720"/>
    <w:rsid w:val="00B57543"/>
    <w:rsid w:val="00B629BB"/>
    <w:rsid w:val="00B736D0"/>
    <w:rsid w:val="00B73C9D"/>
    <w:rsid w:val="00B77D6F"/>
    <w:rsid w:val="00B943AA"/>
    <w:rsid w:val="00B948A1"/>
    <w:rsid w:val="00B948CE"/>
    <w:rsid w:val="00B97FB1"/>
    <w:rsid w:val="00BA39D7"/>
    <w:rsid w:val="00BA4A06"/>
    <w:rsid w:val="00BB38E2"/>
    <w:rsid w:val="00BB4129"/>
    <w:rsid w:val="00BB6ED4"/>
    <w:rsid w:val="00BC70A3"/>
    <w:rsid w:val="00BE37CB"/>
    <w:rsid w:val="00BF058F"/>
    <w:rsid w:val="00BF26B9"/>
    <w:rsid w:val="00C00782"/>
    <w:rsid w:val="00C065AE"/>
    <w:rsid w:val="00C20844"/>
    <w:rsid w:val="00C2256D"/>
    <w:rsid w:val="00C25B07"/>
    <w:rsid w:val="00C4178D"/>
    <w:rsid w:val="00C424BC"/>
    <w:rsid w:val="00C46486"/>
    <w:rsid w:val="00C51BA6"/>
    <w:rsid w:val="00C539C5"/>
    <w:rsid w:val="00C600DB"/>
    <w:rsid w:val="00C6575E"/>
    <w:rsid w:val="00C749DB"/>
    <w:rsid w:val="00C7599E"/>
    <w:rsid w:val="00C8023A"/>
    <w:rsid w:val="00C86821"/>
    <w:rsid w:val="00C94F05"/>
    <w:rsid w:val="00C9667E"/>
    <w:rsid w:val="00CA07B1"/>
    <w:rsid w:val="00CA3089"/>
    <w:rsid w:val="00CA4848"/>
    <w:rsid w:val="00CA6288"/>
    <w:rsid w:val="00CB3D29"/>
    <w:rsid w:val="00CB77A1"/>
    <w:rsid w:val="00CC5953"/>
    <w:rsid w:val="00CC68A6"/>
    <w:rsid w:val="00CD7269"/>
    <w:rsid w:val="00CE5734"/>
    <w:rsid w:val="00CE645A"/>
    <w:rsid w:val="00CE79D4"/>
    <w:rsid w:val="00CF29E1"/>
    <w:rsid w:val="00CF45F2"/>
    <w:rsid w:val="00CF7DB8"/>
    <w:rsid w:val="00D018BB"/>
    <w:rsid w:val="00D0569D"/>
    <w:rsid w:val="00D0577F"/>
    <w:rsid w:val="00D05CD3"/>
    <w:rsid w:val="00D07209"/>
    <w:rsid w:val="00D07883"/>
    <w:rsid w:val="00D10936"/>
    <w:rsid w:val="00D166FA"/>
    <w:rsid w:val="00D16EA2"/>
    <w:rsid w:val="00D17E60"/>
    <w:rsid w:val="00D312AC"/>
    <w:rsid w:val="00D33A3D"/>
    <w:rsid w:val="00D340E3"/>
    <w:rsid w:val="00D42A26"/>
    <w:rsid w:val="00D43E6D"/>
    <w:rsid w:val="00D510E7"/>
    <w:rsid w:val="00D540CA"/>
    <w:rsid w:val="00D54599"/>
    <w:rsid w:val="00D617ED"/>
    <w:rsid w:val="00D71F20"/>
    <w:rsid w:val="00D861B5"/>
    <w:rsid w:val="00D9136A"/>
    <w:rsid w:val="00D96757"/>
    <w:rsid w:val="00D96A52"/>
    <w:rsid w:val="00DA59CF"/>
    <w:rsid w:val="00DB11C6"/>
    <w:rsid w:val="00DB6F0E"/>
    <w:rsid w:val="00DC306A"/>
    <w:rsid w:val="00DC5249"/>
    <w:rsid w:val="00DC53ED"/>
    <w:rsid w:val="00DC6F2D"/>
    <w:rsid w:val="00DD154F"/>
    <w:rsid w:val="00DD25E9"/>
    <w:rsid w:val="00DD2AD5"/>
    <w:rsid w:val="00DD636B"/>
    <w:rsid w:val="00DD7EB8"/>
    <w:rsid w:val="00DE4943"/>
    <w:rsid w:val="00DE6AA2"/>
    <w:rsid w:val="00DE7738"/>
    <w:rsid w:val="00DF5D08"/>
    <w:rsid w:val="00DF76BE"/>
    <w:rsid w:val="00E0309B"/>
    <w:rsid w:val="00E03ECC"/>
    <w:rsid w:val="00E170EC"/>
    <w:rsid w:val="00E17768"/>
    <w:rsid w:val="00E1783A"/>
    <w:rsid w:val="00E26C1D"/>
    <w:rsid w:val="00E35C00"/>
    <w:rsid w:val="00E365F9"/>
    <w:rsid w:val="00E414F3"/>
    <w:rsid w:val="00E427E9"/>
    <w:rsid w:val="00E5266B"/>
    <w:rsid w:val="00E61D5A"/>
    <w:rsid w:val="00E63D4A"/>
    <w:rsid w:val="00E6499B"/>
    <w:rsid w:val="00E655FA"/>
    <w:rsid w:val="00E767D9"/>
    <w:rsid w:val="00E76B4B"/>
    <w:rsid w:val="00E81FD6"/>
    <w:rsid w:val="00E85F69"/>
    <w:rsid w:val="00E86688"/>
    <w:rsid w:val="00E937C6"/>
    <w:rsid w:val="00E95B13"/>
    <w:rsid w:val="00EA3A2E"/>
    <w:rsid w:val="00EA784E"/>
    <w:rsid w:val="00EB397F"/>
    <w:rsid w:val="00EB5120"/>
    <w:rsid w:val="00EB69B5"/>
    <w:rsid w:val="00EC19A3"/>
    <w:rsid w:val="00ED199D"/>
    <w:rsid w:val="00ED460D"/>
    <w:rsid w:val="00ED4896"/>
    <w:rsid w:val="00ED48AC"/>
    <w:rsid w:val="00EE3E29"/>
    <w:rsid w:val="00EE5A5E"/>
    <w:rsid w:val="00EE7A1A"/>
    <w:rsid w:val="00EF449B"/>
    <w:rsid w:val="00F00CF2"/>
    <w:rsid w:val="00F0112C"/>
    <w:rsid w:val="00F0382D"/>
    <w:rsid w:val="00F103EE"/>
    <w:rsid w:val="00F142CC"/>
    <w:rsid w:val="00F17322"/>
    <w:rsid w:val="00F23207"/>
    <w:rsid w:val="00F233C9"/>
    <w:rsid w:val="00F34F8C"/>
    <w:rsid w:val="00F37827"/>
    <w:rsid w:val="00F37C98"/>
    <w:rsid w:val="00F42328"/>
    <w:rsid w:val="00F4780C"/>
    <w:rsid w:val="00F51645"/>
    <w:rsid w:val="00F5587E"/>
    <w:rsid w:val="00F636B9"/>
    <w:rsid w:val="00F64773"/>
    <w:rsid w:val="00F67053"/>
    <w:rsid w:val="00F82F99"/>
    <w:rsid w:val="00F833A6"/>
    <w:rsid w:val="00F92E16"/>
    <w:rsid w:val="00F94CC5"/>
    <w:rsid w:val="00FA1FFC"/>
    <w:rsid w:val="00FA2D20"/>
    <w:rsid w:val="00FA33B7"/>
    <w:rsid w:val="00FA69A2"/>
    <w:rsid w:val="00FB38DD"/>
    <w:rsid w:val="00FB3F9C"/>
    <w:rsid w:val="00FC188C"/>
    <w:rsid w:val="00FC1A4F"/>
    <w:rsid w:val="00FC1BB1"/>
    <w:rsid w:val="00FC3F58"/>
    <w:rsid w:val="00FC5E0F"/>
    <w:rsid w:val="00FD038D"/>
    <w:rsid w:val="00FD15F0"/>
    <w:rsid w:val="00FD4827"/>
    <w:rsid w:val="00FE271F"/>
    <w:rsid w:val="00FE4231"/>
    <w:rsid w:val="00FE6551"/>
    <w:rsid w:val="00FF3DB9"/>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C01B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37C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E37CB"/>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Amerikan Hastanesi</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Özgür Öktem</cp:lastModifiedBy>
  <cp:revision>3</cp:revision>
  <dcterms:created xsi:type="dcterms:W3CDTF">2020-07-28T13:16:00Z</dcterms:created>
  <dcterms:modified xsi:type="dcterms:W3CDTF">2020-07-28T17:34:00Z</dcterms:modified>
</cp:coreProperties>
</file>