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860E2" w14:textId="5BA18179" w:rsidR="00A90774" w:rsidRPr="0034288C" w:rsidRDefault="00A90774" w:rsidP="00A90774">
      <w:pPr>
        <w:spacing w:line="480" w:lineRule="auto"/>
        <w:rPr>
          <w:rFonts w:ascii="Times New Roman" w:hAnsi="Times New Roman" w:cs="Times New Roman"/>
          <w:b/>
          <w:bCs/>
          <w:sz w:val="24"/>
          <w:szCs w:val="24"/>
        </w:rPr>
      </w:pPr>
      <w:r w:rsidRPr="00A90774">
        <w:rPr>
          <w:rFonts w:ascii="Times New Roman" w:hAnsi="Times New Roman" w:cs="Times New Roman"/>
          <w:b/>
          <w:bCs/>
          <w:sz w:val="24"/>
          <w:szCs w:val="24"/>
        </w:rPr>
        <w:t>Supplementary Figure legends</w:t>
      </w:r>
    </w:p>
    <w:p w14:paraId="14EBB8D7" w14:textId="4D987B10" w:rsidR="00A90774" w:rsidRDefault="00A90774" w:rsidP="00A90774">
      <w:pPr>
        <w:spacing w:line="480" w:lineRule="auto"/>
        <w:rPr>
          <w:rFonts w:ascii="Times New Roman" w:hAnsi="Times New Roman" w:cs="Times New Roman"/>
          <w:sz w:val="24"/>
          <w:szCs w:val="24"/>
        </w:rPr>
      </w:pPr>
      <w:r w:rsidRPr="00A90774">
        <w:rPr>
          <w:rFonts w:ascii="Times New Roman" w:hAnsi="Times New Roman" w:cs="Times New Roman"/>
          <w:b/>
          <w:bCs/>
          <w:sz w:val="24"/>
          <w:szCs w:val="24"/>
        </w:rPr>
        <w:t>Supplementary Figure S1.</w:t>
      </w:r>
      <w:r w:rsidR="002D2F7F">
        <w:rPr>
          <w:rFonts w:ascii="Times New Roman" w:hAnsi="Times New Roman" w:cs="Times New Roman" w:hint="eastAsia"/>
          <w:sz w:val="24"/>
          <w:szCs w:val="24"/>
        </w:rPr>
        <w:t xml:space="preserve"> </w:t>
      </w:r>
      <w:r w:rsidR="0034288C">
        <w:rPr>
          <w:rFonts w:ascii="Times New Roman" w:hAnsi="Times New Roman" w:cs="Times New Roman"/>
          <w:sz w:val="24"/>
          <w:szCs w:val="24"/>
        </w:rPr>
        <w:t>a</w:t>
      </w:r>
      <w:r w:rsidRPr="00A90774">
        <w:rPr>
          <w:rFonts w:ascii="Times New Roman" w:hAnsi="Times New Roman" w:cs="Times New Roman"/>
          <w:sz w:val="24"/>
          <w:szCs w:val="24"/>
        </w:rPr>
        <w:t xml:space="preserve">) The TCHHL1 siRNAs strongly suppressed the expression of TCHHL1 mRNA. </w:t>
      </w:r>
      <w:r w:rsidR="0034288C">
        <w:rPr>
          <w:rFonts w:ascii="Times New Roman" w:hAnsi="Times New Roman" w:cs="Times New Roman"/>
          <w:sz w:val="24"/>
          <w:szCs w:val="24"/>
        </w:rPr>
        <w:t>b</w:t>
      </w:r>
      <w:r w:rsidRPr="00A90774">
        <w:rPr>
          <w:rFonts w:ascii="Times New Roman" w:hAnsi="Times New Roman" w:cs="Times New Roman"/>
          <w:sz w:val="24"/>
          <w:szCs w:val="24"/>
        </w:rPr>
        <w:t xml:space="preserve">) Full-length blots of Figure 1b. The TCHHL1 siRNAs suppressed the expression of TCHHL1 protein. </w:t>
      </w:r>
      <w:r w:rsidR="0034288C">
        <w:rPr>
          <w:rFonts w:ascii="Times New Roman" w:hAnsi="Times New Roman" w:cs="Times New Roman"/>
          <w:sz w:val="24"/>
          <w:szCs w:val="24"/>
        </w:rPr>
        <w:t>c</w:t>
      </w:r>
      <w:r w:rsidRPr="00A90774">
        <w:rPr>
          <w:rFonts w:ascii="Times New Roman" w:hAnsi="Times New Roman" w:cs="Times New Roman"/>
          <w:sz w:val="24"/>
          <w:szCs w:val="24"/>
        </w:rPr>
        <w:t xml:space="preserve">) Quantification of the number of growing NHKs at 1, 3, and 5 days after transfection with TCHHL1 siRNAs or control siRNA. The data represent the mean ± SD of three independent experiments. *p&lt;0.05. </w:t>
      </w:r>
      <w:r w:rsidR="0034288C">
        <w:rPr>
          <w:rFonts w:ascii="Times New Roman" w:hAnsi="Times New Roman" w:cs="Times New Roman"/>
          <w:sz w:val="24"/>
          <w:szCs w:val="24"/>
        </w:rPr>
        <w:t>d</w:t>
      </w:r>
      <w:r w:rsidRPr="00A90774">
        <w:rPr>
          <w:rFonts w:ascii="Times New Roman" w:hAnsi="Times New Roman" w:cs="Times New Roman"/>
          <w:sz w:val="24"/>
          <w:szCs w:val="24"/>
        </w:rPr>
        <w:t>) Knockdown of TCHHL1 due to TCHHL1 siRNAs suppressed the growth rate of NHKs, as determined by MTS assay. The data represent the mean ± SD of three independent experiments. **p&lt;0.01.</w:t>
      </w:r>
    </w:p>
    <w:p w14:paraId="248B352D" w14:textId="0B83B766" w:rsidR="00A90774" w:rsidRDefault="00A90774" w:rsidP="00A90774">
      <w:pPr>
        <w:spacing w:line="480" w:lineRule="auto"/>
        <w:rPr>
          <w:rFonts w:ascii="Times New Roman" w:hAnsi="Times New Roman" w:cs="Times New Roman"/>
          <w:sz w:val="24"/>
          <w:szCs w:val="24"/>
        </w:rPr>
      </w:pPr>
    </w:p>
    <w:p w14:paraId="0A757A3B" w14:textId="3A4578B2" w:rsidR="00A90774" w:rsidRDefault="00A90774" w:rsidP="00A90774">
      <w:pPr>
        <w:spacing w:line="480" w:lineRule="auto"/>
        <w:rPr>
          <w:rFonts w:ascii="Times New Roman" w:hAnsi="Times New Roman" w:cs="Times New Roman"/>
          <w:sz w:val="24"/>
          <w:szCs w:val="24"/>
        </w:rPr>
      </w:pPr>
      <w:r w:rsidRPr="00A90774">
        <w:rPr>
          <w:rFonts w:ascii="Times New Roman" w:hAnsi="Times New Roman" w:cs="Times New Roman"/>
          <w:b/>
          <w:bCs/>
          <w:sz w:val="24"/>
          <w:szCs w:val="24"/>
        </w:rPr>
        <w:t xml:space="preserve">Supplementary Figure </w:t>
      </w:r>
      <w:r w:rsidR="002D2F7F">
        <w:rPr>
          <w:rFonts w:ascii="Times New Roman" w:hAnsi="Times New Roman" w:cs="Times New Roman"/>
          <w:b/>
          <w:bCs/>
          <w:sz w:val="24"/>
          <w:szCs w:val="24"/>
        </w:rPr>
        <w:t>S</w:t>
      </w:r>
      <w:r w:rsidRPr="00A90774">
        <w:rPr>
          <w:rFonts w:ascii="Times New Roman" w:hAnsi="Times New Roman" w:cs="Times New Roman"/>
          <w:b/>
          <w:bCs/>
          <w:sz w:val="24"/>
          <w:szCs w:val="24"/>
        </w:rPr>
        <w:t>2.</w:t>
      </w:r>
      <w:r w:rsidR="002D2F7F">
        <w:rPr>
          <w:rFonts w:ascii="Times New Roman" w:hAnsi="Times New Roman" w:cs="Times New Roman"/>
          <w:b/>
          <w:bCs/>
          <w:sz w:val="24"/>
          <w:szCs w:val="24"/>
        </w:rPr>
        <w:t xml:space="preserve"> </w:t>
      </w:r>
      <w:r w:rsidRPr="00A90774">
        <w:rPr>
          <w:rFonts w:ascii="Times New Roman" w:hAnsi="Times New Roman" w:cs="Times New Roman"/>
          <w:sz w:val="24"/>
          <w:szCs w:val="24"/>
        </w:rPr>
        <w:t>Apoptosis-related upregulated genes. Upregulated genes were analyzed by the Ingenuity® Pathway Analysis tools. Many proapoptotic genes were upregulated, and apoptosis was predicted to be activated in the TCHHL1 siRNA-treated samples.</w:t>
      </w:r>
    </w:p>
    <w:p w14:paraId="163420FB" w14:textId="68E1E844" w:rsidR="002D2F7F" w:rsidRDefault="002D2F7F" w:rsidP="00A90774">
      <w:pPr>
        <w:spacing w:line="480" w:lineRule="auto"/>
        <w:rPr>
          <w:rFonts w:ascii="Times New Roman" w:hAnsi="Times New Roman" w:cs="Times New Roman"/>
          <w:sz w:val="24"/>
          <w:szCs w:val="24"/>
        </w:rPr>
      </w:pPr>
    </w:p>
    <w:p w14:paraId="3D98638D" w14:textId="637A46CE" w:rsidR="002D2F7F" w:rsidRDefault="002D2F7F" w:rsidP="00A90774">
      <w:pPr>
        <w:spacing w:line="480" w:lineRule="auto"/>
        <w:rPr>
          <w:rFonts w:ascii="Times New Roman" w:hAnsi="Times New Roman" w:cs="Times New Roman"/>
          <w:sz w:val="24"/>
          <w:szCs w:val="24"/>
        </w:rPr>
      </w:pPr>
      <w:r w:rsidRPr="002D2F7F">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2D2F7F">
        <w:rPr>
          <w:rFonts w:ascii="Times New Roman" w:hAnsi="Times New Roman" w:cs="Times New Roman"/>
          <w:b/>
          <w:bCs/>
          <w:sz w:val="24"/>
          <w:szCs w:val="24"/>
        </w:rPr>
        <w:t>3.</w:t>
      </w:r>
      <w:r w:rsidRPr="002D2F7F">
        <w:rPr>
          <w:rFonts w:ascii="Times New Roman" w:hAnsi="Times New Roman" w:cs="Times New Roman"/>
          <w:sz w:val="24"/>
          <w:szCs w:val="24"/>
        </w:rPr>
        <w:t xml:space="preserve"> Apoptosis-related downregulated genes. Downregulated genes were analyzed by the Ingenuity® Pathway Analysis tools. Many antiapoptotic genes were downregulated, and apoptosis was predicted to be activated in the TCHHL1 </w:t>
      </w:r>
      <w:r w:rsidRPr="002D2F7F">
        <w:rPr>
          <w:rFonts w:ascii="Times New Roman" w:hAnsi="Times New Roman" w:cs="Times New Roman"/>
          <w:sz w:val="24"/>
          <w:szCs w:val="24"/>
        </w:rPr>
        <w:lastRenderedPageBreak/>
        <w:t>siRNA-treated samples.</w:t>
      </w:r>
    </w:p>
    <w:p w14:paraId="38AAE909" w14:textId="77777777" w:rsidR="002D2F7F" w:rsidRDefault="002D2F7F" w:rsidP="002D2F7F">
      <w:pPr>
        <w:spacing w:line="480" w:lineRule="auto"/>
        <w:rPr>
          <w:rFonts w:ascii="Times New Roman" w:hAnsi="Times New Roman" w:cs="Times New Roman"/>
          <w:b/>
          <w:bCs/>
          <w:sz w:val="24"/>
          <w:szCs w:val="24"/>
        </w:rPr>
      </w:pPr>
    </w:p>
    <w:p w14:paraId="0B258468" w14:textId="0FBAC528" w:rsidR="002D2F7F" w:rsidRPr="002D2F7F" w:rsidRDefault="002D2F7F" w:rsidP="002D2F7F">
      <w:pPr>
        <w:spacing w:line="480" w:lineRule="auto"/>
        <w:rPr>
          <w:rFonts w:ascii="Times New Roman" w:hAnsi="Times New Roman" w:cs="Times New Roman"/>
          <w:sz w:val="24"/>
          <w:szCs w:val="24"/>
        </w:rPr>
      </w:pPr>
      <w:r w:rsidRPr="002D2F7F">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2D2F7F">
        <w:rPr>
          <w:rFonts w:ascii="Times New Roman" w:hAnsi="Times New Roman" w:cs="Times New Roman"/>
          <w:b/>
          <w:bCs/>
          <w:sz w:val="24"/>
          <w:szCs w:val="24"/>
        </w:rPr>
        <w:t xml:space="preserve">4. </w:t>
      </w:r>
      <w:r w:rsidRPr="002D2F7F">
        <w:rPr>
          <w:rFonts w:ascii="Times New Roman" w:hAnsi="Times New Roman" w:cs="Times New Roman"/>
          <w:sz w:val="24"/>
          <w:szCs w:val="24"/>
        </w:rPr>
        <w:t xml:space="preserve">Full-length blots of Figure 3a. Western blotting of NHKs transfected with TCHHL1 siRNA or control siRNA. β-actin was used as a loading control. </w:t>
      </w:r>
    </w:p>
    <w:p w14:paraId="64FB2E64" w14:textId="132F9F34" w:rsidR="002D2F7F" w:rsidRPr="002D2F7F" w:rsidRDefault="002D2F7F" w:rsidP="00A90774">
      <w:pPr>
        <w:spacing w:line="480" w:lineRule="auto"/>
        <w:rPr>
          <w:rFonts w:ascii="Times New Roman" w:hAnsi="Times New Roman" w:cs="Times New Roman"/>
          <w:sz w:val="24"/>
          <w:szCs w:val="24"/>
        </w:rPr>
      </w:pPr>
    </w:p>
    <w:p w14:paraId="65F965CA" w14:textId="3D5E4C12" w:rsidR="002D2F7F" w:rsidRPr="002D2F7F" w:rsidRDefault="002D2F7F" w:rsidP="002D2F7F">
      <w:pPr>
        <w:spacing w:line="480" w:lineRule="auto"/>
        <w:rPr>
          <w:rFonts w:ascii="Times New Roman" w:hAnsi="Times New Roman" w:cs="Times New Roman"/>
          <w:sz w:val="24"/>
          <w:szCs w:val="24"/>
        </w:rPr>
      </w:pPr>
      <w:r w:rsidRPr="002D2F7F">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2D2F7F">
        <w:rPr>
          <w:rFonts w:ascii="Times New Roman" w:hAnsi="Times New Roman" w:cs="Times New Roman"/>
          <w:b/>
          <w:bCs/>
          <w:sz w:val="24"/>
          <w:szCs w:val="24"/>
        </w:rPr>
        <w:t xml:space="preserve">5. </w:t>
      </w:r>
      <w:r w:rsidRPr="002D2F7F">
        <w:rPr>
          <w:rFonts w:ascii="Times New Roman" w:hAnsi="Times New Roman" w:cs="Times New Roman"/>
          <w:sz w:val="24"/>
          <w:szCs w:val="24"/>
        </w:rPr>
        <w:t xml:space="preserve">Full-length blots of Figure 3a. Western blotting of NHKs transfected with TCHHL1 siRNA or control siRNA. β-actin was used as a loading control. </w:t>
      </w:r>
    </w:p>
    <w:p w14:paraId="24FB3E72" w14:textId="71720A8D" w:rsidR="002D2F7F" w:rsidRDefault="002D2F7F" w:rsidP="00A90774">
      <w:pPr>
        <w:spacing w:line="480" w:lineRule="auto"/>
        <w:rPr>
          <w:rFonts w:ascii="Times New Roman" w:hAnsi="Times New Roman" w:cs="Times New Roman"/>
          <w:sz w:val="24"/>
          <w:szCs w:val="24"/>
        </w:rPr>
      </w:pPr>
    </w:p>
    <w:p w14:paraId="4841E6CD" w14:textId="6DF950AC" w:rsidR="002D2F7F" w:rsidRPr="002D2F7F" w:rsidRDefault="002D2F7F" w:rsidP="002D2F7F">
      <w:pPr>
        <w:spacing w:line="480" w:lineRule="auto"/>
        <w:rPr>
          <w:rFonts w:ascii="Times New Roman" w:hAnsi="Times New Roman" w:cs="Times New Roman"/>
          <w:sz w:val="24"/>
          <w:szCs w:val="24"/>
        </w:rPr>
      </w:pPr>
      <w:r w:rsidRPr="002D2F7F">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2D2F7F">
        <w:rPr>
          <w:rFonts w:ascii="Times New Roman" w:hAnsi="Times New Roman" w:cs="Times New Roman"/>
          <w:b/>
          <w:bCs/>
          <w:sz w:val="24"/>
          <w:szCs w:val="24"/>
        </w:rPr>
        <w:t xml:space="preserve">6. </w:t>
      </w:r>
      <w:r w:rsidRPr="002D2F7F">
        <w:rPr>
          <w:rFonts w:ascii="Times New Roman" w:hAnsi="Times New Roman" w:cs="Times New Roman"/>
          <w:sz w:val="24"/>
          <w:szCs w:val="24"/>
        </w:rPr>
        <w:t xml:space="preserve">Full-length blots of Figure 3b. Western blotting of NHKs treated with AG1478 (EGFR inhibitor). β-actin was used as a loading control. </w:t>
      </w:r>
    </w:p>
    <w:p w14:paraId="3F0BA8FA" w14:textId="1098C754" w:rsidR="002D2F7F" w:rsidRDefault="002D2F7F" w:rsidP="00A90774">
      <w:pPr>
        <w:spacing w:line="480" w:lineRule="auto"/>
        <w:rPr>
          <w:rFonts w:ascii="Times New Roman" w:hAnsi="Times New Roman" w:cs="Times New Roman"/>
          <w:sz w:val="24"/>
          <w:szCs w:val="24"/>
        </w:rPr>
      </w:pPr>
    </w:p>
    <w:p w14:paraId="700D873D" w14:textId="670F1222" w:rsidR="002D2F7F" w:rsidRDefault="002D2F7F" w:rsidP="002D2F7F">
      <w:pPr>
        <w:spacing w:line="480" w:lineRule="auto"/>
        <w:rPr>
          <w:rFonts w:ascii="Times New Roman" w:hAnsi="Times New Roman" w:cs="Times New Roman"/>
          <w:sz w:val="24"/>
          <w:szCs w:val="24"/>
        </w:rPr>
      </w:pPr>
      <w:r w:rsidRPr="002D2F7F">
        <w:rPr>
          <w:rFonts w:ascii="Times New Roman" w:hAnsi="Times New Roman" w:cs="Times New Roman"/>
          <w:b/>
          <w:bCs/>
          <w:sz w:val="24"/>
          <w:szCs w:val="24"/>
        </w:rPr>
        <w:t xml:space="preserve">Supplementary Figure </w:t>
      </w:r>
      <w:r w:rsidR="0034288C">
        <w:rPr>
          <w:rFonts w:ascii="Times New Roman" w:hAnsi="Times New Roman" w:cs="Times New Roman"/>
          <w:b/>
          <w:bCs/>
          <w:sz w:val="24"/>
          <w:szCs w:val="24"/>
        </w:rPr>
        <w:t>S</w:t>
      </w:r>
      <w:r w:rsidRPr="002D2F7F">
        <w:rPr>
          <w:rFonts w:ascii="Times New Roman" w:hAnsi="Times New Roman" w:cs="Times New Roman"/>
          <w:b/>
          <w:bCs/>
          <w:sz w:val="24"/>
          <w:szCs w:val="24"/>
        </w:rPr>
        <w:t>7.</w:t>
      </w:r>
      <w:r w:rsidRPr="002D2F7F">
        <w:rPr>
          <w:rFonts w:ascii="Times New Roman" w:hAnsi="Times New Roman" w:cs="Times New Roman"/>
          <w:sz w:val="24"/>
          <w:szCs w:val="24"/>
        </w:rPr>
        <w:t xml:space="preserve"> </w:t>
      </w:r>
      <w:r w:rsidRPr="003637C2">
        <w:rPr>
          <w:rFonts w:ascii="Times New Roman" w:hAnsi="Times New Roman" w:cs="Times New Roman"/>
          <w:sz w:val="24"/>
          <w:szCs w:val="24"/>
        </w:rPr>
        <w:t>a)</w:t>
      </w:r>
      <w:r w:rsidRPr="003637C2">
        <w:rPr>
          <w:rFonts w:ascii="Times New Roman" w:hAnsi="Times New Roman" w:cs="Times New Roman"/>
          <w:b/>
          <w:bCs/>
          <w:sz w:val="24"/>
          <w:szCs w:val="24"/>
        </w:rPr>
        <w:t xml:space="preserve"> </w:t>
      </w:r>
      <w:r w:rsidR="00753B9C" w:rsidRPr="003637C2">
        <w:rPr>
          <w:rFonts w:ascii="Times New Roman" w:hAnsi="Times New Roman" w:cs="Times New Roman"/>
          <w:sz w:val="24"/>
          <w:szCs w:val="24"/>
        </w:rPr>
        <w:t>Treatment with KLF4 siRNA in NHKs decreased the mRNA expression of KLF4 to 40.6% of the control NHKs</w:t>
      </w:r>
      <w:r w:rsidRPr="003637C2">
        <w:rPr>
          <w:rFonts w:ascii="Times New Roman" w:hAnsi="Times New Roman" w:cs="Times New Roman"/>
          <w:sz w:val="24"/>
          <w:szCs w:val="24"/>
        </w:rPr>
        <w:t>. b) Relative mRNAs in NHKs with KLF4 siRNA or control siRNA were studied by quantitative reverse transcriptional PCR (RT-PCR), normalized to the β-actin value. The data represent the mean ± SD of three independent experiments. *p&lt;0.01.</w:t>
      </w:r>
    </w:p>
    <w:p w14:paraId="7B0C663F" w14:textId="25BB731A" w:rsidR="0034288C" w:rsidRDefault="0034288C" w:rsidP="002D2F7F">
      <w:pPr>
        <w:spacing w:line="480" w:lineRule="auto"/>
        <w:rPr>
          <w:rFonts w:ascii="Times New Roman" w:hAnsi="Times New Roman" w:cs="Times New Roman"/>
          <w:sz w:val="24"/>
          <w:szCs w:val="24"/>
        </w:rPr>
      </w:pPr>
    </w:p>
    <w:p w14:paraId="1A525FE7" w14:textId="2889F7A0" w:rsidR="0034288C" w:rsidRPr="0034288C" w:rsidRDefault="0034288C" w:rsidP="0034288C">
      <w:pPr>
        <w:spacing w:line="480" w:lineRule="auto"/>
        <w:rPr>
          <w:rFonts w:ascii="Times New Roman" w:hAnsi="Times New Roman" w:cs="Times New Roman"/>
          <w:sz w:val="24"/>
          <w:szCs w:val="24"/>
        </w:rPr>
      </w:pPr>
      <w:r w:rsidRPr="0034288C">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34288C">
        <w:rPr>
          <w:rFonts w:ascii="Times New Roman" w:hAnsi="Times New Roman" w:cs="Times New Roman"/>
          <w:b/>
          <w:bCs/>
          <w:sz w:val="24"/>
          <w:szCs w:val="24"/>
        </w:rPr>
        <w:t xml:space="preserve">8. </w:t>
      </w:r>
      <w:r w:rsidRPr="0034288C">
        <w:rPr>
          <w:rFonts w:ascii="Times New Roman" w:hAnsi="Times New Roman" w:cs="Times New Roman"/>
          <w:sz w:val="24"/>
          <w:szCs w:val="24"/>
        </w:rPr>
        <w:t xml:space="preserve">The histological finding of cutaneous squamous cell </w:t>
      </w:r>
      <w:r w:rsidRPr="0034288C">
        <w:rPr>
          <w:rFonts w:ascii="Times New Roman" w:hAnsi="Times New Roman" w:cs="Times New Roman"/>
          <w:sz w:val="24"/>
          <w:szCs w:val="24"/>
        </w:rPr>
        <w:lastRenderedPageBreak/>
        <w:t>carcinoma (Hematoxylin-Eosin staining).</w:t>
      </w:r>
      <w:r w:rsidR="00E83C6D">
        <w:rPr>
          <w:rFonts w:ascii="Times New Roman" w:hAnsi="Times New Roman" w:cs="Times New Roman"/>
          <w:sz w:val="24"/>
          <w:szCs w:val="24"/>
        </w:rPr>
        <w:t xml:space="preserve"> </w:t>
      </w:r>
      <w:r w:rsidR="00E83C6D" w:rsidRPr="003637C2">
        <w:rPr>
          <w:rFonts w:ascii="Times New Roman" w:hAnsi="Times New Roman" w:cs="Times New Roman"/>
          <w:sz w:val="24"/>
          <w:szCs w:val="24"/>
        </w:rPr>
        <w:t xml:space="preserve">The </w:t>
      </w:r>
      <w:proofErr w:type="gramStart"/>
      <w:r w:rsidR="00E83C6D" w:rsidRPr="003637C2">
        <w:rPr>
          <w:rFonts w:ascii="Times New Roman" w:hAnsi="Times New Roman" w:cs="Times New Roman"/>
          <w:sz w:val="24"/>
          <w:szCs w:val="24"/>
        </w:rPr>
        <w:t>poorly-differentiated</w:t>
      </w:r>
      <w:proofErr w:type="gramEnd"/>
      <w:r w:rsidR="00E83C6D" w:rsidRPr="003637C2">
        <w:rPr>
          <w:rFonts w:ascii="Times New Roman" w:hAnsi="Times New Roman" w:cs="Times New Roman"/>
          <w:sz w:val="24"/>
          <w:szCs w:val="24"/>
        </w:rPr>
        <w:t xml:space="preserve"> SCC is histologically characterized by atypicality of tumor cells, keratinization of individual cells and the absence of an intercellular bridge. In contrast, the well-differentiated SCC is characterized by the presence of keratinization, which frequently takes place in the form of horn pearls.</w:t>
      </w:r>
    </w:p>
    <w:p w14:paraId="233B7BCC" w14:textId="5FE7F86B" w:rsidR="0034288C" w:rsidRDefault="0034288C" w:rsidP="002D2F7F">
      <w:pPr>
        <w:spacing w:line="480" w:lineRule="auto"/>
        <w:rPr>
          <w:rFonts w:ascii="Times New Roman" w:hAnsi="Times New Roman" w:cs="Times New Roman"/>
          <w:sz w:val="24"/>
          <w:szCs w:val="24"/>
        </w:rPr>
      </w:pPr>
    </w:p>
    <w:p w14:paraId="13D94803" w14:textId="1169FDEC" w:rsidR="0034288C" w:rsidRDefault="0034288C" w:rsidP="0034288C">
      <w:pPr>
        <w:spacing w:line="480" w:lineRule="auto"/>
        <w:rPr>
          <w:rFonts w:ascii="Times New Roman" w:hAnsi="Times New Roman" w:cs="Times New Roman"/>
          <w:sz w:val="24"/>
          <w:szCs w:val="24"/>
        </w:rPr>
      </w:pPr>
      <w:r w:rsidRPr="0034288C">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34288C">
        <w:rPr>
          <w:rFonts w:ascii="Times New Roman" w:hAnsi="Times New Roman" w:cs="Times New Roman"/>
          <w:b/>
          <w:bCs/>
          <w:sz w:val="24"/>
          <w:szCs w:val="24"/>
        </w:rPr>
        <w:t>9.</w:t>
      </w:r>
      <w:r w:rsidRPr="0034288C">
        <w:rPr>
          <w:rFonts w:ascii="Times New Roman" w:hAnsi="Times New Roman" w:cs="Times New Roman"/>
          <w:sz w:val="24"/>
          <w:szCs w:val="24"/>
        </w:rPr>
        <w:t xml:space="preserve"> a) TCHHL1 siRNA strongly suppressed the expression of TCHHL1 mRNA to 17.1%. b) Western blotting showed a marked reduction of TCHHL1 protein (21.2%). C) Full-length blots of supplementary Figure 9b. Western blotting of HSC1 transfected with TCHHL1 siRNA or control siRNA. β-actin was used as a loading control.</w:t>
      </w:r>
    </w:p>
    <w:p w14:paraId="4EE9E3EA" w14:textId="7DD97493" w:rsidR="0034288C" w:rsidRDefault="0034288C" w:rsidP="0034288C">
      <w:pPr>
        <w:spacing w:line="480" w:lineRule="auto"/>
        <w:rPr>
          <w:rFonts w:ascii="Times New Roman" w:hAnsi="Times New Roman" w:cs="Times New Roman"/>
          <w:sz w:val="24"/>
          <w:szCs w:val="24"/>
        </w:rPr>
      </w:pPr>
    </w:p>
    <w:p w14:paraId="52AA5360" w14:textId="143646CD" w:rsidR="0034288C" w:rsidRPr="0034288C" w:rsidRDefault="0034288C" w:rsidP="0034288C">
      <w:pPr>
        <w:spacing w:line="480" w:lineRule="auto"/>
        <w:rPr>
          <w:rFonts w:ascii="Times New Roman" w:hAnsi="Times New Roman" w:cs="Times New Roman"/>
          <w:sz w:val="24"/>
          <w:szCs w:val="24"/>
        </w:rPr>
      </w:pPr>
      <w:r w:rsidRPr="0034288C">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34288C">
        <w:rPr>
          <w:rFonts w:ascii="Times New Roman" w:hAnsi="Times New Roman" w:cs="Times New Roman"/>
          <w:b/>
          <w:bCs/>
          <w:sz w:val="24"/>
          <w:szCs w:val="24"/>
        </w:rPr>
        <w:t xml:space="preserve">10. </w:t>
      </w:r>
      <w:r w:rsidRPr="0034288C">
        <w:rPr>
          <w:rFonts w:ascii="Times New Roman" w:hAnsi="Times New Roman" w:cs="Times New Roman"/>
          <w:sz w:val="24"/>
          <w:szCs w:val="24"/>
        </w:rPr>
        <w:t xml:space="preserve">a) Representative micrographs of HSC1 cells at 1, 3, and 5 days after transfection of TCHHL1 siRNA or control siRNA. b) Quantification of the number of HSC-1 cells at 1, 3, and 5 days after transfection with TCHHL1 siRNA or control siRNA. The data represent the mean ± SD of three independent experiments. NS: not significant, *p&lt;0.01. c) TCHHL1 siRNA or control siRNA were transfected into HSC1 cells that were stained using anti-Ki67 antibody (left panels). Nuclear staining by 6-diamidine-2’-phenylindole dihydrochloride (DAPI) appears in blue. Merged figures </w:t>
      </w:r>
      <w:r w:rsidRPr="0034288C">
        <w:rPr>
          <w:rFonts w:ascii="Times New Roman" w:hAnsi="Times New Roman" w:cs="Times New Roman"/>
          <w:sz w:val="24"/>
          <w:szCs w:val="24"/>
        </w:rPr>
        <w:lastRenderedPageBreak/>
        <w:t xml:space="preserve">with nuclear staining are also shown (right panels). d) HSC1 cells transfected with TCHHL1 siRNA or control siRNA were subjected to TUNEL staining (left panels). Nuclear staining by DAPI appears in blue. Merged figures with nuclear staining are also shown (right panels).  e) HSC-1 cells that were transfected with TCHHL1 siRNA or control siRNA were stained with annexin V and PI and assessed by a FACS analysis at 3 days after transfection of siRNAs. </w:t>
      </w:r>
    </w:p>
    <w:p w14:paraId="1A5A332D" w14:textId="77777777" w:rsidR="0034288C" w:rsidRPr="0034288C" w:rsidRDefault="0034288C" w:rsidP="0034288C">
      <w:pPr>
        <w:spacing w:line="480" w:lineRule="auto"/>
        <w:rPr>
          <w:rFonts w:ascii="Times New Roman" w:hAnsi="Times New Roman" w:cs="Times New Roman"/>
          <w:sz w:val="24"/>
          <w:szCs w:val="24"/>
        </w:rPr>
      </w:pPr>
    </w:p>
    <w:p w14:paraId="26F99002" w14:textId="280825DE" w:rsidR="0034288C" w:rsidRPr="0034288C" w:rsidRDefault="0034288C" w:rsidP="0034288C">
      <w:pPr>
        <w:spacing w:line="480" w:lineRule="auto"/>
        <w:rPr>
          <w:rFonts w:ascii="Times New Roman" w:hAnsi="Times New Roman" w:cs="Times New Roman"/>
          <w:sz w:val="24"/>
          <w:szCs w:val="24"/>
        </w:rPr>
      </w:pPr>
      <w:r w:rsidRPr="0034288C">
        <w:rPr>
          <w:rFonts w:ascii="Times New Roman" w:hAnsi="Times New Roman" w:cs="Times New Roman"/>
          <w:b/>
          <w:bCs/>
          <w:sz w:val="24"/>
          <w:szCs w:val="24"/>
        </w:rPr>
        <w:t xml:space="preserve">Supplementary Figure </w:t>
      </w:r>
      <w:r>
        <w:rPr>
          <w:rFonts w:ascii="Times New Roman" w:hAnsi="Times New Roman" w:cs="Times New Roman"/>
          <w:b/>
          <w:bCs/>
          <w:sz w:val="24"/>
          <w:szCs w:val="24"/>
        </w:rPr>
        <w:t>S</w:t>
      </w:r>
      <w:r w:rsidRPr="0034288C">
        <w:rPr>
          <w:rFonts w:ascii="Times New Roman" w:hAnsi="Times New Roman" w:cs="Times New Roman"/>
          <w:b/>
          <w:bCs/>
          <w:sz w:val="24"/>
          <w:szCs w:val="24"/>
        </w:rPr>
        <w:t xml:space="preserve">11. </w:t>
      </w:r>
      <w:r w:rsidRPr="0034288C">
        <w:rPr>
          <w:rFonts w:ascii="Times New Roman" w:hAnsi="Times New Roman" w:cs="Times New Roman"/>
          <w:sz w:val="24"/>
          <w:szCs w:val="24"/>
        </w:rPr>
        <w:t xml:space="preserve">Full-length blots of Figure 7g. Western blotting of HSC1 cells transfected with TCHHL1 siRNA or control siRNA. β-actin was used as a loading control. </w:t>
      </w:r>
    </w:p>
    <w:p w14:paraId="61320C2B" w14:textId="77777777" w:rsidR="0034288C" w:rsidRPr="002D2F7F" w:rsidRDefault="0034288C" w:rsidP="002D2F7F">
      <w:pPr>
        <w:spacing w:line="480" w:lineRule="auto"/>
        <w:rPr>
          <w:rFonts w:ascii="Times New Roman" w:hAnsi="Times New Roman" w:cs="Times New Roman"/>
          <w:sz w:val="24"/>
          <w:szCs w:val="24"/>
        </w:rPr>
      </w:pPr>
    </w:p>
    <w:p w14:paraId="5023AA45" w14:textId="77777777" w:rsidR="002D2F7F" w:rsidRPr="00A90774" w:rsidRDefault="002D2F7F" w:rsidP="00A90774">
      <w:pPr>
        <w:spacing w:line="480" w:lineRule="auto"/>
        <w:rPr>
          <w:rFonts w:ascii="Times New Roman" w:hAnsi="Times New Roman" w:cs="Times New Roman"/>
          <w:sz w:val="24"/>
          <w:szCs w:val="24"/>
        </w:rPr>
      </w:pPr>
    </w:p>
    <w:p w14:paraId="571F726F" w14:textId="77777777" w:rsidR="00A90774" w:rsidRPr="00A90774" w:rsidRDefault="00A90774" w:rsidP="00A90774">
      <w:pPr>
        <w:spacing w:line="480" w:lineRule="auto"/>
        <w:rPr>
          <w:rFonts w:ascii="Times New Roman" w:hAnsi="Times New Roman" w:cs="Times New Roman"/>
          <w:sz w:val="24"/>
          <w:szCs w:val="24"/>
        </w:rPr>
      </w:pPr>
    </w:p>
    <w:sectPr w:rsidR="00A90774" w:rsidRPr="00A9077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0"/>
  <w:bordersDoNotSurroundHeader/>
  <w:bordersDoNotSurroundFooter/>
  <w:proofState w:spelling="clean" w:grammar="clean"/>
  <w:defaultTabStop w:val="85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4"/>
    <w:rsid w:val="002D2F7F"/>
    <w:rsid w:val="0034288C"/>
    <w:rsid w:val="003637C2"/>
    <w:rsid w:val="005C1DEE"/>
    <w:rsid w:val="00753B9C"/>
    <w:rsid w:val="008726BE"/>
    <w:rsid w:val="00A90774"/>
    <w:rsid w:val="00E83C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BDD38D"/>
  <w15:chartTrackingRefBased/>
  <w15:docId w15:val="{B86770CA-E0B6-461F-B6B2-F554A935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59077">
      <w:bodyDiv w:val="1"/>
      <w:marLeft w:val="0"/>
      <w:marRight w:val="0"/>
      <w:marTop w:val="0"/>
      <w:marBottom w:val="0"/>
      <w:divBdr>
        <w:top w:val="none" w:sz="0" w:space="0" w:color="auto"/>
        <w:left w:val="none" w:sz="0" w:space="0" w:color="auto"/>
        <w:bottom w:val="none" w:sz="0" w:space="0" w:color="auto"/>
        <w:right w:val="none" w:sz="0" w:space="0" w:color="auto"/>
      </w:divBdr>
    </w:div>
    <w:div w:id="289941378">
      <w:bodyDiv w:val="1"/>
      <w:marLeft w:val="0"/>
      <w:marRight w:val="0"/>
      <w:marTop w:val="0"/>
      <w:marBottom w:val="0"/>
      <w:divBdr>
        <w:top w:val="none" w:sz="0" w:space="0" w:color="auto"/>
        <w:left w:val="none" w:sz="0" w:space="0" w:color="auto"/>
        <w:bottom w:val="none" w:sz="0" w:space="0" w:color="auto"/>
        <w:right w:val="none" w:sz="0" w:space="0" w:color="auto"/>
      </w:divBdr>
    </w:div>
    <w:div w:id="327096346">
      <w:bodyDiv w:val="1"/>
      <w:marLeft w:val="0"/>
      <w:marRight w:val="0"/>
      <w:marTop w:val="0"/>
      <w:marBottom w:val="0"/>
      <w:divBdr>
        <w:top w:val="none" w:sz="0" w:space="0" w:color="auto"/>
        <w:left w:val="none" w:sz="0" w:space="0" w:color="auto"/>
        <w:bottom w:val="none" w:sz="0" w:space="0" w:color="auto"/>
        <w:right w:val="none" w:sz="0" w:space="0" w:color="auto"/>
      </w:divBdr>
    </w:div>
    <w:div w:id="570429697">
      <w:bodyDiv w:val="1"/>
      <w:marLeft w:val="0"/>
      <w:marRight w:val="0"/>
      <w:marTop w:val="0"/>
      <w:marBottom w:val="0"/>
      <w:divBdr>
        <w:top w:val="none" w:sz="0" w:space="0" w:color="auto"/>
        <w:left w:val="none" w:sz="0" w:space="0" w:color="auto"/>
        <w:bottom w:val="none" w:sz="0" w:space="0" w:color="auto"/>
        <w:right w:val="none" w:sz="0" w:space="0" w:color="auto"/>
      </w:divBdr>
    </w:div>
    <w:div w:id="603921511">
      <w:bodyDiv w:val="1"/>
      <w:marLeft w:val="0"/>
      <w:marRight w:val="0"/>
      <w:marTop w:val="0"/>
      <w:marBottom w:val="0"/>
      <w:divBdr>
        <w:top w:val="none" w:sz="0" w:space="0" w:color="auto"/>
        <w:left w:val="none" w:sz="0" w:space="0" w:color="auto"/>
        <w:bottom w:val="none" w:sz="0" w:space="0" w:color="auto"/>
        <w:right w:val="none" w:sz="0" w:space="0" w:color="auto"/>
      </w:divBdr>
    </w:div>
    <w:div w:id="637808193">
      <w:bodyDiv w:val="1"/>
      <w:marLeft w:val="0"/>
      <w:marRight w:val="0"/>
      <w:marTop w:val="0"/>
      <w:marBottom w:val="0"/>
      <w:divBdr>
        <w:top w:val="none" w:sz="0" w:space="0" w:color="auto"/>
        <w:left w:val="none" w:sz="0" w:space="0" w:color="auto"/>
        <w:bottom w:val="none" w:sz="0" w:space="0" w:color="auto"/>
        <w:right w:val="none" w:sz="0" w:space="0" w:color="auto"/>
      </w:divBdr>
    </w:div>
    <w:div w:id="1019548794">
      <w:bodyDiv w:val="1"/>
      <w:marLeft w:val="0"/>
      <w:marRight w:val="0"/>
      <w:marTop w:val="0"/>
      <w:marBottom w:val="0"/>
      <w:divBdr>
        <w:top w:val="none" w:sz="0" w:space="0" w:color="auto"/>
        <w:left w:val="none" w:sz="0" w:space="0" w:color="auto"/>
        <w:bottom w:val="none" w:sz="0" w:space="0" w:color="auto"/>
        <w:right w:val="none" w:sz="0" w:space="0" w:color="auto"/>
      </w:divBdr>
    </w:div>
    <w:div w:id="1246841181">
      <w:bodyDiv w:val="1"/>
      <w:marLeft w:val="0"/>
      <w:marRight w:val="0"/>
      <w:marTop w:val="0"/>
      <w:marBottom w:val="0"/>
      <w:divBdr>
        <w:top w:val="none" w:sz="0" w:space="0" w:color="auto"/>
        <w:left w:val="none" w:sz="0" w:space="0" w:color="auto"/>
        <w:bottom w:val="none" w:sz="0" w:space="0" w:color="auto"/>
        <w:right w:val="none" w:sz="0" w:space="0" w:color="auto"/>
      </w:divBdr>
    </w:div>
    <w:div w:id="1403944094">
      <w:bodyDiv w:val="1"/>
      <w:marLeft w:val="0"/>
      <w:marRight w:val="0"/>
      <w:marTop w:val="0"/>
      <w:marBottom w:val="0"/>
      <w:divBdr>
        <w:top w:val="none" w:sz="0" w:space="0" w:color="auto"/>
        <w:left w:val="none" w:sz="0" w:space="0" w:color="auto"/>
        <w:bottom w:val="none" w:sz="0" w:space="0" w:color="auto"/>
        <w:right w:val="none" w:sz="0" w:space="0" w:color="auto"/>
      </w:divBdr>
    </w:div>
    <w:div w:id="1847934970">
      <w:bodyDiv w:val="1"/>
      <w:marLeft w:val="0"/>
      <w:marRight w:val="0"/>
      <w:marTop w:val="0"/>
      <w:marBottom w:val="0"/>
      <w:divBdr>
        <w:top w:val="none" w:sz="0" w:space="0" w:color="auto"/>
        <w:left w:val="none" w:sz="0" w:space="0" w:color="auto"/>
        <w:bottom w:val="none" w:sz="0" w:space="0" w:color="auto"/>
        <w:right w:val="none" w:sz="0" w:space="0" w:color="auto"/>
      </w:divBdr>
    </w:div>
    <w:div w:id="195424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597</Words>
  <Characters>3408</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Makino Teruhiko</dc:creator>
  <cp:keywords/>
  <dc:description/>
  <cp:lastModifiedBy>Makino Teruhiko</cp:lastModifiedBy>
  <cp:revision>5</cp:revision>
  <dcterms:created xsi:type="dcterms:W3CDTF">2020-09-17T03:13:00Z</dcterms:created>
  <dcterms:modified xsi:type="dcterms:W3CDTF">2020-09-26T01:46:00Z</dcterms:modified>
</cp:coreProperties>
</file>