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35D04" w14:textId="1766F67C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8"/>
          <w:szCs w:val="28"/>
        </w:rPr>
      </w:pPr>
      <w:r w:rsidRPr="007E7B05">
        <w:rPr>
          <w:rFonts w:ascii="Times New Roman"/>
          <w:b/>
          <w:color w:val="000000" w:themeColor="text1"/>
          <w:sz w:val="28"/>
          <w:szCs w:val="28"/>
        </w:rPr>
        <w:t xml:space="preserve">Supplemental </w:t>
      </w:r>
      <w:r w:rsidR="00682307" w:rsidRPr="007E7B05">
        <w:rPr>
          <w:rFonts w:ascii="Times New Roman"/>
          <w:b/>
          <w:color w:val="000000" w:themeColor="text1"/>
          <w:sz w:val="28"/>
          <w:szCs w:val="28"/>
        </w:rPr>
        <w:t>Materials</w:t>
      </w:r>
    </w:p>
    <w:p w14:paraId="29193308" w14:textId="77777777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bookmarkStart w:id="0" w:name="_Hlk42192917"/>
      <w:r w:rsidRPr="007E7B05">
        <w:rPr>
          <w:rFonts w:ascii="Times New Roman"/>
          <w:b/>
          <w:color w:val="000000" w:themeColor="text1"/>
          <w:sz w:val="24"/>
        </w:rPr>
        <w:t xml:space="preserve">Figure S1. Related to Figure 2. Development of the mouse model for ALD by feeding with a diet of HCFD and alcohol </w:t>
      </w:r>
    </w:p>
    <w:p w14:paraId="46C77E17" w14:textId="77777777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>(A)</w:t>
      </w:r>
      <w:r w:rsidRPr="007E7B05">
        <w:rPr>
          <w:rFonts w:ascii="Times New Roman"/>
          <w:color w:val="000000" w:themeColor="text1"/>
          <w:sz w:val="24"/>
        </w:rPr>
        <w:t xml:space="preserve"> Hepatomegaly was assessed by measuring the ratio of liver weight (LW) to body weight (BW) (control, n = 6; ALD, n = 9). Mean ± SEM. ***</w:t>
      </w:r>
      <w:r w:rsidRPr="007E7B05">
        <w:rPr>
          <w:rFonts w:ascii="Times New Roman"/>
          <w:i/>
          <w:color w:val="000000" w:themeColor="text1"/>
          <w:sz w:val="24"/>
        </w:rPr>
        <w:t xml:space="preserve">p </w:t>
      </w:r>
      <w:r w:rsidRPr="007E7B05">
        <w:rPr>
          <w:rFonts w:ascii="Times New Roman"/>
          <w:color w:val="000000" w:themeColor="text1"/>
          <w:sz w:val="24"/>
        </w:rPr>
        <w:t xml:space="preserve">&lt; 0.001. </w:t>
      </w:r>
      <w:r w:rsidRPr="007E7B05">
        <w:rPr>
          <w:rFonts w:ascii="Times New Roman"/>
          <w:b/>
          <w:color w:val="000000" w:themeColor="text1"/>
          <w:sz w:val="24"/>
        </w:rPr>
        <w:t>(B)</w:t>
      </w:r>
      <w:r w:rsidRPr="007E7B05">
        <w:rPr>
          <w:rFonts w:ascii="Times New Roman"/>
          <w:color w:val="000000" w:themeColor="text1"/>
          <w:sz w:val="24"/>
        </w:rPr>
        <w:t xml:space="preserve"> Hepatic macro- and </w:t>
      </w:r>
      <w:proofErr w:type="spellStart"/>
      <w:r w:rsidRPr="007E7B05">
        <w:rPr>
          <w:rFonts w:ascii="Times New Roman"/>
          <w:color w:val="000000" w:themeColor="text1"/>
          <w:sz w:val="24"/>
        </w:rPr>
        <w:t>microvesicular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 steatosis (control, n = 6; ALD, n = 9).</w:t>
      </w:r>
      <w:r w:rsidRPr="007E7B05">
        <w:rPr>
          <w:rFonts w:ascii="Times New Roman"/>
          <w:b/>
          <w:color w:val="000000" w:themeColor="text1"/>
          <w:sz w:val="24"/>
        </w:rPr>
        <w:t xml:space="preserve"> </w:t>
      </w:r>
      <w:r w:rsidRPr="007E7B05">
        <w:rPr>
          <w:rFonts w:ascii="Times New Roman"/>
          <w:color w:val="000000" w:themeColor="text1"/>
          <w:sz w:val="24"/>
        </w:rPr>
        <w:t>Mean ± SEM. ***</w:t>
      </w:r>
      <w:r w:rsidRPr="007E7B05">
        <w:rPr>
          <w:rFonts w:ascii="Times New Roman"/>
          <w:i/>
          <w:color w:val="000000" w:themeColor="text1"/>
          <w:sz w:val="24"/>
        </w:rPr>
        <w:t xml:space="preserve">p </w:t>
      </w:r>
      <w:r w:rsidRPr="007E7B05">
        <w:rPr>
          <w:rFonts w:ascii="Times New Roman"/>
          <w:color w:val="000000" w:themeColor="text1"/>
          <w:sz w:val="24"/>
        </w:rPr>
        <w:t>&lt; 0.001.</w:t>
      </w:r>
      <w:r w:rsidRPr="007E7B05">
        <w:rPr>
          <w:rFonts w:ascii="Times New Roman"/>
          <w:b/>
          <w:color w:val="000000" w:themeColor="text1"/>
          <w:sz w:val="24"/>
        </w:rPr>
        <w:t xml:space="preserve"> (C)</w:t>
      </w:r>
      <w:r w:rsidRPr="007E7B05">
        <w:rPr>
          <w:rFonts w:ascii="Times New Roman"/>
          <w:color w:val="000000" w:themeColor="text1"/>
          <w:sz w:val="24"/>
        </w:rPr>
        <w:t xml:space="preserve"> Plasma levels of ALT and AST (control, n = 6; ALD, n = 9). Mean ± SEM. **</w:t>
      </w:r>
      <w:r w:rsidRPr="007E7B05">
        <w:rPr>
          <w:rFonts w:ascii="Times New Roman"/>
          <w:i/>
          <w:color w:val="000000" w:themeColor="text1"/>
          <w:sz w:val="24"/>
        </w:rPr>
        <w:t xml:space="preserve">p </w:t>
      </w:r>
      <w:r w:rsidRPr="007E7B05">
        <w:rPr>
          <w:rFonts w:ascii="Times New Roman"/>
          <w:color w:val="000000" w:themeColor="text1"/>
          <w:sz w:val="24"/>
        </w:rPr>
        <w:t>&lt; 0.05.</w:t>
      </w:r>
      <w:r w:rsidRPr="007E7B05">
        <w:rPr>
          <w:rFonts w:ascii="Times New Roman"/>
          <w:b/>
          <w:color w:val="000000" w:themeColor="text1"/>
          <w:sz w:val="24"/>
        </w:rPr>
        <w:t xml:space="preserve"> </w:t>
      </w:r>
    </w:p>
    <w:p w14:paraId="399F0670" w14:textId="77AC8B7C" w:rsidR="00F64FFC" w:rsidRPr="007E7B05" w:rsidRDefault="00633997" w:rsidP="001B69BE">
      <w:pPr>
        <w:widowControl/>
        <w:wordWrap/>
        <w:autoSpaceDE/>
        <w:autoSpaceDN/>
        <w:spacing w:line="480" w:lineRule="auto"/>
        <w:rPr>
          <w:rFonts w:ascii="Times New Roman"/>
          <w:b/>
          <w:color w:val="000000" w:themeColor="text1"/>
          <w:sz w:val="24"/>
        </w:rPr>
      </w:pPr>
    </w:p>
    <w:p w14:paraId="74EA5BD2" w14:textId="38B31F20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>Figure S</w:t>
      </w:r>
      <w:r w:rsidR="007E7B05" w:rsidRPr="007E7B05">
        <w:rPr>
          <w:rFonts w:ascii="Times New Roman"/>
          <w:b/>
          <w:color w:val="000000" w:themeColor="text1"/>
          <w:sz w:val="24"/>
        </w:rPr>
        <w:t>2</w:t>
      </w:r>
      <w:r w:rsidRPr="007E7B05">
        <w:rPr>
          <w:rFonts w:ascii="Times New Roman"/>
          <w:b/>
          <w:color w:val="000000" w:themeColor="text1"/>
          <w:sz w:val="24"/>
        </w:rPr>
        <w:t xml:space="preserve">. Related to Figure 5. The expression of predicted TFs involved in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color w:val="000000" w:themeColor="text1"/>
          <w:sz w:val="24"/>
        </w:rPr>
        <w:t>-A expression</w:t>
      </w:r>
    </w:p>
    <w:p w14:paraId="5DD16DA4" w14:textId="77777777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  <w:proofErr w:type="spellStart"/>
      <w:r w:rsidRPr="007E7B05">
        <w:rPr>
          <w:rFonts w:ascii="Times New Roman"/>
          <w:color w:val="000000" w:themeColor="text1"/>
          <w:sz w:val="24"/>
        </w:rPr>
        <w:t>qRT</w:t>
      </w:r>
      <w:proofErr w:type="spellEnd"/>
      <w:r w:rsidRPr="007E7B05">
        <w:rPr>
          <w:rFonts w:ascii="Times New Roman"/>
          <w:color w:val="000000" w:themeColor="text1"/>
          <w:sz w:val="24"/>
        </w:rPr>
        <w:t>-PCR analysis of specific TFs in differentiated C2C12 cells. Mean ± SEM. *</w:t>
      </w:r>
      <w:r w:rsidRPr="007E7B05">
        <w:rPr>
          <w:rFonts w:ascii="Times New Roman"/>
          <w:i/>
          <w:color w:val="000000" w:themeColor="text1"/>
          <w:sz w:val="24"/>
        </w:rPr>
        <w:t>p</w:t>
      </w:r>
      <w:r w:rsidRPr="007E7B05">
        <w:rPr>
          <w:rFonts w:ascii="Times New Roman"/>
          <w:color w:val="000000" w:themeColor="text1"/>
          <w:sz w:val="24"/>
        </w:rPr>
        <w:t xml:space="preserve"> &lt; 0.05, **</w:t>
      </w:r>
      <w:r w:rsidRPr="007E7B05">
        <w:rPr>
          <w:rFonts w:ascii="Times New Roman"/>
          <w:i/>
          <w:color w:val="000000" w:themeColor="text1"/>
          <w:sz w:val="24"/>
        </w:rPr>
        <w:t>p</w:t>
      </w:r>
      <w:r w:rsidRPr="007E7B05">
        <w:rPr>
          <w:rFonts w:ascii="Times New Roman"/>
          <w:color w:val="000000" w:themeColor="text1"/>
          <w:sz w:val="24"/>
        </w:rPr>
        <w:t xml:space="preserve"> &lt; 0.01, ***</w:t>
      </w:r>
      <w:r w:rsidRPr="007E7B05">
        <w:rPr>
          <w:rFonts w:ascii="Times New Roman"/>
          <w:i/>
          <w:color w:val="000000" w:themeColor="text1"/>
          <w:sz w:val="24"/>
        </w:rPr>
        <w:t>p</w:t>
      </w:r>
      <w:r w:rsidRPr="007E7B05">
        <w:rPr>
          <w:rFonts w:ascii="Times New Roman"/>
          <w:color w:val="000000" w:themeColor="text1"/>
          <w:sz w:val="24"/>
        </w:rPr>
        <w:t xml:space="preserve"> &lt; 0.001. </w:t>
      </w:r>
    </w:p>
    <w:p w14:paraId="5CAE0EE3" w14:textId="096FC3B3" w:rsidR="00F64FFC" w:rsidRPr="007E7B05" w:rsidRDefault="00633997" w:rsidP="001B69BE">
      <w:pPr>
        <w:wordWrap/>
        <w:snapToGrid w:val="0"/>
        <w:spacing w:line="480" w:lineRule="auto"/>
        <w:jc w:val="left"/>
        <w:rPr>
          <w:rFonts w:ascii="Times New Roman"/>
          <w:b/>
          <w:color w:val="000000" w:themeColor="text1"/>
          <w:sz w:val="24"/>
        </w:rPr>
      </w:pPr>
    </w:p>
    <w:p w14:paraId="1C7E00AB" w14:textId="1C8DF8C4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>Figure S</w:t>
      </w:r>
      <w:r w:rsidR="007E7B05" w:rsidRPr="007E7B05">
        <w:rPr>
          <w:rFonts w:ascii="Times New Roman"/>
          <w:b/>
          <w:color w:val="000000" w:themeColor="text1"/>
          <w:sz w:val="24"/>
        </w:rPr>
        <w:t>3</w:t>
      </w:r>
      <w:r w:rsidRPr="007E7B05">
        <w:rPr>
          <w:rFonts w:ascii="Times New Roman"/>
          <w:b/>
          <w:color w:val="000000" w:themeColor="text1"/>
          <w:sz w:val="24"/>
        </w:rPr>
        <w:t xml:space="preserve">. Related to Figure 7. Absence of the interaction between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color w:val="000000" w:themeColor="text1"/>
          <w:sz w:val="24"/>
        </w:rPr>
        <w:t>-A and S1PR2 in C2C12 cells</w:t>
      </w:r>
    </w:p>
    <w:p w14:paraId="24FE683C" w14:textId="3BDE19C2" w:rsidR="00F1501E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color w:val="000000" w:themeColor="text1"/>
          <w:sz w:val="24"/>
        </w:rPr>
        <w:t>Immunoprecipitation with S1PR2-specific antibody was performed using C2C12 cell lysates in a pre-differentiated (cultured in GM) or differentiated (cultured in DM for three days) state. Input, total lysate control; IP, S1PR2 antibody-bound sample. WB analysis of the immunoprecipitated samples for indicated proteins.</w:t>
      </w:r>
    </w:p>
    <w:p w14:paraId="528EF241" w14:textId="77777777" w:rsidR="00F1501E" w:rsidRDefault="00F1501E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</w:p>
    <w:p w14:paraId="3597072D" w14:textId="52393FEB" w:rsidR="007E7B05" w:rsidRPr="007E7B05" w:rsidRDefault="007E7B05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 xml:space="preserve">Figure S4. Related to Figure 7 and Table S5. </w:t>
      </w:r>
      <w:r w:rsidR="00F72905">
        <w:rPr>
          <w:rFonts w:ascii="Times New Roman" w:hint="eastAsia"/>
          <w:b/>
          <w:color w:val="000000" w:themeColor="text1"/>
          <w:sz w:val="24"/>
        </w:rPr>
        <w:t>I</w:t>
      </w:r>
      <w:r w:rsidR="00F72905">
        <w:rPr>
          <w:rFonts w:ascii="Times New Roman"/>
          <w:b/>
          <w:color w:val="000000" w:themeColor="text1"/>
          <w:sz w:val="24"/>
        </w:rPr>
        <w:t xml:space="preserve">LK signaling </w:t>
      </w:r>
      <w:r w:rsidRPr="007E7B05">
        <w:rPr>
          <w:rFonts w:ascii="Times New Roman"/>
          <w:b/>
          <w:color w:val="000000" w:themeColor="text1"/>
          <w:sz w:val="24"/>
        </w:rPr>
        <w:t xml:space="preserve">pathway of muscle function involving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color w:val="000000" w:themeColor="text1"/>
          <w:sz w:val="24"/>
        </w:rPr>
        <w:t xml:space="preserve">-A-binding proteins </w:t>
      </w:r>
    </w:p>
    <w:p w14:paraId="56DEF443" w14:textId="1770B6AC" w:rsidR="00F64FFC" w:rsidRPr="007E7B05" w:rsidRDefault="00633997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</w:p>
    <w:p w14:paraId="077D4D3B" w14:textId="4D7E5067" w:rsidR="006B7AE9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bCs/>
          <w:color w:val="000000" w:themeColor="text1"/>
          <w:sz w:val="24"/>
        </w:rPr>
      </w:pPr>
      <w:r w:rsidRPr="007E7B05">
        <w:rPr>
          <w:rFonts w:ascii="Times New Roman" w:hint="eastAsia"/>
          <w:b/>
          <w:color w:val="000000" w:themeColor="text1"/>
          <w:sz w:val="24"/>
        </w:rPr>
        <w:t>F</w:t>
      </w:r>
      <w:r w:rsidRPr="007E7B05">
        <w:rPr>
          <w:rFonts w:ascii="Times New Roman"/>
          <w:b/>
          <w:color w:val="000000" w:themeColor="text1"/>
          <w:sz w:val="24"/>
        </w:rPr>
        <w:t xml:space="preserve">igure S5. Insignificant effect of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color w:val="000000" w:themeColor="text1"/>
          <w:sz w:val="24"/>
        </w:rPr>
        <w:t xml:space="preserve">-A-silencing on the level of Filamin-C during </w:t>
      </w:r>
      <w:r w:rsidRPr="007E7B05">
        <w:rPr>
          <w:rFonts w:ascii="Times New Roman"/>
          <w:b/>
          <w:color w:val="000000" w:themeColor="text1"/>
          <w:sz w:val="24"/>
        </w:rPr>
        <w:lastRenderedPageBreak/>
        <w:t>differentiation of C2C12 cells</w:t>
      </w:r>
      <w:r w:rsidRPr="007E7B05">
        <w:rPr>
          <w:rFonts w:ascii="Times New Roman"/>
          <w:color w:val="000000" w:themeColor="text1"/>
          <w:sz w:val="24"/>
        </w:rPr>
        <w:t xml:space="preserve"> </w:t>
      </w:r>
    </w:p>
    <w:p w14:paraId="6D089118" w14:textId="0C6459F1" w:rsidR="006B7AE9" w:rsidRDefault="00087DFC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  <w:r w:rsidRPr="007E7B05">
        <w:rPr>
          <w:rFonts w:ascii="Times New Roman"/>
          <w:color w:val="000000" w:themeColor="text1"/>
          <w:sz w:val="24"/>
        </w:rPr>
        <w:t xml:space="preserve">Expression of </w:t>
      </w:r>
      <w:proofErr w:type="spellStart"/>
      <w:r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-A in C2C12 myoblast was silenced using </w:t>
      </w:r>
      <w:proofErr w:type="spellStart"/>
      <w:r w:rsidRPr="007E7B05">
        <w:rPr>
          <w:rFonts w:ascii="Times New Roman"/>
          <w:color w:val="000000" w:themeColor="text1"/>
          <w:sz w:val="24"/>
        </w:rPr>
        <w:t>si</w:t>
      </w:r>
      <w:proofErr w:type="spellEnd"/>
      <w:r w:rsidRPr="007E7B05">
        <w:rPr>
          <w:rFonts w:ascii="Times New Roman"/>
          <w:color w:val="000000" w:themeColor="text1"/>
          <w:sz w:val="24"/>
        </w:rPr>
        <w:t>-</w:t>
      </w:r>
      <w:proofErr w:type="spellStart"/>
      <w:r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color w:val="000000" w:themeColor="text1"/>
          <w:sz w:val="24"/>
        </w:rPr>
        <w:t>-A, and myoblast differentiation was induced by DM for three days.</w:t>
      </w:r>
      <w:r w:rsidRPr="007E7B05">
        <w:rPr>
          <w:rFonts w:ascii="Times New Roman"/>
          <w:b/>
          <w:color w:val="000000" w:themeColor="text1"/>
          <w:sz w:val="24"/>
        </w:rPr>
        <w:t xml:space="preserve"> </w:t>
      </w:r>
      <w:r w:rsidRPr="007E7B05">
        <w:rPr>
          <w:rFonts w:ascii="Times New Roman"/>
          <w:color w:val="000000" w:themeColor="text1"/>
          <w:sz w:val="24"/>
        </w:rPr>
        <w:t xml:space="preserve">The level of </w:t>
      </w:r>
      <w:proofErr w:type="spellStart"/>
      <w:r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-A and </w:t>
      </w:r>
      <w:proofErr w:type="spellStart"/>
      <w:r w:rsidRPr="007E7B05">
        <w:rPr>
          <w:rFonts w:ascii="Times New Roman"/>
          <w:color w:val="000000" w:themeColor="text1"/>
          <w:sz w:val="24"/>
        </w:rPr>
        <w:t>Filamin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-C in differentiated </w:t>
      </w:r>
      <w:proofErr w:type="spellStart"/>
      <w:r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-A-silenced cells by WB analysis (n = 2/group). </w:t>
      </w:r>
    </w:p>
    <w:p w14:paraId="00DB39D0" w14:textId="4CE911DF" w:rsidR="001B69BE" w:rsidRDefault="001B69BE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</w:p>
    <w:p w14:paraId="245F7047" w14:textId="7CC1B6C5" w:rsidR="001B69BE" w:rsidRDefault="001B69BE" w:rsidP="001B69BE">
      <w:pPr>
        <w:wordWrap/>
        <w:snapToGrid w:val="0"/>
        <w:spacing w:line="480" w:lineRule="auto"/>
        <w:rPr>
          <w:rFonts w:ascii="Times New Roman"/>
          <w:b/>
          <w:bCs/>
          <w:color w:val="000000" w:themeColor="text1"/>
          <w:sz w:val="24"/>
        </w:rPr>
      </w:pPr>
      <w:r w:rsidRPr="001B69BE">
        <w:rPr>
          <w:rFonts w:ascii="Times New Roman"/>
          <w:b/>
          <w:bCs/>
          <w:color w:val="000000" w:themeColor="text1"/>
          <w:sz w:val="24"/>
        </w:rPr>
        <w:t xml:space="preserve">Figure S6. Graphical Abstract. </w:t>
      </w:r>
    </w:p>
    <w:p w14:paraId="51607FA5" w14:textId="77777777" w:rsidR="001B69BE" w:rsidRPr="00706652" w:rsidRDefault="001B69BE" w:rsidP="001B69BE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 w:eastAsia="굴림" w:hAnsi="Calibri" w:cs="Arial"/>
          <w:b/>
          <w:kern w:val="0"/>
          <w:sz w:val="28"/>
          <w:szCs w:val="28"/>
          <w:lang w:eastAsia="ja-JP"/>
        </w:rPr>
      </w:pPr>
      <w:proofErr w:type="spellStart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>Nogo</w:t>
      </w:r>
      <w:proofErr w:type="spellEnd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 xml:space="preserve"> deficiency results in a dystrophic muscle phenotype and the dysregulation of muscle circadian clock components, including BMAL1, NPAS2, and CLOCK, implicating a role for </w:t>
      </w:r>
      <w:proofErr w:type="spellStart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>Nogo</w:t>
      </w:r>
      <w:proofErr w:type="spellEnd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 xml:space="preserve"> in </w:t>
      </w:r>
      <w:proofErr w:type="spellStart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>myogenesis</w:t>
      </w:r>
      <w:proofErr w:type="spellEnd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 xml:space="preserve"> and lipid storage. Myoblasts expressing </w:t>
      </w:r>
      <w:proofErr w:type="spellStart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>Nogo</w:t>
      </w:r>
      <w:proofErr w:type="spellEnd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 xml:space="preserve">-A undergo a well-organized myotube differentiation process in the presence of an interaction between </w:t>
      </w:r>
      <w:proofErr w:type="spellStart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>Nogo</w:t>
      </w:r>
      <w:proofErr w:type="spellEnd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 xml:space="preserve">-A and </w:t>
      </w:r>
      <w:proofErr w:type="spellStart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>filamin</w:t>
      </w:r>
      <w:proofErr w:type="spellEnd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 xml:space="preserve">-C. Conversely, </w:t>
      </w:r>
      <w:proofErr w:type="spellStart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>Nogo</w:t>
      </w:r>
      <w:proofErr w:type="spellEnd"/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>-deficient myoblasts exhibit defective myogenesis</w:t>
      </w:r>
      <w:r w:rsidRPr="00706652">
        <w:rPr>
          <w:rFonts w:ascii="Times New Roman" w:eastAsia="MS Mincho" w:hAnsi="Calibri" w:cs="Arial"/>
          <w:kern w:val="0"/>
          <w:sz w:val="18"/>
          <w:szCs w:val="18"/>
          <w:lang w:eastAsia="ja-JP"/>
        </w:rPr>
        <w:t xml:space="preserve">, </w:t>
      </w:r>
      <w:r w:rsidRPr="00706652">
        <w:rPr>
          <w:rFonts w:ascii="Times New Roman" w:eastAsia="MS Mincho" w:hAnsi="Calibri" w:cs="Arial"/>
          <w:kern w:val="0"/>
          <w:sz w:val="24"/>
          <w:lang w:eastAsia="ja-JP"/>
        </w:rPr>
        <w:t xml:space="preserve">which </w:t>
      </w:r>
      <w:r w:rsidRPr="00706652">
        <w:rPr>
          <w:rFonts w:ascii="Times New Roman" w:eastAsia="MS Mincho" w:hAnsi="Calibri" w:cs="Arial"/>
          <w:kern w:val="0"/>
          <w:sz w:val="24"/>
          <w:szCs w:val="20"/>
          <w:lang w:eastAsia="ja-JP"/>
        </w:rPr>
        <w:t xml:space="preserve">results in impaired muscle homeostasis including dysregulated myogenesis and increased fat deposition. </w:t>
      </w:r>
    </w:p>
    <w:p w14:paraId="7BA2DE02" w14:textId="0E70A114" w:rsidR="006B7AE9" w:rsidRPr="007E7B05" w:rsidRDefault="00633997" w:rsidP="001B69BE">
      <w:pPr>
        <w:widowControl/>
        <w:wordWrap/>
        <w:autoSpaceDE/>
        <w:autoSpaceDN/>
        <w:spacing w:line="480" w:lineRule="auto"/>
        <w:jc w:val="left"/>
        <w:rPr>
          <w:rFonts w:ascii="Times New Roman"/>
          <w:b/>
          <w:color w:val="000000" w:themeColor="text1"/>
          <w:sz w:val="24"/>
        </w:rPr>
      </w:pPr>
    </w:p>
    <w:p w14:paraId="04CFF291" w14:textId="4BC43183" w:rsidR="00F64FFC" w:rsidRPr="007E7B05" w:rsidRDefault="00087DFC" w:rsidP="001B69BE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 xml:space="preserve">Table S1. Related to Figure 3. DEGs between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bCs/>
          <w:color w:val="000000" w:themeColor="text1"/>
          <w:sz w:val="24"/>
          <w:vertAlign w:val="superscript"/>
        </w:rPr>
        <w:t>−/−</w:t>
      </w:r>
      <w:r w:rsidRPr="007E7B05">
        <w:rPr>
          <w:rFonts w:ascii="Times New Roman"/>
          <w:b/>
          <w:bCs/>
          <w:color w:val="000000" w:themeColor="text1"/>
          <w:sz w:val="24"/>
        </w:rPr>
        <w:t xml:space="preserve"> </w:t>
      </w:r>
      <w:r w:rsidRPr="007E7B05">
        <w:rPr>
          <w:rFonts w:ascii="Times New Roman"/>
          <w:b/>
          <w:color w:val="000000" w:themeColor="text1"/>
          <w:sz w:val="24"/>
        </w:rPr>
        <w:t xml:space="preserve">and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color w:val="000000" w:themeColor="text1"/>
          <w:sz w:val="24"/>
          <w:vertAlign w:val="superscript"/>
        </w:rPr>
        <w:t>+/+</w:t>
      </w:r>
      <w:r w:rsidRPr="007E7B05">
        <w:rPr>
          <w:rFonts w:ascii="Times New Roman"/>
          <w:b/>
          <w:color w:val="000000" w:themeColor="text1"/>
          <w:sz w:val="24"/>
        </w:rPr>
        <w:t xml:space="preserve"> mice</w:t>
      </w:r>
    </w:p>
    <w:p w14:paraId="389967BD" w14:textId="77777777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  <w:r w:rsidRPr="007E7B05">
        <w:rPr>
          <w:rFonts w:ascii="Times New Roman"/>
          <w:color w:val="000000" w:themeColor="text1"/>
          <w:sz w:val="24"/>
        </w:rPr>
        <w:t xml:space="preserve">A total of 703 DEGs were altered in the </w:t>
      </w:r>
      <w:proofErr w:type="spellStart"/>
      <w:r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color w:val="000000" w:themeColor="text1"/>
          <w:sz w:val="24"/>
          <w:vertAlign w:val="superscript"/>
        </w:rPr>
        <w:t>−/−</w:t>
      </w:r>
      <w:r w:rsidRPr="007E7B05">
        <w:rPr>
          <w:rFonts w:ascii="Times New Roman"/>
          <w:b/>
          <w:bCs/>
          <w:color w:val="000000" w:themeColor="text1"/>
          <w:sz w:val="24"/>
        </w:rPr>
        <w:t xml:space="preserve"> </w:t>
      </w:r>
      <w:r w:rsidRPr="007E7B05">
        <w:rPr>
          <w:rFonts w:ascii="Times New Roman"/>
          <w:color w:val="000000" w:themeColor="text1"/>
          <w:sz w:val="24"/>
        </w:rPr>
        <w:t xml:space="preserve">mice compared to the </w:t>
      </w:r>
      <w:proofErr w:type="spellStart"/>
      <w:r w:rsidRPr="007E7B05">
        <w:rPr>
          <w:rFonts w:ascii="Times New Roman"/>
          <w:bCs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Cs/>
          <w:color w:val="000000" w:themeColor="text1"/>
          <w:sz w:val="24"/>
          <w:vertAlign w:val="superscript"/>
        </w:rPr>
        <w:t>+/+</w:t>
      </w:r>
      <w:r w:rsidRPr="007E7B05">
        <w:rPr>
          <w:rFonts w:ascii="Times New Roman"/>
          <w:b/>
          <w:color w:val="000000" w:themeColor="text1"/>
          <w:sz w:val="24"/>
        </w:rPr>
        <w:t xml:space="preserve"> </w:t>
      </w:r>
      <w:r w:rsidRPr="007E7B05">
        <w:rPr>
          <w:rFonts w:ascii="Times New Roman"/>
          <w:color w:val="000000" w:themeColor="text1"/>
          <w:sz w:val="24"/>
        </w:rPr>
        <w:t xml:space="preserve">mice. </w:t>
      </w:r>
      <w:proofErr w:type="spellStart"/>
      <w:r w:rsidRPr="007E7B05">
        <w:rPr>
          <w:rFonts w:ascii="Times New Roman"/>
          <w:color w:val="000000" w:themeColor="text1"/>
          <w:sz w:val="24"/>
        </w:rPr>
        <w:t>Ensembl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 IDs, </w:t>
      </w:r>
      <w:proofErr w:type="spellStart"/>
      <w:r w:rsidRPr="007E7B05">
        <w:rPr>
          <w:rFonts w:ascii="Times New Roman"/>
          <w:color w:val="000000" w:themeColor="text1"/>
          <w:sz w:val="24"/>
        </w:rPr>
        <w:t>Entrez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 IDs, Gene symbols, muscle markers, and FPKM values for each sample are shown. For each group, the DEG columns show which genes are DEGs (1, upregulated; −1, downregulated). FC columns show log</w:t>
      </w:r>
      <w:r w:rsidRPr="007E7B05">
        <w:rPr>
          <w:rFonts w:ascii="Times New Roman"/>
          <w:color w:val="000000" w:themeColor="text1"/>
          <w:sz w:val="24"/>
          <w:vertAlign w:val="subscript"/>
        </w:rPr>
        <w:t>2</w:t>
      </w:r>
      <w:r w:rsidRPr="007E7B05">
        <w:rPr>
          <w:rFonts w:ascii="Times New Roman"/>
          <w:color w:val="000000" w:themeColor="text1"/>
          <w:sz w:val="24"/>
        </w:rPr>
        <w:t xml:space="preserve"> fold changes between the </w:t>
      </w:r>
      <w:proofErr w:type="spellStart"/>
      <w:r w:rsidRPr="007E7B05">
        <w:rPr>
          <w:rFonts w:ascii="Times New Roman"/>
          <w:bCs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Cs/>
          <w:color w:val="000000" w:themeColor="text1"/>
          <w:sz w:val="24"/>
          <w:vertAlign w:val="superscript"/>
        </w:rPr>
        <w:t>−/−</w:t>
      </w:r>
      <w:r w:rsidRPr="007E7B05">
        <w:rPr>
          <w:rFonts w:ascii="Times New Roman"/>
          <w:bCs/>
          <w:color w:val="000000" w:themeColor="text1"/>
          <w:sz w:val="24"/>
        </w:rPr>
        <w:t xml:space="preserve"> and </w:t>
      </w:r>
      <w:proofErr w:type="spellStart"/>
      <w:r w:rsidRPr="007E7B05">
        <w:rPr>
          <w:rFonts w:ascii="Times New Roman"/>
          <w:bCs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Cs/>
          <w:color w:val="000000" w:themeColor="text1"/>
          <w:sz w:val="24"/>
          <w:vertAlign w:val="superscript"/>
        </w:rPr>
        <w:t xml:space="preserve">+/+ </w:t>
      </w:r>
      <w:r w:rsidRPr="007E7B05">
        <w:rPr>
          <w:rFonts w:ascii="Times New Roman"/>
          <w:bCs/>
          <w:color w:val="000000" w:themeColor="text1"/>
          <w:sz w:val="24"/>
        </w:rPr>
        <w:t>mice.</w:t>
      </w:r>
      <w:r w:rsidRPr="007E7B05">
        <w:rPr>
          <w:rFonts w:ascii="Times New Roman"/>
          <w:color w:val="000000" w:themeColor="text1"/>
          <w:sz w:val="24"/>
        </w:rPr>
        <w:t xml:space="preserve"> </w:t>
      </w:r>
    </w:p>
    <w:p w14:paraId="702D86F0" w14:textId="77777777" w:rsidR="00F64FFC" w:rsidRPr="007E7B05" w:rsidRDefault="00633997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</w:p>
    <w:p w14:paraId="1D9E97C1" w14:textId="77777777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 xml:space="preserve">Table S2. Related to Figure 3. Results of functional enrichment analysis by DAVID </w:t>
      </w:r>
    </w:p>
    <w:p w14:paraId="6830969C" w14:textId="77777777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  <w:r w:rsidRPr="007E7B05">
        <w:rPr>
          <w:rFonts w:ascii="Times New Roman"/>
          <w:color w:val="000000" w:themeColor="text1"/>
          <w:sz w:val="24"/>
        </w:rPr>
        <w:t xml:space="preserve">For each term from the KEGG pathway, GOBP, and GOMF in up- and down-regulated genes, total number of genes, </w:t>
      </w:r>
      <w:r w:rsidRPr="007E7B05">
        <w:rPr>
          <w:rFonts w:ascii="Times New Roman"/>
          <w:i/>
          <w:color w:val="000000" w:themeColor="text1"/>
          <w:sz w:val="24"/>
        </w:rPr>
        <w:t>p</w:t>
      </w:r>
      <w:r w:rsidRPr="007E7B05">
        <w:rPr>
          <w:rFonts w:ascii="Times New Roman"/>
          <w:color w:val="000000" w:themeColor="text1"/>
          <w:sz w:val="24"/>
        </w:rPr>
        <w:t xml:space="preserve"> values, and gene lists are shown.</w:t>
      </w:r>
    </w:p>
    <w:p w14:paraId="2AB99BDF" w14:textId="6CF52613" w:rsidR="007E7B05" w:rsidRPr="007E7B05" w:rsidRDefault="007E7B05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bookmarkStart w:id="1" w:name="_Hlk40781975"/>
    </w:p>
    <w:p w14:paraId="2A03875B" w14:textId="77777777" w:rsidR="00B748C4" w:rsidRDefault="00B748C4" w:rsidP="00B748C4">
      <w:pPr>
        <w:wordWrap/>
        <w:snapToGrid w:val="0"/>
        <w:spacing w:line="480" w:lineRule="auto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lastRenderedPageBreak/>
        <w:t>Table S3. Related to Figure 3. Results of TF enrichment analysis</w:t>
      </w:r>
    </w:p>
    <w:p w14:paraId="646C7636" w14:textId="77777777" w:rsidR="00B748C4" w:rsidRDefault="00B748C4" w:rsidP="00B748C4">
      <w:pPr>
        <w:wordWrap/>
        <w:snapToGrid w:val="0"/>
        <w:spacing w:line="480" w:lineRule="auto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For each TF, number of TFs targeting DEGs, </w:t>
      </w:r>
      <w:r>
        <w:rPr>
          <w:rFonts w:ascii="Times New Roman"/>
          <w:i/>
          <w:sz w:val="24"/>
        </w:rPr>
        <w:t>p</w:t>
      </w:r>
      <w:r>
        <w:rPr>
          <w:rFonts w:ascii="Times New Roman"/>
          <w:sz w:val="24"/>
        </w:rPr>
        <w:t xml:space="preserve"> values based on Fisher’s exact test, and gene lists are shown.</w:t>
      </w:r>
    </w:p>
    <w:p w14:paraId="7BB4352D" w14:textId="77777777" w:rsidR="00B748C4" w:rsidRPr="00B748C4" w:rsidRDefault="00B748C4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</w:p>
    <w:p w14:paraId="5B51D58C" w14:textId="1F5785C9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>Table S</w:t>
      </w:r>
      <w:r w:rsidR="00B748C4">
        <w:rPr>
          <w:rFonts w:ascii="Times New Roman"/>
          <w:b/>
          <w:color w:val="000000" w:themeColor="text1"/>
          <w:sz w:val="24"/>
        </w:rPr>
        <w:t>4</w:t>
      </w:r>
      <w:r w:rsidRPr="007E7B05">
        <w:rPr>
          <w:rFonts w:ascii="Times New Roman"/>
          <w:b/>
          <w:color w:val="000000" w:themeColor="text1"/>
          <w:sz w:val="24"/>
        </w:rPr>
        <w:t xml:space="preserve">. Related to Figure 5. Prediction of TFs involved in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color w:val="000000" w:themeColor="text1"/>
          <w:sz w:val="24"/>
        </w:rPr>
        <w:t xml:space="preserve">-A expression </w:t>
      </w:r>
    </w:p>
    <w:p w14:paraId="6D7A3E8A" w14:textId="06016521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  <w:r w:rsidRPr="007E7B05">
        <w:rPr>
          <w:rFonts w:ascii="Times New Roman"/>
          <w:color w:val="000000" w:themeColor="text1"/>
          <w:sz w:val="24"/>
        </w:rPr>
        <w:t xml:space="preserve">TF binding sites on </w:t>
      </w:r>
      <w:proofErr w:type="spellStart"/>
      <w:r w:rsidR="00454424" w:rsidRPr="00454424">
        <w:rPr>
          <w:rFonts w:ascii="Times New Roman"/>
          <w:i/>
          <w:iCs/>
          <w:color w:val="000000" w:themeColor="text1"/>
          <w:sz w:val="24"/>
        </w:rPr>
        <w:t>Nogo</w:t>
      </w:r>
      <w:proofErr w:type="spellEnd"/>
      <w:r w:rsidR="00997084">
        <w:rPr>
          <w:rFonts w:ascii="Times New Roman"/>
          <w:i/>
          <w:iCs/>
          <w:color w:val="000000" w:themeColor="text1"/>
          <w:sz w:val="24"/>
        </w:rPr>
        <w:t>-A</w:t>
      </w:r>
      <w:r w:rsidRPr="007E7B05">
        <w:rPr>
          <w:rFonts w:ascii="Times New Roman"/>
          <w:color w:val="000000" w:themeColor="text1"/>
          <w:sz w:val="24"/>
        </w:rPr>
        <w:t xml:space="preserve"> were analyzed using the JASPAR database (http://jaspar.genereg.net/), and TFs with a relative score greater than 0.9 were selected.</w:t>
      </w:r>
      <w:r w:rsidRPr="007E7B05">
        <w:rPr>
          <w:rFonts w:ascii="Times New Roman"/>
          <w:b/>
          <w:color w:val="000000" w:themeColor="text1"/>
          <w:sz w:val="24"/>
        </w:rPr>
        <w:t xml:space="preserve"> </w:t>
      </w:r>
    </w:p>
    <w:p w14:paraId="450CDD40" w14:textId="466C07A2" w:rsidR="007E7B05" w:rsidRPr="007E7B05" w:rsidRDefault="007E7B05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</w:p>
    <w:p w14:paraId="686FAC83" w14:textId="49E55AFA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>Table S</w:t>
      </w:r>
      <w:r w:rsidR="00B748C4">
        <w:rPr>
          <w:rFonts w:ascii="Times New Roman"/>
          <w:b/>
          <w:color w:val="000000" w:themeColor="text1"/>
          <w:sz w:val="24"/>
        </w:rPr>
        <w:t>5</w:t>
      </w:r>
      <w:r w:rsidRPr="007E7B05">
        <w:rPr>
          <w:rFonts w:ascii="Times New Roman"/>
          <w:b/>
          <w:color w:val="000000" w:themeColor="text1"/>
          <w:sz w:val="24"/>
        </w:rPr>
        <w:t xml:space="preserve">. Related to Figure 7.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color w:val="000000" w:themeColor="text1"/>
          <w:sz w:val="24"/>
        </w:rPr>
        <w:t xml:space="preserve">-A-binding proteins during C2C12 myoblast differentiation </w:t>
      </w:r>
    </w:p>
    <w:p w14:paraId="1F3A1806" w14:textId="77777777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  <w:proofErr w:type="spellStart"/>
      <w:r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-A-binding proteins in proliferating or differentiated C2C12 cells were analyzed by immunoprecipitation-mass spectrometry with a </w:t>
      </w:r>
      <w:proofErr w:type="spellStart"/>
      <w:r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color w:val="000000" w:themeColor="text1"/>
          <w:sz w:val="24"/>
        </w:rPr>
        <w:t xml:space="preserve">-A-specific antibody. List shows differentiated cell-specific </w:t>
      </w:r>
      <w:proofErr w:type="spellStart"/>
      <w:r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color w:val="000000" w:themeColor="text1"/>
          <w:sz w:val="24"/>
        </w:rPr>
        <w:t>-A binding proteins.</w:t>
      </w:r>
      <w:bookmarkStart w:id="2" w:name="_GoBack"/>
      <w:bookmarkEnd w:id="2"/>
    </w:p>
    <w:p w14:paraId="6E035352" w14:textId="3016F0CE" w:rsidR="007E7B05" w:rsidRPr="007E7B05" w:rsidRDefault="007E7B05" w:rsidP="001B69BE">
      <w:pPr>
        <w:widowControl/>
        <w:wordWrap/>
        <w:autoSpaceDE/>
        <w:autoSpaceDN/>
        <w:spacing w:line="480" w:lineRule="auto"/>
        <w:rPr>
          <w:rFonts w:ascii="Times New Roman"/>
          <w:b/>
          <w:color w:val="000000" w:themeColor="text1"/>
          <w:sz w:val="24"/>
        </w:rPr>
      </w:pPr>
    </w:p>
    <w:p w14:paraId="48BBF6AE" w14:textId="2BBDAF84" w:rsidR="00F64FFC" w:rsidRPr="007E7B05" w:rsidRDefault="00087DFC" w:rsidP="001B69BE">
      <w:pPr>
        <w:wordWrap/>
        <w:snapToGrid w:val="0"/>
        <w:spacing w:line="480" w:lineRule="auto"/>
        <w:rPr>
          <w:rFonts w:ascii="Times New Roman"/>
          <w:b/>
          <w:color w:val="000000" w:themeColor="text1"/>
          <w:sz w:val="24"/>
        </w:rPr>
      </w:pPr>
      <w:r w:rsidRPr="007E7B05">
        <w:rPr>
          <w:rFonts w:ascii="Times New Roman"/>
          <w:b/>
          <w:color w:val="000000" w:themeColor="text1"/>
          <w:sz w:val="24"/>
        </w:rPr>
        <w:t>Table S</w:t>
      </w:r>
      <w:r w:rsidR="00B748C4">
        <w:rPr>
          <w:rFonts w:ascii="Times New Roman"/>
          <w:b/>
          <w:color w:val="000000" w:themeColor="text1"/>
          <w:sz w:val="24"/>
        </w:rPr>
        <w:t>6</w:t>
      </w:r>
      <w:r w:rsidRPr="007E7B05">
        <w:rPr>
          <w:rFonts w:ascii="Times New Roman"/>
          <w:b/>
          <w:color w:val="000000" w:themeColor="text1"/>
          <w:sz w:val="24"/>
        </w:rPr>
        <w:t xml:space="preserve">. Related to Figure 7. </w:t>
      </w:r>
      <w:r w:rsidR="009D19B6">
        <w:rPr>
          <w:rFonts w:ascii="Times New Roman"/>
          <w:b/>
          <w:color w:val="000000" w:themeColor="text1"/>
          <w:sz w:val="24"/>
        </w:rPr>
        <w:t>S</w:t>
      </w:r>
      <w:r w:rsidR="006437B8">
        <w:rPr>
          <w:rFonts w:ascii="Times New Roman" w:hint="eastAsia"/>
          <w:b/>
          <w:color w:val="000000" w:themeColor="text1"/>
          <w:sz w:val="24"/>
        </w:rPr>
        <w:t>ignaling</w:t>
      </w:r>
      <w:r w:rsidR="006437B8">
        <w:rPr>
          <w:rFonts w:ascii="Times New Roman"/>
          <w:b/>
          <w:color w:val="000000" w:themeColor="text1"/>
          <w:sz w:val="24"/>
        </w:rPr>
        <w:t xml:space="preserve"> pathway</w:t>
      </w:r>
      <w:r w:rsidRPr="007E7B05">
        <w:rPr>
          <w:rFonts w:ascii="Times New Roman"/>
          <w:b/>
          <w:color w:val="000000" w:themeColor="text1"/>
          <w:sz w:val="24"/>
        </w:rPr>
        <w:t xml:space="preserve"> related to </w:t>
      </w:r>
      <w:proofErr w:type="spellStart"/>
      <w:r w:rsidRPr="007E7B05">
        <w:rPr>
          <w:rFonts w:ascii="Times New Roman"/>
          <w:b/>
          <w:color w:val="000000" w:themeColor="text1"/>
          <w:sz w:val="24"/>
        </w:rPr>
        <w:t>Nogo</w:t>
      </w:r>
      <w:proofErr w:type="spellEnd"/>
      <w:r w:rsidRPr="007E7B05">
        <w:rPr>
          <w:rFonts w:ascii="Times New Roman"/>
          <w:b/>
          <w:color w:val="000000" w:themeColor="text1"/>
          <w:sz w:val="24"/>
        </w:rPr>
        <w:t xml:space="preserve">-A-binding proteins </w:t>
      </w:r>
    </w:p>
    <w:p w14:paraId="6DF348F3" w14:textId="52AE33DD" w:rsidR="00F64FFC" w:rsidRPr="007E7B05" w:rsidRDefault="009D19B6" w:rsidP="001B69BE">
      <w:pPr>
        <w:wordWrap/>
        <w:snapToGrid w:val="0"/>
        <w:spacing w:line="480" w:lineRule="auto"/>
        <w:rPr>
          <w:rFonts w:ascii="Times New Roman"/>
          <w:color w:val="000000" w:themeColor="text1"/>
          <w:sz w:val="24"/>
        </w:rPr>
      </w:pPr>
      <w:r>
        <w:rPr>
          <w:rFonts w:ascii="Times New Roman"/>
          <w:color w:val="000000" w:themeColor="text1"/>
          <w:sz w:val="24"/>
        </w:rPr>
        <w:t>S</w:t>
      </w:r>
      <w:r w:rsidR="006437B8">
        <w:rPr>
          <w:rFonts w:ascii="Times New Roman"/>
          <w:color w:val="000000" w:themeColor="text1"/>
          <w:sz w:val="24"/>
        </w:rPr>
        <w:t>ignaling</w:t>
      </w:r>
      <w:r w:rsidR="00087DFC" w:rsidRPr="007E7B05">
        <w:rPr>
          <w:rFonts w:ascii="Times New Roman"/>
          <w:color w:val="000000" w:themeColor="text1"/>
          <w:sz w:val="24"/>
        </w:rPr>
        <w:t xml:space="preserve"> pathway implicated in muscle homeostasis in which </w:t>
      </w:r>
      <w:proofErr w:type="spellStart"/>
      <w:r w:rsidR="00087DFC" w:rsidRPr="007E7B05">
        <w:rPr>
          <w:rFonts w:ascii="Times New Roman"/>
          <w:color w:val="000000" w:themeColor="text1"/>
          <w:sz w:val="24"/>
        </w:rPr>
        <w:t>Nogo</w:t>
      </w:r>
      <w:proofErr w:type="spellEnd"/>
      <w:r w:rsidR="00087DFC" w:rsidRPr="007E7B05">
        <w:rPr>
          <w:rFonts w:ascii="Times New Roman"/>
          <w:color w:val="000000" w:themeColor="text1"/>
          <w:sz w:val="24"/>
        </w:rPr>
        <w:t>-A-binding proteins (Table S</w:t>
      </w:r>
      <w:r>
        <w:rPr>
          <w:rFonts w:ascii="Times New Roman"/>
          <w:color w:val="000000" w:themeColor="text1"/>
          <w:sz w:val="24"/>
        </w:rPr>
        <w:t>5</w:t>
      </w:r>
      <w:r w:rsidR="00087DFC" w:rsidRPr="007E7B05">
        <w:rPr>
          <w:rFonts w:ascii="Times New Roman"/>
          <w:color w:val="000000" w:themeColor="text1"/>
          <w:sz w:val="24"/>
        </w:rPr>
        <w:t xml:space="preserve">) are involved. </w:t>
      </w:r>
      <w:bookmarkEnd w:id="1"/>
    </w:p>
    <w:bookmarkEnd w:id="0"/>
    <w:p w14:paraId="29428704" w14:textId="77777777" w:rsidR="00F64FFC" w:rsidRPr="007E7B05" w:rsidRDefault="00633997" w:rsidP="001B69BE">
      <w:pPr>
        <w:widowControl/>
        <w:wordWrap/>
        <w:autoSpaceDE/>
        <w:autoSpaceDN/>
        <w:snapToGrid w:val="0"/>
        <w:spacing w:line="480" w:lineRule="auto"/>
        <w:jc w:val="left"/>
        <w:rPr>
          <w:rFonts w:ascii="Times New Roman"/>
          <w:b/>
          <w:color w:val="000000" w:themeColor="text1"/>
          <w:sz w:val="28"/>
          <w:szCs w:val="28"/>
        </w:rPr>
      </w:pPr>
    </w:p>
    <w:p w14:paraId="3C6061C3" w14:textId="652B3460" w:rsidR="009351A3" w:rsidRPr="007E7B05" w:rsidRDefault="00633997" w:rsidP="001B69BE">
      <w:pPr>
        <w:widowControl/>
        <w:wordWrap/>
        <w:autoSpaceDE/>
        <w:autoSpaceDN/>
        <w:spacing w:line="480" w:lineRule="auto"/>
        <w:jc w:val="left"/>
        <w:rPr>
          <w:rFonts w:ascii="Times New Roman"/>
          <w:color w:val="000000" w:themeColor="text1"/>
          <w:sz w:val="24"/>
        </w:rPr>
      </w:pPr>
    </w:p>
    <w:sectPr w:rsidR="009351A3" w:rsidRPr="007E7B05" w:rsidSect="00BF6DA2">
      <w:footerReference w:type="default" r:id="rId7"/>
      <w:pgSz w:w="11906" w:h="16838"/>
      <w:pgMar w:top="1701" w:right="1418" w:bottom="1701" w:left="1418" w:header="851" w:footer="992" w:gutter="0"/>
      <w:lnNumType w:countBy="1" w:restart="continuous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DB704" w14:textId="77777777" w:rsidR="00633997" w:rsidRDefault="00633997">
      <w:r>
        <w:separator/>
      </w:r>
    </w:p>
  </w:endnote>
  <w:endnote w:type="continuationSeparator" w:id="0">
    <w:p w14:paraId="425CBF28" w14:textId="77777777" w:rsidR="00633997" w:rsidRDefault="0063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2F75F" w14:textId="049605C0" w:rsidR="00B9542B" w:rsidRDefault="00087DF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D19B6">
      <w:rPr>
        <w:noProof/>
      </w:rPr>
      <w:t>3</w:t>
    </w:r>
    <w:r>
      <w:fldChar w:fldCharType="end"/>
    </w:r>
  </w:p>
  <w:p w14:paraId="1E68AEF6" w14:textId="77777777" w:rsidR="00B9542B" w:rsidRDefault="006339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0CAFA" w14:textId="77777777" w:rsidR="00633997" w:rsidRDefault="00633997">
      <w:r>
        <w:separator/>
      </w:r>
    </w:p>
  </w:footnote>
  <w:footnote w:type="continuationSeparator" w:id="0">
    <w:p w14:paraId="0E2B2703" w14:textId="77777777" w:rsidR="00633997" w:rsidRDefault="00633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D21"/>
    <w:rsid w:val="00087DFC"/>
    <w:rsid w:val="001B69BE"/>
    <w:rsid w:val="00454424"/>
    <w:rsid w:val="00504603"/>
    <w:rsid w:val="005102F6"/>
    <w:rsid w:val="00633997"/>
    <w:rsid w:val="006437B8"/>
    <w:rsid w:val="00655E45"/>
    <w:rsid w:val="00682307"/>
    <w:rsid w:val="007E7B05"/>
    <w:rsid w:val="008C0780"/>
    <w:rsid w:val="00997084"/>
    <w:rsid w:val="009D19B6"/>
    <w:rsid w:val="00A94D21"/>
    <w:rsid w:val="00B34A8B"/>
    <w:rsid w:val="00B64CBF"/>
    <w:rsid w:val="00B748C4"/>
    <w:rsid w:val="00BF6DA2"/>
    <w:rsid w:val="00DB2ABD"/>
    <w:rsid w:val="00EE49E3"/>
    <w:rsid w:val="00F1501E"/>
    <w:rsid w:val="00F35106"/>
    <w:rsid w:val="00F72905"/>
    <w:rsid w:val="00FA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0479BA"/>
  <w15:chartTrackingRefBased/>
  <w15:docId w15:val="{B236D69D-A14C-4DC6-9E61-CDCF1E42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D21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바닥글1"/>
    <w:basedOn w:val="a"/>
    <w:link w:val="FooterChar"/>
    <w:rsid w:val="00A94D21"/>
    <w:pPr>
      <w:tabs>
        <w:tab w:val="center" w:pos="4252"/>
        <w:tab w:val="right" w:pos="8504"/>
      </w:tabs>
      <w:snapToGrid w:val="0"/>
    </w:pPr>
  </w:style>
  <w:style w:type="character" w:customStyle="1" w:styleId="10">
    <w:name w:val="페이지 번호1"/>
    <w:basedOn w:val="a0"/>
    <w:rsid w:val="00A94D21"/>
    <w:rPr>
      <w:rFonts w:ascii="Times New Roman" w:hAnsi="Times New Roman"/>
      <w:sz w:val="24"/>
    </w:rPr>
  </w:style>
  <w:style w:type="character" w:customStyle="1" w:styleId="FooterChar">
    <w:name w:val="Footer Char"/>
    <w:link w:val="1"/>
    <w:rsid w:val="00A94D21"/>
    <w:rPr>
      <w:rFonts w:ascii="바탕" w:eastAsia="바탕" w:hAnsi="Times New Roman" w:cs="Times New Roman"/>
      <w:szCs w:val="24"/>
    </w:rPr>
  </w:style>
  <w:style w:type="paragraph" w:styleId="a3">
    <w:name w:val="header"/>
    <w:basedOn w:val="a"/>
    <w:link w:val="Char"/>
    <w:uiPriority w:val="99"/>
    <w:unhideWhenUsed/>
    <w:rsid w:val="0068230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82307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68230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82307"/>
    <w:rPr>
      <w:rFonts w:ascii="바탕" w:eastAsia="바탕" w:hAnsi="Times New Roman" w:cs="Times New Roman"/>
      <w:szCs w:val="24"/>
    </w:rPr>
  </w:style>
  <w:style w:type="character" w:styleId="a5">
    <w:name w:val="line number"/>
    <w:basedOn w:val="a0"/>
    <w:uiPriority w:val="99"/>
    <w:semiHidden/>
    <w:unhideWhenUsed/>
    <w:rsid w:val="00BF6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27996-55D2-433F-ACE8-8AAAD12AA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 선영</dc:creator>
  <cp:keywords/>
  <dc:description/>
  <cp:lastModifiedBy>이재영</cp:lastModifiedBy>
  <cp:revision>7</cp:revision>
  <dcterms:created xsi:type="dcterms:W3CDTF">2020-11-20T12:48:00Z</dcterms:created>
  <dcterms:modified xsi:type="dcterms:W3CDTF">2020-11-25T09:05:00Z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http://www.zotero.org/styles/cell-death-and-differentiation</vt:lpwstr>
  </property>
  <property fmtid="{D5CDD505-2E9C-101B-9397-08002B2CF9AE}" pid="5" name="Mendeley Recent Style Name 1_1">
    <vt:lpwstr>Cell Death &amp; Differentiation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http://www.zotero.org/styles/journal-of-cachexia-sarcopenia-and-muscle</vt:lpwstr>
  </property>
  <property fmtid="{D5CDD505-2E9C-101B-9397-08002B2CF9AE}" pid="9" name="Mendeley Recent Style Name 3_1">
    <vt:lpwstr>Journal of Cachexia, Sarcopenia and Muscle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http://www.zotero.org/styles/plos-medicine</vt:lpwstr>
  </property>
  <property fmtid="{D5CDD505-2E9C-101B-9397-08002B2CF9AE}" pid="15" name="Mendeley Recent Style Name 6_1">
    <vt:lpwstr>PLOS Medicine</vt:lpwstr>
  </property>
  <property fmtid="{D5CDD505-2E9C-101B-9397-08002B2CF9AE}" pid="16" name="Mendeley Recent Style Id 7_1">
    <vt:lpwstr>http://www.zotero.org/styles/science-advances</vt:lpwstr>
  </property>
  <property fmtid="{D5CDD505-2E9C-101B-9397-08002B2CF9AE}" pid="17" name="Mendeley Recent Style Name 7_1">
    <vt:lpwstr>Science Advances</vt:lpwstr>
  </property>
  <property fmtid="{D5CDD505-2E9C-101B-9397-08002B2CF9AE}" pid="18" name="Mendeley Recent Style Id 8_1">
    <vt:lpwstr>http://www.zotero.org/styles/the-journal-of-experimental-medicine</vt:lpwstr>
  </property>
  <property fmtid="{D5CDD505-2E9C-101B-9397-08002B2CF9AE}" pid="19" name="Mendeley Recent Style Name 8_1">
    <vt:lpwstr>The Journal of Experimental Medicine</vt:lpwstr>
  </property>
  <property fmtid="{D5CDD505-2E9C-101B-9397-08002B2CF9AE}" pid="20" name="Mendeley Recent Style Id 9_1">
    <vt:lpwstr>http://www.zotero.org/styles/elife</vt:lpwstr>
  </property>
  <property fmtid="{D5CDD505-2E9C-101B-9397-08002B2CF9AE}" pid="21" name="Mendeley Recent Style Name 9_1">
    <vt:lpwstr>eLife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2cbf50df-b5e4-3818-8aa5-efd7a9eba270</vt:lpwstr>
  </property>
  <property fmtid="{D5CDD505-2E9C-101B-9397-08002B2CF9AE}" pid="24" name="Mendeley Citation Style_1">
    <vt:lpwstr>http://www.zotero.org/styles/cell-death-and-differentiation</vt:lpwstr>
  </property>
</Properties>
</file>