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606A" w:rsidRDefault="0097606A" w:rsidP="0097606A">
      <w:pPr>
        <w:spacing w:line="480" w:lineRule="auto"/>
        <w:ind w:right="-18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Figure S1. </w:t>
      </w:r>
      <w:r w:rsidRPr="005D6774">
        <w:rPr>
          <w:rFonts w:ascii="Times New Roman" w:hAnsi="Times New Roman" w:cs="Times New Roman"/>
          <w:color w:val="000000" w:themeColor="text1"/>
        </w:rPr>
        <w:t>Representative immunofluorescence analysis for SDC1 and HS.</w:t>
      </w:r>
      <w:r w:rsidRPr="00A3202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32028">
        <w:rPr>
          <w:rFonts w:ascii="Times New Roman" w:hAnsi="Times New Roman" w:cs="Times New Roman"/>
          <w:color w:val="000000" w:themeColor="text1"/>
        </w:rPr>
        <w:t xml:space="preserve">Various human cancer cell lines were used as indicated. Counter stained with DAPI. </w:t>
      </w:r>
      <w:r w:rsidRPr="005B684F">
        <w:rPr>
          <w:rFonts w:ascii="Times New Roman" w:hAnsi="Times New Roman" w:cs="Times New Roman"/>
          <w:color w:val="000000" w:themeColor="text1"/>
        </w:rPr>
        <w:t>White arrowheads indicate the membranous SDC1 expressions.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32028">
        <w:rPr>
          <w:rFonts w:ascii="Times New Roman" w:hAnsi="Times New Roman" w:cs="Times New Roman"/>
          <w:color w:val="000000" w:themeColor="text1"/>
        </w:rPr>
        <w:t xml:space="preserve">Bar=10µm. </w:t>
      </w:r>
      <w:r w:rsidRPr="00A32028">
        <w:rPr>
          <w:rFonts w:ascii="Times New Roman" w:hAnsi="Times New Roman" w:cs="Times New Roman"/>
          <w:i/>
          <w:iCs/>
          <w:color w:val="000000" w:themeColor="text1"/>
        </w:rPr>
        <w:t>CASP4</w:t>
      </w:r>
      <w:r w:rsidRPr="00A32028">
        <w:rPr>
          <w:rFonts w:ascii="Times New Roman" w:hAnsi="Times New Roman" w:cs="Times New Roman"/>
          <w:color w:val="000000" w:themeColor="text1"/>
        </w:rPr>
        <w:t xml:space="preserve"> mRNA levels are shown on the right as the value of A549 (</w:t>
      </w:r>
      <w:r>
        <w:rPr>
          <w:rFonts w:ascii="Times New Roman" w:hAnsi="Times New Roman" w:cs="Times New Roman"/>
          <w:color w:val="000000" w:themeColor="text1"/>
        </w:rPr>
        <w:t>F</w:t>
      </w:r>
      <w:r w:rsidRPr="00A32028">
        <w:rPr>
          <w:rFonts w:ascii="Times New Roman" w:hAnsi="Times New Roman" w:cs="Times New Roman"/>
          <w:color w:val="000000" w:themeColor="text1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 xml:space="preserve">arbitrarily set </w:t>
      </w:r>
      <w:r w:rsidRPr="00A32028">
        <w:rPr>
          <w:rFonts w:ascii="Times New Roman" w:hAnsi="Times New Roman" w:cs="Times New Roman"/>
          <w:color w:val="000000" w:themeColor="text1"/>
        </w:rPr>
        <w:t>as 1.0.</w:t>
      </w:r>
    </w:p>
    <w:p w:rsidR="0097606A" w:rsidRDefault="0097606A" w:rsidP="0097606A">
      <w:pPr>
        <w:spacing w:line="480" w:lineRule="auto"/>
        <w:ind w:right="-187"/>
        <w:rPr>
          <w:rFonts w:ascii="Times New Roman" w:hAnsi="Times New Roman" w:cs="Times New Roman"/>
          <w:color w:val="000000" w:themeColor="text1"/>
        </w:rPr>
      </w:pPr>
    </w:p>
    <w:p w:rsidR="0097606A" w:rsidRDefault="0097606A" w:rsidP="0097606A">
      <w:pPr>
        <w:spacing w:line="480" w:lineRule="auto"/>
        <w:ind w:right="-18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Figure S2. </w:t>
      </w:r>
      <w:r w:rsidRPr="005D6774">
        <w:rPr>
          <w:rFonts w:ascii="Times New Roman" w:hAnsi="Times New Roman" w:cs="Times New Roman"/>
          <w:color w:val="000000" w:themeColor="text1"/>
        </w:rPr>
        <w:t xml:space="preserve">Flow cytometric analysis for SDC1 and HS expression on cell surfaces. </w:t>
      </w:r>
      <w:r w:rsidRPr="00A32028">
        <w:rPr>
          <w:rFonts w:ascii="Times New Roman" w:hAnsi="Times New Roman" w:cs="Times New Roman"/>
          <w:color w:val="000000" w:themeColor="text1"/>
        </w:rPr>
        <w:t>Various human cancer cells as indicated were analyzed using anti-SDC1 and HS antibody, respectively. Gray histograms indicate unstained negative control.</w:t>
      </w:r>
    </w:p>
    <w:p w:rsidR="0097606A" w:rsidRDefault="0097606A" w:rsidP="0097606A">
      <w:pPr>
        <w:spacing w:line="480" w:lineRule="auto"/>
        <w:ind w:right="-187"/>
        <w:rPr>
          <w:rFonts w:ascii="Times New Roman" w:hAnsi="Times New Roman" w:cs="Times New Roman"/>
          <w:color w:val="000000" w:themeColor="text1"/>
        </w:rPr>
      </w:pPr>
    </w:p>
    <w:p w:rsidR="004F0C56" w:rsidRDefault="004F0C56" w:rsidP="004F0C56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Figure S3. </w:t>
      </w:r>
      <w:r>
        <w:rPr>
          <w:rFonts w:ascii="Times New Roman" w:hAnsi="Times New Roman" w:cs="Times New Roman"/>
          <w:color w:val="000000" w:themeColor="text1"/>
        </w:rPr>
        <w:t xml:space="preserve">Time-dependent increase of LDH cytotoxicity under SCGB3A2+LPS in H596 cells. </w:t>
      </w:r>
      <w:r w:rsidR="009A6961" w:rsidRPr="005F50A8">
        <w:rPr>
          <w:rFonts w:ascii="Times New Roman" w:hAnsi="Times New Roman" w:cs="Times New Roman"/>
          <w:color w:val="000000"/>
        </w:rPr>
        <w:t>Average ± SD from more than 3 independent experiments</w:t>
      </w:r>
      <w:r w:rsidR="009A6961" w:rsidRPr="005F50A8">
        <w:t xml:space="preserve">. </w:t>
      </w:r>
      <w:r w:rsidRPr="005F50A8">
        <w:rPr>
          <w:rFonts w:ascii="Times New Roman" w:hAnsi="Times New Roman" w:cs="Times New Roman"/>
          <w:color w:val="000000" w:themeColor="text1"/>
        </w:rPr>
        <w:t>*P</w:t>
      </w:r>
      <w:r>
        <w:rPr>
          <w:rFonts w:ascii="Times New Roman" w:hAnsi="Times New Roman" w:cs="Times New Roman"/>
          <w:color w:val="000000" w:themeColor="text1"/>
        </w:rPr>
        <w:t>&lt;0.05 by Tukey’s multiple comparison. Incubation time is hr.</w:t>
      </w:r>
    </w:p>
    <w:p w:rsidR="004F0C56" w:rsidRDefault="004F0C56" w:rsidP="004F0C56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97606A" w:rsidRDefault="0097606A" w:rsidP="0097606A">
      <w:pPr>
        <w:spacing w:line="480" w:lineRule="auto"/>
        <w:ind w:right="-18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Figure S</w:t>
      </w:r>
      <w:r w:rsidR="004F0C56">
        <w:rPr>
          <w:rFonts w:ascii="Times New Roman" w:hAnsi="Times New Roman" w:cs="Times New Roman"/>
          <w:b/>
          <w:bCs/>
          <w:color w:val="000000" w:themeColor="text1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4F0C56" w:rsidRPr="00C66F95">
        <w:rPr>
          <w:rFonts w:ascii="Times New Roman" w:hAnsi="Times New Roman" w:cs="Times New Roman"/>
          <w:color w:val="000000" w:themeColor="text1"/>
        </w:rPr>
        <w:t xml:space="preserve">Whole </w:t>
      </w:r>
      <w:r w:rsidR="004F0C56">
        <w:rPr>
          <w:rFonts w:ascii="Times New Roman" w:hAnsi="Times New Roman" w:cs="Times New Roman"/>
          <w:color w:val="000000" w:themeColor="text1"/>
        </w:rPr>
        <w:t>images of</w:t>
      </w:r>
      <w:r w:rsidR="004F0C56" w:rsidRPr="00C66F95">
        <w:rPr>
          <w:rFonts w:ascii="Times New Roman" w:hAnsi="Times New Roman" w:cs="Times New Roman"/>
          <w:color w:val="000000" w:themeColor="text1"/>
        </w:rPr>
        <w:t xml:space="preserve"> </w:t>
      </w:r>
      <w:r w:rsidR="004F0C56">
        <w:rPr>
          <w:rFonts w:ascii="Times New Roman" w:hAnsi="Times New Roman" w:cs="Times New Roman"/>
          <w:color w:val="000000" w:themeColor="text1"/>
        </w:rPr>
        <w:t>western blotting for CASP4, CASP1, G</w:t>
      </w:r>
      <w:r w:rsidR="00E730E4">
        <w:rPr>
          <w:rFonts w:ascii="Times New Roman" w:hAnsi="Times New Roman" w:cs="Times New Roman"/>
          <w:color w:val="000000" w:themeColor="text1"/>
        </w:rPr>
        <w:t>S</w:t>
      </w:r>
      <w:r w:rsidR="004F0C56">
        <w:rPr>
          <w:rFonts w:ascii="Times New Roman" w:hAnsi="Times New Roman" w:cs="Times New Roman"/>
          <w:color w:val="000000" w:themeColor="text1"/>
        </w:rPr>
        <w:t>DMD, and GAPDH</w:t>
      </w:r>
      <w:r w:rsidR="005436F4">
        <w:rPr>
          <w:rFonts w:ascii="Times New Roman" w:hAnsi="Times New Roman" w:cs="Times New Roman"/>
          <w:color w:val="000000" w:themeColor="text1"/>
        </w:rPr>
        <w:t>. GAPDH was used</w:t>
      </w:r>
      <w:r w:rsidR="004F0C56" w:rsidRPr="00C66F95">
        <w:rPr>
          <w:rFonts w:ascii="Times New Roman" w:hAnsi="Times New Roman" w:cs="Times New Roman"/>
          <w:color w:val="000000" w:themeColor="text1"/>
        </w:rPr>
        <w:t xml:space="preserve"> </w:t>
      </w:r>
      <w:r w:rsidR="004F0C56">
        <w:rPr>
          <w:rFonts w:ascii="Times New Roman" w:hAnsi="Times New Roman" w:cs="Times New Roman"/>
          <w:color w:val="000000" w:themeColor="text1"/>
        </w:rPr>
        <w:t>as a loading control. S: SCGB3A2, N: nigericin. Arrows indicate pro-CASP4, CASP1, or pro-G</w:t>
      </w:r>
      <w:r w:rsidR="00097E88">
        <w:rPr>
          <w:rFonts w:ascii="Times New Roman" w:hAnsi="Times New Roman" w:cs="Times New Roman"/>
          <w:color w:val="000000" w:themeColor="text1"/>
        </w:rPr>
        <w:t>S</w:t>
      </w:r>
      <w:r w:rsidR="004F0C56">
        <w:rPr>
          <w:rFonts w:ascii="Times New Roman" w:hAnsi="Times New Roman" w:cs="Times New Roman"/>
          <w:color w:val="000000" w:themeColor="text1"/>
        </w:rPr>
        <w:t xml:space="preserve">DMD. Arrowheads indicate their cleaved forms. </w:t>
      </w:r>
      <w:r w:rsidR="00E15CEE">
        <w:rPr>
          <w:rFonts w:ascii="Times New Roman" w:hAnsi="Times New Roman" w:cs="Times New Roman"/>
          <w:color w:val="000000" w:themeColor="text1"/>
        </w:rPr>
        <w:t>M</w:t>
      </w:r>
      <w:r w:rsidR="004F0C56">
        <w:rPr>
          <w:rFonts w:ascii="Times New Roman" w:hAnsi="Times New Roman" w:cs="Times New Roman"/>
          <w:color w:val="000000" w:themeColor="text1"/>
        </w:rPr>
        <w:t xml:space="preserve">olecular </w:t>
      </w:r>
      <w:r w:rsidR="00E15CEE">
        <w:rPr>
          <w:rFonts w:ascii="Times New Roman" w:hAnsi="Times New Roman" w:cs="Times New Roman"/>
          <w:color w:val="000000" w:themeColor="text1"/>
        </w:rPr>
        <w:t xml:space="preserve">marker bands </w:t>
      </w:r>
      <w:r w:rsidR="009A6961">
        <w:rPr>
          <w:rFonts w:ascii="Times New Roman" w:hAnsi="Times New Roman" w:cs="Times New Roman"/>
          <w:color w:val="000000" w:themeColor="text1"/>
        </w:rPr>
        <w:t>with</w:t>
      </w:r>
      <w:r w:rsidR="00E15CEE">
        <w:rPr>
          <w:rFonts w:ascii="Times New Roman" w:hAnsi="Times New Roman" w:cs="Times New Roman"/>
          <w:color w:val="000000" w:themeColor="text1"/>
        </w:rPr>
        <w:t xml:space="preserve"> their molecular </w:t>
      </w:r>
      <w:r w:rsidR="004F0C56">
        <w:rPr>
          <w:rFonts w:ascii="Times New Roman" w:hAnsi="Times New Roman" w:cs="Times New Roman"/>
          <w:color w:val="000000" w:themeColor="text1"/>
        </w:rPr>
        <w:t>weight</w:t>
      </w:r>
      <w:r w:rsidR="00E15CEE">
        <w:rPr>
          <w:rFonts w:ascii="Times New Roman" w:hAnsi="Times New Roman" w:cs="Times New Roman"/>
          <w:color w:val="000000" w:themeColor="text1"/>
        </w:rPr>
        <w:t>s</w:t>
      </w:r>
      <w:r w:rsidR="004F0C56">
        <w:rPr>
          <w:rFonts w:ascii="Times New Roman" w:hAnsi="Times New Roman" w:cs="Times New Roman"/>
          <w:color w:val="000000" w:themeColor="text1"/>
        </w:rPr>
        <w:t xml:space="preserve"> </w:t>
      </w:r>
      <w:r w:rsidR="00E15CEE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E15CEE">
        <w:rPr>
          <w:rFonts w:ascii="Times New Roman" w:hAnsi="Times New Roman" w:cs="Times New Roman"/>
          <w:color w:val="000000" w:themeColor="text1"/>
        </w:rPr>
        <w:t>kDa</w:t>
      </w:r>
      <w:proofErr w:type="spellEnd"/>
      <w:r w:rsidR="00E15CEE">
        <w:rPr>
          <w:rFonts w:ascii="Times New Roman" w:hAnsi="Times New Roman" w:cs="Times New Roman"/>
          <w:color w:val="000000" w:themeColor="text1"/>
        </w:rPr>
        <w:t xml:space="preserve">) are </w:t>
      </w:r>
      <w:r w:rsidR="004F0C56">
        <w:rPr>
          <w:rFonts w:ascii="Times New Roman" w:hAnsi="Times New Roman" w:cs="Times New Roman"/>
          <w:color w:val="000000" w:themeColor="text1"/>
        </w:rPr>
        <w:t>shown on the most left</w:t>
      </w:r>
      <w:r w:rsidR="00E15CEE">
        <w:rPr>
          <w:rFonts w:ascii="Times New Roman" w:hAnsi="Times New Roman" w:cs="Times New Roman"/>
          <w:color w:val="000000" w:themeColor="text1"/>
        </w:rPr>
        <w:t xml:space="preserve"> lane in each western results.</w:t>
      </w:r>
    </w:p>
    <w:p w:rsidR="0097606A" w:rsidRDefault="0097606A" w:rsidP="0097606A">
      <w:pPr>
        <w:spacing w:line="480" w:lineRule="auto"/>
        <w:ind w:right="-187"/>
        <w:rPr>
          <w:rFonts w:ascii="Times New Roman" w:hAnsi="Times New Roman" w:cs="Times New Roman"/>
          <w:color w:val="000000" w:themeColor="text1"/>
        </w:rPr>
      </w:pPr>
    </w:p>
    <w:p w:rsidR="004F0C56" w:rsidRPr="00ED0D68" w:rsidRDefault="0097606A" w:rsidP="00ED0D68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Figure S</w:t>
      </w:r>
      <w:r w:rsidR="004F0C56">
        <w:rPr>
          <w:rFonts w:ascii="Times New Roman" w:hAnsi="Times New Roman" w:cs="Times New Roman"/>
          <w:b/>
          <w:bCs/>
          <w:color w:val="000000" w:themeColor="text1"/>
        </w:rPr>
        <w:t>5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336581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5D6774">
        <w:rPr>
          <w:rFonts w:ascii="Times New Roman" w:hAnsi="Times New Roman" w:cs="Times New Roman"/>
          <w:bCs/>
          <w:color w:val="000000" w:themeColor="text1"/>
        </w:rPr>
        <w:t>TCGA data analysis on the survival and mutation rates.</w:t>
      </w:r>
      <w:r w:rsidRPr="005D677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(A) </w:t>
      </w:r>
      <w:r w:rsidRPr="005D677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Survival curve for lung adenocarcinoma patients (n=494) expressing higher levels of </w:t>
      </w:r>
      <w:r w:rsidRPr="005D6774">
        <w:rPr>
          <w:rFonts w:ascii="Times New Roman" w:hAnsi="Times New Roman" w:cs="Times New Roman"/>
          <w:bCs/>
          <w:i/>
          <w:iCs/>
          <w:color w:val="000000" w:themeColor="text1"/>
          <w:shd w:val="clear" w:color="auto" w:fill="FFFFFF"/>
        </w:rPr>
        <w:t>SCGB3A2</w:t>
      </w:r>
      <w:r w:rsidRPr="005B5BB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, SDC1, </w:t>
      </w:r>
      <w:r w:rsidRPr="005B5BB7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and </w:t>
      </w:r>
      <w:r w:rsidRPr="005B5BB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CASP4 </w:t>
      </w:r>
      <w:r w:rsidRPr="005B5B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genes (red, n=3, top 20% for </w:t>
      </w:r>
      <w:r w:rsidRPr="005B5BB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SDC1</w:t>
      </w:r>
      <w:r w:rsidRPr="005B5B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Pr="005B5BB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CASP4</w:t>
      </w:r>
      <w:r w:rsidRPr="005B5B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and SCGB3A2 high expression) or those of higher SCGB3A2 with lower </w:t>
      </w:r>
      <w:r w:rsidRPr="005B5BB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SDC1</w:t>
      </w:r>
      <w:r w:rsidRPr="005B5B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and </w:t>
      </w:r>
      <w:r w:rsidRPr="005B5BB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CASP4</w:t>
      </w:r>
      <w:r w:rsidRPr="005B5B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(blue, n=62).</w:t>
      </w:r>
      <w:r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Pr="00C44BF6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(B, C)</w:t>
      </w:r>
      <w:r w:rsidRPr="00C44BF6">
        <w:rPr>
          <w:rFonts w:ascii="Times New Roman" w:hAnsi="Times New Roman" w:cs="Times New Roman"/>
          <w:bCs/>
          <w:color w:val="000000" w:themeColor="text1"/>
        </w:rPr>
        <w:t xml:space="preserve"> The mutation rate of </w:t>
      </w:r>
      <w:r w:rsidRPr="00C44BF6">
        <w:rPr>
          <w:rFonts w:ascii="Times New Roman" w:hAnsi="Times New Roman" w:cs="Times New Roman"/>
          <w:bCs/>
          <w:i/>
          <w:iCs/>
          <w:color w:val="000000" w:themeColor="text1"/>
        </w:rPr>
        <w:t>CASP4</w:t>
      </w:r>
      <w:r w:rsidRPr="00C44BF6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and </w:t>
      </w:r>
      <w:r w:rsidRPr="00381D22">
        <w:rPr>
          <w:rFonts w:ascii="Times New Roman" w:hAnsi="Times New Roman" w:cs="Times New Roman"/>
          <w:bCs/>
          <w:i/>
          <w:iCs/>
          <w:color w:val="000000" w:themeColor="text1"/>
        </w:rPr>
        <w:t>TP53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C44BF6">
        <w:rPr>
          <w:rFonts w:ascii="Times New Roman" w:hAnsi="Times New Roman" w:cs="Times New Roman"/>
          <w:bCs/>
          <w:color w:val="000000" w:themeColor="text1"/>
        </w:rPr>
        <w:t xml:space="preserve">in lung adenocarcinoma (n=503) (B) and colorectal cancer patients (n=524) (C).  </w:t>
      </w:r>
    </w:p>
    <w:sectPr w:rsidR="004F0C56" w:rsidRPr="00ED0D68" w:rsidSect="00250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6A"/>
    <w:rsid w:val="00030D6F"/>
    <w:rsid w:val="00051F8A"/>
    <w:rsid w:val="000526BB"/>
    <w:rsid w:val="00054856"/>
    <w:rsid w:val="00073226"/>
    <w:rsid w:val="00073C2C"/>
    <w:rsid w:val="000816D2"/>
    <w:rsid w:val="00097E88"/>
    <w:rsid w:val="000A334D"/>
    <w:rsid w:val="000A67E4"/>
    <w:rsid w:val="000B252C"/>
    <w:rsid w:val="000E1907"/>
    <w:rsid w:val="000E1EBD"/>
    <w:rsid w:val="000F0E55"/>
    <w:rsid w:val="000F6FE9"/>
    <w:rsid w:val="0010037A"/>
    <w:rsid w:val="00107308"/>
    <w:rsid w:val="00111B34"/>
    <w:rsid w:val="00114407"/>
    <w:rsid w:val="00120AD4"/>
    <w:rsid w:val="00165121"/>
    <w:rsid w:val="001721F0"/>
    <w:rsid w:val="001B441B"/>
    <w:rsid w:val="001B6983"/>
    <w:rsid w:val="001D7B7A"/>
    <w:rsid w:val="001E299E"/>
    <w:rsid w:val="001E676C"/>
    <w:rsid w:val="001F4B85"/>
    <w:rsid w:val="001F692F"/>
    <w:rsid w:val="00204ED7"/>
    <w:rsid w:val="00221CE2"/>
    <w:rsid w:val="00223521"/>
    <w:rsid w:val="0024059C"/>
    <w:rsid w:val="00250308"/>
    <w:rsid w:val="0025278A"/>
    <w:rsid w:val="002558EC"/>
    <w:rsid w:val="002817F2"/>
    <w:rsid w:val="0029082A"/>
    <w:rsid w:val="00293F4B"/>
    <w:rsid w:val="002D17AD"/>
    <w:rsid w:val="002D7948"/>
    <w:rsid w:val="002E3552"/>
    <w:rsid w:val="002E5103"/>
    <w:rsid w:val="003016A3"/>
    <w:rsid w:val="00310263"/>
    <w:rsid w:val="00312E73"/>
    <w:rsid w:val="00314A7D"/>
    <w:rsid w:val="00333210"/>
    <w:rsid w:val="00333519"/>
    <w:rsid w:val="0033565C"/>
    <w:rsid w:val="0034123C"/>
    <w:rsid w:val="0035034D"/>
    <w:rsid w:val="003525A4"/>
    <w:rsid w:val="00363784"/>
    <w:rsid w:val="00387D50"/>
    <w:rsid w:val="00391AAE"/>
    <w:rsid w:val="003B7FA5"/>
    <w:rsid w:val="003C1D2E"/>
    <w:rsid w:val="003E6EF0"/>
    <w:rsid w:val="003F2CF8"/>
    <w:rsid w:val="003F7B80"/>
    <w:rsid w:val="00404FCB"/>
    <w:rsid w:val="00417983"/>
    <w:rsid w:val="00420F5B"/>
    <w:rsid w:val="00423551"/>
    <w:rsid w:val="0042539F"/>
    <w:rsid w:val="0044234D"/>
    <w:rsid w:val="0044262D"/>
    <w:rsid w:val="004649C2"/>
    <w:rsid w:val="0047686D"/>
    <w:rsid w:val="004A5703"/>
    <w:rsid w:val="004B515F"/>
    <w:rsid w:val="004C358E"/>
    <w:rsid w:val="004E47CF"/>
    <w:rsid w:val="004F0C56"/>
    <w:rsid w:val="004F1DA8"/>
    <w:rsid w:val="004F2EB0"/>
    <w:rsid w:val="004F5433"/>
    <w:rsid w:val="00500ADD"/>
    <w:rsid w:val="005037FF"/>
    <w:rsid w:val="00525337"/>
    <w:rsid w:val="0054072C"/>
    <w:rsid w:val="00541425"/>
    <w:rsid w:val="005436F4"/>
    <w:rsid w:val="005474A9"/>
    <w:rsid w:val="005809AE"/>
    <w:rsid w:val="005910DB"/>
    <w:rsid w:val="00592DB5"/>
    <w:rsid w:val="00594DA4"/>
    <w:rsid w:val="005956E1"/>
    <w:rsid w:val="00595FD7"/>
    <w:rsid w:val="005A2E4B"/>
    <w:rsid w:val="005C628E"/>
    <w:rsid w:val="005C6D85"/>
    <w:rsid w:val="005D33BE"/>
    <w:rsid w:val="005F50A8"/>
    <w:rsid w:val="00605EE9"/>
    <w:rsid w:val="0061477A"/>
    <w:rsid w:val="006206FF"/>
    <w:rsid w:val="006237A3"/>
    <w:rsid w:val="006300E9"/>
    <w:rsid w:val="00666D3E"/>
    <w:rsid w:val="006740D7"/>
    <w:rsid w:val="006804FB"/>
    <w:rsid w:val="00682847"/>
    <w:rsid w:val="0069138A"/>
    <w:rsid w:val="006A308F"/>
    <w:rsid w:val="006A42F4"/>
    <w:rsid w:val="006A607F"/>
    <w:rsid w:val="006B559F"/>
    <w:rsid w:val="006C7D88"/>
    <w:rsid w:val="006D5C1F"/>
    <w:rsid w:val="006F0C7A"/>
    <w:rsid w:val="006F5515"/>
    <w:rsid w:val="006F581A"/>
    <w:rsid w:val="00703569"/>
    <w:rsid w:val="00721F8C"/>
    <w:rsid w:val="0072713A"/>
    <w:rsid w:val="0074526D"/>
    <w:rsid w:val="007A216C"/>
    <w:rsid w:val="007A4019"/>
    <w:rsid w:val="007B0FE8"/>
    <w:rsid w:val="007C7B85"/>
    <w:rsid w:val="007D0FA4"/>
    <w:rsid w:val="007E0520"/>
    <w:rsid w:val="007E56F3"/>
    <w:rsid w:val="007F01F7"/>
    <w:rsid w:val="007F3BDB"/>
    <w:rsid w:val="007F727B"/>
    <w:rsid w:val="007F797E"/>
    <w:rsid w:val="00807755"/>
    <w:rsid w:val="0081277F"/>
    <w:rsid w:val="00815DAD"/>
    <w:rsid w:val="0082177A"/>
    <w:rsid w:val="0082419F"/>
    <w:rsid w:val="00830060"/>
    <w:rsid w:val="00831E47"/>
    <w:rsid w:val="00835DFA"/>
    <w:rsid w:val="00840005"/>
    <w:rsid w:val="0086364A"/>
    <w:rsid w:val="008843A2"/>
    <w:rsid w:val="00887DA1"/>
    <w:rsid w:val="008957F4"/>
    <w:rsid w:val="008A16AF"/>
    <w:rsid w:val="008A19EF"/>
    <w:rsid w:val="008C204E"/>
    <w:rsid w:val="008C3902"/>
    <w:rsid w:val="008D757B"/>
    <w:rsid w:val="008E2189"/>
    <w:rsid w:val="008E3D96"/>
    <w:rsid w:val="008E3F3B"/>
    <w:rsid w:val="008F7C0E"/>
    <w:rsid w:val="00902BC2"/>
    <w:rsid w:val="00933B24"/>
    <w:rsid w:val="00940AAF"/>
    <w:rsid w:val="00943F97"/>
    <w:rsid w:val="009440E0"/>
    <w:rsid w:val="00951331"/>
    <w:rsid w:val="0095276D"/>
    <w:rsid w:val="0095542A"/>
    <w:rsid w:val="009625D0"/>
    <w:rsid w:val="009736FA"/>
    <w:rsid w:val="0097606A"/>
    <w:rsid w:val="009815C5"/>
    <w:rsid w:val="009A0048"/>
    <w:rsid w:val="009A6961"/>
    <w:rsid w:val="009A74FF"/>
    <w:rsid w:val="009E36DC"/>
    <w:rsid w:val="009E59A8"/>
    <w:rsid w:val="009F6551"/>
    <w:rsid w:val="00A15180"/>
    <w:rsid w:val="00A30070"/>
    <w:rsid w:val="00A61305"/>
    <w:rsid w:val="00A6494C"/>
    <w:rsid w:val="00A72A32"/>
    <w:rsid w:val="00A91E2E"/>
    <w:rsid w:val="00A9204B"/>
    <w:rsid w:val="00A95C58"/>
    <w:rsid w:val="00AA6F51"/>
    <w:rsid w:val="00AB20B6"/>
    <w:rsid w:val="00AB407E"/>
    <w:rsid w:val="00AB6DB1"/>
    <w:rsid w:val="00AF3EF7"/>
    <w:rsid w:val="00B17C04"/>
    <w:rsid w:val="00B43186"/>
    <w:rsid w:val="00B45DA8"/>
    <w:rsid w:val="00B5069F"/>
    <w:rsid w:val="00B559A9"/>
    <w:rsid w:val="00B611EA"/>
    <w:rsid w:val="00B61D8E"/>
    <w:rsid w:val="00B8190A"/>
    <w:rsid w:val="00B97532"/>
    <w:rsid w:val="00BA0CE2"/>
    <w:rsid w:val="00BC41C1"/>
    <w:rsid w:val="00BD79CD"/>
    <w:rsid w:val="00BE5A2A"/>
    <w:rsid w:val="00BE7FC7"/>
    <w:rsid w:val="00BF106F"/>
    <w:rsid w:val="00C163C3"/>
    <w:rsid w:val="00C275CB"/>
    <w:rsid w:val="00C3723B"/>
    <w:rsid w:val="00C40718"/>
    <w:rsid w:val="00C45499"/>
    <w:rsid w:val="00C53673"/>
    <w:rsid w:val="00C54F3A"/>
    <w:rsid w:val="00C55CE3"/>
    <w:rsid w:val="00C569E7"/>
    <w:rsid w:val="00C66F95"/>
    <w:rsid w:val="00C732ED"/>
    <w:rsid w:val="00CC1504"/>
    <w:rsid w:val="00CE3322"/>
    <w:rsid w:val="00CF22A1"/>
    <w:rsid w:val="00D02BB1"/>
    <w:rsid w:val="00D078FC"/>
    <w:rsid w:val="00D11F4D"/>
    <w:rsid w:val="00D13A54"/>
    <w:rsid w:val="00D23350"/>
    <w:rsid w:val="00D24961"/>
    <w:rsid w:val="00D54FE6"/>
    <w:rsid w:val="00D56420"/>
    <w:rsid w:val="00D72C1D"/>
    <w:rsid w:val="00D80F1D"/>
    <w:rsid w:val="00D844BD"/>
    <w:rsid w:val="00D96816"/>
    <w:rsid w:val="00DA373C"/>
    <w:rsid w:val="00DC3C31"/>
    <w:rsid w:val="00DE300F"/>
    <w:rsid w:val="00E0219F"/>
    <w:rsid w:val="00E15CEE"/>
    <w:rsid w:val="00E25026"/>
    <w:rsid w:val="00E41209"/>
    <w:rsid w:val="00E5721C"/>
    <w:rsid w:val="00E72721"/>
    <w:rsid w:val="00E730E4"/>
    <w:rsid w:val="00E756F9"/>
    <w:rsid w:val="00EA1E7E"/>
    <w:rsid w:val="00EC70C4"/>
    <w:rsid w:val="00ED0D68"/>
    <w:rsid w:val="00EE16C3"/>
    <w:rsid w:val="00EE6195"/>
    <w:rsid w:val="00EF15B3"/>
    <w:rsid w:val="00EF395B"/>
    <w:rsid w:val="00EF7E47"/>
    <w:rsid w:val="00F04704"/>
    <w:rsid w:val="00F07557"/>
    <w:rsid w:val="00F118B1"/>
    <w:rsid w:val="00F23820"/>
    <w:rsid w:val="00F34B15"/>
    <w:rsid w:val="00F42B04"/>
    <w:rsid w:val="00F520BF"/>
    <w:rsid w:val="00F63D4F"/>
    <w:rsid w:val="00F7104D"/>
    <w:rsid w:val="00F73899"/>
    <w:rsid w:val="00F929D2"/>
    <w:rsid w:val="00F93B4C"/>
    <w:rsid w:val="00F964D4"/>
    <w:rsid w:val="00FB0EF4"/>
    <w:rsid w:val="00FB6BB6"/>
    <w:rsid w:val="00FC2835"/>
    <w:rsid w:val="00FD266F"/>
    <w:rsid w:val="00FD4BDA"/>
    <w:rsid w:val="00FF1A38"/>
    <w:rsid w:val="00FF3EF6"/>
    <w:rsid w:val="00FF64F2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62093D"/>
  <w15:chartTrackingRefBased/>
  <w15:docId w15:val="{0D8F6EF6-AA5B-7146-BA96-25C21A1F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28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28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Kimura, Shioko (NIH/NCI) [E]</dc:creator>
  <cp:keywords/>
  <dc:description/>
  <cp:lastModifiedBy>Kimura, Shioko (NIH/NCI) [E]</cp:lastModifiedBy>
  <cp:revision>3</cp:revision>
  <dcterms:created xsi:type="dcterms:W3CDTF">2021-01-04T22:52:00Z</dcterms:created>
  <dcterms:modified xsi:type="dcterms:W3CDTF">2021-01-04T22:53:00Z</dcterms:modified>
</cp:coreProperties>
</file>