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6064D" w14:textId="34EA8805" w:rsidR="007E1380" w:rsidRPr="006F139C" w:rsidRDefault="007E1380" w:rsidP="007E1380">
      <w:pPr>
        <w:spacing w:line="360" w:lineRule="auto"/>
        <w:rPr>
          <w:rFonts w:ascii="Helvetica" w:hAnsi="Helvetica" w:cs="Arial"/>
          <w:b/>
          <w:bCs/>
          <w:color w:val="202020"/>
          <w:shd w:val="clear" w:color="auto" w:fill="FFFFFF"/>
        </w:rPr>
      </w:pPr>
      <w:bookmarkStart w:id="0" w:name="OLE_LINK132"/>
      <w:bookmarkStart w:id="1" w:name="OLE_LINK133"/>
      <w:bookmarkStart w:id="2" w:name="OLE_LINK226"/>
      <w:bookmarkStart w:id="3" w:name="OLE_LINK227"/>
      <w:bookmarkStart w:id="4" w:name="OLE_LINK228"/>
      <w:bookmarkStart w:id="5" w:name="OLE_LINK229"/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 xml:space="preserve">Figure S1. miR-125b is upregulated in </w:t>
      </w:r>
      <w:r w:rsidR="00D42E80"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preeclampsia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.</w:t>
      </w:r>
    </w:p>
    <w:bookmarkEnd w:id="0"/>
    <w:bookmarkEnd w:id="1"/>
    <w:p w14:paraId="3D54F2C5" w14:textId="1124AF18" w:rsidR="007E1380" w:rsidRPr="006F139C" w:rsidRDefault="007E1380" w:rsidP="007E1380">
      <w:pPr>
        <w:spacing w:line="360" w:lineRule="auto"/>
        <w:rPr>
          <w:rFonts w:ascii="Helvetica" w:hAnsi="Helvetica" w:cs="Arial"/>
          <w:color w:val="202020"/>
          <w:shd w:val="clear" w:color="auto" w:fill="FFFFFF"/>
        </w:rPr>
      </w:pP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(A)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Comparison of miR-125b mature sequence among hemochorial placenta species shows complete conservation, including the seeding region binding to 3’-UTRs of target transcripts. miR-125b levels were determined in the basal plates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(B)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and chorionic plates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(C)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of placentas derived from PE patients and compared to control pregnancies. </w:t>
      </w:r>
      <w:r w:rsidR="00D47A26"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(D)</w:t>
      </w:r>
      <w:r w:rsidR="00D47A26" w:rsidRPr="006F139C">
        <w:rPr>
          <w:rFonts w:ascii="Helvetica" w:hAnsi="Helvetica" w:cs="Arial"/>
          <w:color w:val="202020"/>
          <w:shd w:val="clear" w:color="auto" w:fill="FFFFFF"/>
        </w:rPr>
        <w:t xml:space="preserve"> ROC analysis of plasma miR-125b. ROC curves revealed that plasma miR-125b in early pregnancy had a high accuracy in identifying PE patients before disease onset with an AUC of 0.7471 (95% CI, 0.5931-0.9012, </w:t>
      </w:r>
      <w:r w:rsidR="00D47A26"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="00D47A26" w:rsidRPr="006F139C">
        <w:rPr>
          <w:rFonts w:ascii="Helvetica" w:hAnsi="Helvetica" w:cs="Arial"/>
          <w:color w:val="202020"/>
          <w:shd w:val="clear" w:color="auto" w:fill="FFFFFF"/>
        </w:rPr>
        <w:t xml:space="preserve">&lt;0.01). </w:t>
      </w:r>
      <w:bookmarkEnd w:id="2"/>
      <w:bookmarkEnd w:id="3"/>
      <w:r w:rsidR="00D47A26"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(E)</w:t>
      </w:r>
      <w:bookmarkEnd w:id="4"/>
      <w:bookmarkEnd w:id="5"/>
    </w:p>
    <w:p w14:paraId="7EF24C66" w14:textId="77777777" w:rsidR="007E1380" w:rsidRPr="006F139C" w:rsidRDefault="007E1380" w:rsidP="007E1380">
      <w:pPr>
        <w:spacing w:line="360" w:lineRule="auto"/>
        <w:rPr>
          <w:rFonts w:ascii="Helvetica" w:hAnsi="Helvetica" w:cs="Arial"/>
          <w:b/>
          <w:bCs/>
          <w:color w:val="202020"/>
          <w:shd w:val="clear" w:color="auto" w:fill="FFFFFF"/>
        </w:rPr>
      </w:pPr>
      <w:bookmarkStart w:id="6" w:name="OLE_LINK134"/>
      <w:bookmarkStart w:id="7" w:name="OLE_LINK135"/>
      <w:bookmarkStart w:id="8" w:name="OLE_LINK230"/>
      <w:bookmarkStart w:id="9" w:name="OLE_LINK231"/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Figure S2. Inhibition of endogenous miR-125b increased KCNA1 expression in HTR8/SVneo cells.</w:t>
      </w:r>
    </w:p>
    <w:bookmarkEnd w:id="6"/>
    <w:bookmarkEnd w:id="7"/>
    <w:p w14:paraId="69DA834E" w14:textId="3738E26E" w:rsidR="007E1380" w:rsidRPr="002E5653" w:rsidRDefault="007E1380" w:rsidP="007E1380">
      <w:pPr>
        <w:spacing w:line="360" w:lineRule="auto"/>
        <w:rPr>
          <w:rFonts w:ascii="Helvetica" w:hAnsi="Helvetica" w:cs="Arial"/>
          <w:color w:val="202020"/>
          <w:shd w:val="clear" w:color="auto" w:fill="FFFFFF"/>
        </w:rPr>
      </w:pPr>
      <w:r w:rsidRPr="006F139C">
        <w:rPr>
          <w:rFonts w:ascii="Helvetica" w:hAnsi="Helvetica" w:cs="Arial"/>
          <w:color w:val="202020"/>
          <w:shd w:val="clear" w:color="auto" w:fill="FFFFFF"/>
        </w:rPr>
        <w:t xml:space="preserve">The human trophoblast cells, HTR8/SVneo, were transfected with miR-125b inhibitor or negative control oligonucleotides. mRNA levels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(A)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and protein levels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(B)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of KCNA1 was determined post transfection in using Real-time qPCR and Western blot separately. </w:t>
      </w:r>
      <w:bookmarkStart w:id="10" w:name="OLE_LINK3"/>
      <w:bookmarkStart w:id="11" w:name="OLE_LINK4"/>
      <w:r w:rsidRPr="006F139C">
        <w:rPr>
          <w:rFonts w:ascii="Helvetica" w:hAnsi="Helvetica" w:cs="Arial"/>
          <w:color w:val="202020"/>
          <w:shd w:val="clear" w:color="auto" w:fill="FFFFFF"/>
        </w:rPr>
        <w:t>Data are presented as mean ± SEM of four independent experiments in triplicate. *</w:t>
      </w:r>
      <w:r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&lt; 0.05, **</w:t>
      </w:r>
      <w:r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&lt; 0.01.</w:t>
      </w:r>
      <w:bookmarkEnd w:id="8"/>
      <w:bookmarkEnd w:id="9"/>
      <w:bookmarkEnd w:id="10"/>
      <w:bookmarkEnd w:id="11"/>
    </w:p>
    <w:p w14:paraId="7EEC327B" w14:textId="77777777" w:rsidR="007E1380" w:rsidRPr="006F139C" w:rsidRDefault="007E1380" w:rsidP="007E1380">
      <w:pPr>
        <w:spacing w:line="360" w:lineRule="auto"/>
        <w:rPr>
          <w:rFonts w:ascii="Helvetica" w:hAnsi="Helvetica" w:cs="Arial"/>
          <w:b/>
          <w:bCs/>
          <w:color w:val="202020"/>
          <w:shd w:val="clear" w:color="auto" w:fill="FFFFFF"/>
        </w:rPr>
      </w:pPr>
      <w:bookmarkStart w:id="12" w:name="OLE_LINK136"/>
      <w:bookmarkStart w:id="13" w:name="OLE_LINK137"/>
      <w:bookmarkStart w:id="14" w:name="OLE_LINK232"/>
      <w:bookmarkStart w:id="15" w:name="OLE_LINK233"/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Figure S3. Inhibition of endogenous miR-125b increased GPC1 expression in HUVECs.</w:t>
      </w:r>
    </w:p>
    <w:bookmarkEnd w:id="12"/>
    <w:bookmarkEnd w:id="13"/>
    <w:p w14:paraId="74D55F05" w14:textId="04EB2ABB" w:rsidR="007E1380" w:rsidRPr="006F139C" w:rsidRDefault="007E1380" w:rsidP="007E1380">
      <w:pPr>
        <w:spacing w:line="360" w:lineRule="auto"/>
        <w:rPr>
          <w:rFonts w:ascii="Helvetica" w:hAnsi="Helvetica" w:cs="Arial"/>
          <w:b/>
          <w:bCs/>
          <w:color w:val="202020"/>
          <w:shd w:val="clear" w:color="auto" w:fill="FFFFFF"/>
        </w:rPr>
      </w:pPr>
      <w:r w:rsidRPr="006F139C">
        <w:rPr>
          <w:rFonts w:ascii="Helvetica" w:hAnsi="Helvetica" w:cs="Arial"/>
          <w:color w:val="202020"/>
          <w:shd w:val="clear" w:color="auto" w:fill="FFFFFF"/>
        </w:rPr>
        <w:t xml:space="preserve">The human endothelial cells, HUVECs, were transfected with miR-125b inhibitor or corresponding negative control. 48 hours later, mRNA levels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(A)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and protein levels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(B)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of putative target GPC1 was tested using Real-time qPCR and Western blot separately. Data are presented as mean ± SEM, N=4 performed in triplicate. *</w:t>
      </w:r>
      <w:r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&lt; 0.05, **</w:t>
      </w:r>
      <w:r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&lt; 0.01.</w:t>
      </w:r>
      <w:bookmarkStart w:id="16" w:name="OLE_LINK234"/>
      <w:bookmarkStart w:id="17" w:name="OLE_LINK235"/>
      <w:bookmarkEnd w:id="14"/>
      <w:bookmarkEnd w:id="15"/>
    </w:p>
    <w:p w14:paraId="38AB4831" w14:textId="77777777" w:rsidR="007E1380" w:rsidRPr="006F139C" w:rsidRDefault="007E1380" w:rsidP="007E1380">
      <w:pPr>
        <w:spacing w:line="360" w:lineRule="auto"/>
        <w:rPr>
          <w:rFonts w:ascii="Helvetica" w:hAnsi="Helvetica" w:cs="Arial"/>
          <w:color w:val="202020"/>
          <w:shd w:val="clear" w:color="auto" w:fill="FFFFFF"/>
        </w:rPr>
      </w:pPr>
      <w:bookmarkStart w:id="18" w:name="OLE_LINK138"/>
      <w:bookmarkStart w:id="19" w:name="OLE_LINK139"/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Figure S4</w:t>
      </w:r>
      <w:r w:rsidRPr="006F139C">
        <w:rPr>
          <w:rFonts w:ascii="Helvetica" w:hAnsi="Helvetica"/>
          <w:b/>
          <w:bCs/>
        </w:rPr>
        <w:t xml:space="preserve">.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>Generation of luciferase reporter constructs containing 3’-UTRs of KCNA1 or GPC1.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</w:t>
      </w:r>
    </w:p>
    <w:bookmarkEnd w:id="18"/>
    <w:bookmarkEnd w:id="19"/>
    <w:p w14:paraId="5BE8BE33" w14:textId="04619AAF" w:rsidR="001022DF" w:rsidRPr="006F139C" w:rsidRDefault="007E1380" w:rsidP="006F139C">
      <w:pPr>
        <w:spacing w:line="360" w:lineRule="auto"/>
        <w:rPr>
          <w:rFonts w:ascii="Helvetica" w:hAnsi="Helvetica"/>
        </w:rPr>
      </w:pPr>
      <w:r w:rsidRPr="006F139C">
        <w:rPr>
          <w:rFonts w:ascii="Helvetica" w:hAnsi="Helvetica" w:cs="Arial"/>
          <w:color w:val="202020"/>
          <w:shd w:val="clear" w:color="auto" w:fill="FFFFFF"/>
        </w:rPr>
        <w:t xml:space="preserve">Sequences within the 3′-UTRs of KCNA1 and GPC1 containing putative binding sites for miR-125b that were cloned into the pMIR-REPORT vector to create wild-type or mutated (m) luciferase reporter plasmids. Sequences of the wild-type and mutated putative miR-125b binding sites within the 3′-UTRs of KCNA1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 xml:space="preserve">(A) 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and GPC1 </w:t>
      </w:r>
      <w:r w:rsidRPr="006F139C">
        <w:rPr>
          <w:rFonts w:ascii="Helvetica" w:hAnsi="Helvetica" w:cs="Arial"/>
          <w:b/>
          <w:bCs/>
          <w:color w:val="202020"/>
          <w:shd w:val="clear" w:color="auto" w:fill="FFFFFF"/>
        </w:rPr>
        <w:t xml:space="preserve">(B) 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were presented. The </w:t>
      </w:r>
      <w:r w:rsidRPr="006F139C">
        <w:rPr>
          <w:rFonts w:ascii="Helvetica" w:hAnsi="Helvetica" w:cs="Arial"/>
          <w:color w:val="202020"/>
          <w:shd w:val="clear" w:color="auto" w:fill="FFFFFF"/>
        </w:rPr>
        <w:lastRenderedPageBreak/>
        <w:t>mutated bases within the 3′-UTR of each mRNA transcript were indicated in red. (C) Schematic map of pMIR-REPORT</w:t>
      </w:r>
      <w:r w:rsidRPr="006F139C">
        <w:rPr>
          <w:rFonts w:ascii="Helvetica" w:hAnsi="Helvetica" w:cs="Arial"/>
          <w:color w:val="202020"/>
          <w:shd w:val="clear" w:color="auto" w:fill="FFFFFF"/>
          <w:vertAlign w:val="superscript"/>
        </w:rPr>
        <w:t>TM</w:t>
      </w:r>
      <w:r w:rsidRPr="006F139C">
        <w:rPr>
          <w:rFonts w:ascii="Helvetica" w:hAnsi="Helvetica" w:cs="Arial"/>
          <w:color w:val="202020"/>
          <w:shd w:val="clear" w:color="auto" w:fill="FFFFFF"/>
        </w:rPr>
        <w:t xml:space="preserve"> luciferase reporter constructs.</w:t>
      </w:r>
      <w:bookmarkEnd w:id="16"/>
      <w:bookmarkEnd w:id="17"/>
    </w:p>
    <w:p w14:paraId="2F77E62B" w14:textId="43CD0DE4" w:rsidR="006F139C" w:rsidRDefault="006F139C" w:rsidP="006F139C">
      <w:pPr>
        <w:spacing w:line="360" w:lineRule="auto"/>
        <w:rPr>
          <w:rFonts w:ascii="Helvetica" w:hAnsi="Helvetica"/>
          <w:b/>
          <w:bCs/>
        </w:rPr>
      </w:pPr>
      <w:bookmarkStart w:id="20" w:name="OLE_LINK1"/>
      <w:bookmarkStart w:id="21" w:name="OLE_LINK2"/>
      <w:r w:rsidRPr="00DE2044">
        <w:rPr>
          <w:rFonts w:ascii="Helvetica" w:hAnsi="Helvetica"/>
          <w:b/>
          <w:bCs/>
        </w:rPr>
        <w:t>Figure S5</w:t>
      </w:r>
      <w:r w:rsidR="00DE2044">
        <w:rPr>
          <w:rFonts w:ascii="Helvetica" w:hAnsi="Helvetica"/>
          <w:b/>
          <w:bCs/>
        </w:rPr>
        <w:t>. Validation of KCNA1 overexpression of pcDNA4 plasmid overexpression KCNA1 (pcKCNA1).</w:t>
      </w:r>
    </w:p>
    <w:p w14:paraId="7C181124" w14:textId="17488A32" w:rsidR="00DE2044" w:rsidRDefault="00DE2044" w:rsidP="006F139C">
      <w:pPr>
        <w:spacing w:line="360" w:lineRule="auto"/>
        <w:rPr>
          <w:rFonts w:ascii="Helvetica" w:hAnsi="Helvetica"/>
        </w:rPr>
      </w:pPr>
      <w:r w:rsidRPr="00DE2044">
        <w:rPr>
          <w:rFonts w:ascii="Helvetica" w:hAnsi="Helvetica"/>
        </w:rPr>
        <w:t>mRNA</w:t>
      </w:r>
      <w:r>
        <w:rPr>
          <w:rFonts w:ascii="Helvetica" w:hAnsi="Helvetica"/>
        </w:rPr>
        <w:t xml:space="preserve"> </w:t>
      </w:r>
      <w:r w:rsidRPr="00DE2044">
        <w:rPr>
          <w:rFonts w:ascii="Helvetica" w:hAnsi="Helvetica"/>
          <w:b/>
          <w:bCs/>
        </w:rPr>
        <w:t>(A)</w:t>
      </w:r>
      <w:r>
        <w:rPr>
          <w:rFonts w:ascii="Helvetica" w:hAnsi="Helvetica"/>
        </w:rPr>
        <w:t xml:space="preserve"> and protein </w:t>
      </w:r>
      <w:r w:rsidRPr="00DE2044">
        <w:rPr>
          <w:rFonts w:ascii="Helvetica" w:hAnsi="Helvetica"/>
          <w:b/>
          <w:bCs/>
        </w:rPr>
        <w:t xml:space="preserve">(B) </w:t>
      </w:r>
      <w:r>
        <w:rPr>
          <w:rFonts w:ascii="Helvetica" w:hAnsi="Helvetica"/>
        </w:rPr>
        <w:t>level of KCNA1 in human trophoblast HTR8/SVneo cells transfected with pcKCNA1 vector or pcDNA4 plasmid were detected using Real-time qPCR and Western blot, separately.</w:t>
      </w:r>
      <w:bookmarkEnd w:id="20"/>
      <w:bookmarkEnd w:id="21"/>
      <w:r w:rsidR="00B9087F" w:rsidRPr="00B9087F">
        <w:rPr>
          <w:rFonts w:ascii="Helvetica" w:hAnsi="Helvetica" w:cs="Arial"/>
          <w:color w:val="202020"/>
          <w:shd w:val="clear" w:color="auto" w:fill="FFFFFF"/>
        </w:rPr>
        <w:t xml:space="preserve"> </w:t>
      </w:r>
      <w:r w:rsidR="00B9087F" w:rsidRPr="006F139C">
        <w:rPr>
          <w:rFonts w:ascii="Helvetica" w:hAnsi="Helvetica" w:cs="Arial"/>
          <w:color w:val="202020"/>
          <w:shd w:val="clear" w:color="auto" w:fill="FFFFFF"/>
        </w:rPr>
        <w:t>Data are presented as mean ± SEM of four independent experiments</w:t>
      </w:r>
      <w:r w:rsidR="008655EE">
        <w:rPr>
          <w:rFonts w:ascii="Helvetica" w:hAnsi="Helvetica" w:cs="Arial"/>
          <w:color w:val="202020"/>
          <w:shd w:val="clear" w:color="auto" w:fill="FFFFFF"/>
        </w:rPr>
        <w:t>, each</w:t>
      </w:r>
      <w:r w:rsidR="006A4153">
        <w:rPr>
          <w:rFonts w:ascii="Helvetica" w:hAnsi="Helvetica" w:cs="Arial"/>
          <w:color w:val="202020"/>
          <w:shd w:val="clear" w:color="auto" w:fill="FFFFFF"/>
        </w:rPr>
        <w:t xml:space="preserve"> experiment</w:t>
      </w:r>
      <w:r w:rsidR="008655EE">
        <w:rPr>
          <w:rFonts w:ascii="Helvetica" w:hAnsi="Helvetica" w:cs="Arial"/>
          <w:color w:val="202020"/>
          <w:shd w:val="clear" w:color="auto" w:fill="FFFFFF"/>
        </w:rPr>
        <w:t xml:space="preserve"> had three parallel treatment</w:t>
      </w:r>
      <w:r w:rsidR="00B9087F" w:rsidRPr="006F139C">
        <w:rPr>
          <w:rFonts w:ascii="Helvetica" w:hAnsi="Helvetica" w:cs="Arial"/>
          <w:color w:val="202020"/>
          <w:shd w:val="clear" w:color="auto" w:fill="FFFFFF"/>
        </w:rPr>
        <w:t>. *</w:t>
      </w:r>
      <w:r w:rsidR="00B9087F"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="00B9087F" w:rsidRPr="006F139C">
        <w:rPr>
          <w:rFonts w:ascii="Helvetica" w:hAnsi="Helvetica" w:cs="Arial"/>
          <w:color w:val="202020"/>
          <w:shd w:val="clear" w:color="auto" w:fill="FFFFFF"/>
        </w:rPr>
        <w:t xml:space="preserve"> &lt; 0.05, **</w:t>
      </w:r>
      <w:r w:rsidR="00B9087F"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="00B9087F" w:rsidRPr="006F139C">
        <w:rPr>
          <w:rFonts w:ascii="Helvetica" w:hAnsi="Helvetica" w:cs="Arial"/>
          <w:color w:val="202020"/>
          <w:shd w:val="clear" w:color="auto" w:fill="FFFFFF"/>
        </w:rPr>
        <w:t xml:space="preserve"> &lt; 0.01.</w:t>
      </w:r>
    </w:p>
    <w:p w14:paraId="0D2A38F6" w14:textId="3BED7530" w:rsidR="00DE2044" w:rsidRDefault="00DE2044" w:rsidP="00DE2044">
      <w:pPr>
        <w:spacing w:line="360" w:lineRule="auto"/>
        <w:rPr>
          <w:rFonts w:ascii="Helvetica" w:hAnsi="Helvetica"/>
          <w:b/>
          <w:bCs/>
        </w:rPr>
      </w:pPr>
      <w:r w:rsidRPr="00DE2044">
        <w:rPr>
          <w:rFonts w:ascii="Helvetica" w:hAnsi="Helvetica"/>
          <w:b/>
          <w:bCs/>
        </w:rPr>
        <w:t>Figure S</w:t>
      </w:r>
      <w:r w:rsidR="002676C7">
        <w:rPr>
          <w:rFonts w:ascii="Helvetica" w:hAnsi="Helvetica"/>
          <w:b/>
          <w:bCs/>
        </w:rPr>
        <w:t>6</w:t>
      </w:r>
      <w:r>
        <w:rPr>
          <w:rFonts w:ascii="Helvetica" w:hAnsi="Helvetica"/>
          <w:b/>
          <w:bCs/>
        </w:rPr>
        <w:t xml:space="preserve">. overexpression </w:t>
      </w:r>
      <w:r w:rsidR="002676C7">
        <w:rPr>
          <w:rFonts w:ascii="Helvetica" w:hAnsi="Helvetica"/>
          <w:b/>
          <w:bCs/>
        </w:rPr>
        <w:t>efficacy</w:t>
      </w:r>
      <w:r>
        <w:rPr>
          <w:rFonts w:ascii="Helvetica" w:hAnsi="Helvetica"/>
          <w:b/>
          <w:bCs/>
        </w:rPr>
        <w:t xml:space="preserve"> of pcDNA4 plasmid overexpression </w:t>
      </w:r>
      <w:r w:rsidR="002676C7">
        <w:rPr>
          <w:rFonts w:ascii="Helvetica" w:hAnsi="Helvetica"/>
          <w:b/>
          <w:bCs/>
        </w:rPr>
        <w:t>GPC1</w:t>
      </w:r>
      <w:r>
        <w:rPr>
          <w:rFonts w:ascii="Helvetica" w:hAnsi="Helvetica"/>
          <w:b/>
          <w:bCs/>
        </w:rPr>
        <w:t xml:space="preserve"> (pc</w:t>
      </w:r>
      <w:r w:rsidR="002676C7">
        <w:rPr>
          <w:rFonts w:ascii="Helvetica" w:hAnsi="Helvetica"/>
          <w:b/>
          <w:bCs/>
        </w:rPr>
        <w:t>GPC</w:t>
      </w:r>
      <w:r>
        <w:rPr>
          <w:rFonts w:ascii="Helvetica" w:hAnsi="Helvetica"/>
          <w:b/>
          <w:bCs/>
        </w:rPr>
        <w:t>1).</w:t>
      </w:r>
    </w:p>
    <w:p w14:paraId="27D7E52C" w14:textId="2719A141" w:rsidR="00DE2044" w:rsidRDefault="00DE2044" w:rsidP="00DE2044">
      <w:pPr>
        <w:spacing w:line="360" w:lineRule="auto"/>
        <w:rPr>
          <w:rFonts w:ascii="Helvetica" w:hAnsi="Helvetica" w:cs="Arial"/>
          <w:color w:val="202020"/>
          <w:shd w:val="clear" w:color="auto" w:fill="FFFFFF"/>
        </w:rPr>
      </w:pPr>
      <w:r w:rsidRPr="00DE2044">
        <w:rPr>
          <w:rFonts w:ascii="Helvetica" w:hAnsi="Helvetica"/>
        </w:rPr>
        <w:t>mRNA</w:t>
      </w:r>
      <w:r>
        <w:rPr>
          <w:rFonts w:ascii="Helvetica" w:hAnsi="Helvetica"/>
        </w:rPr>
        <w:t xml:space="preserve"> </w:t>
      </w:r>
      <w:r w:rsidRPr="00DE2044">
        <w:rPr>
          <w:rFonts w:ascii="Helvetica" w:hAnsi="Helvetica"/>
          <w:b/>
          <w:bCs/>
        </w:rPr>
        <w:t>(A)</w:t>
      </w:r>
      <w:r>
        <w:rPr>
          <w:rFonts w:ascii="Helvetica" w:hAnsi="Helvetica"/>
        </w:rPr>
        <w:t xml:space="preserve"> and protein </w:t>
      </w:r>
      <w:r w:rsidRPr="00DE2044">
        <w:rPr>
          <w:rFonts w:ascii="Helvetica" w:hAnsi="Helvetica"/>
          <w:b/>
          <w:bCs/>
        </w:rPr>
        <w:t xml:space="preserve">(B) </w:t>
      </w:r>
      <w:r>
        <w:rPr>
          <w:rFonts w:ascii="Helvetica" w:hAnsi="Helvetica"/>
        </w:rPr>
        <w:t xml:space="preserve">level of </w:t>
      </w:r>
      <w:r w:rsidR="002676C7">
        <w:rPr>
          <w:rFonts w:ascii="Helvetica" w:hAnsi="Helvetica"/>
        </w:rPr>
        <w:t>GPC1</w:t>
      </w:r>
      <w:r>
        <w:rPr>
          <w:rFonts w:ascii="Helvetica" w:hAnsi="Helvetica"/>
        </w:rPr>
        <w:t xml:space="preserve"> in huma</w:t>
      </w:r>
      <w:r w:rsidR="002676C7">
        <w:rPr>
          <w:rFonts w:ascii="Helvetica" w:hAnsi="Helvetica"/>
        </w:rPr>
        <w:t>n endothelial cells, HUVECs,</w:t>
      </w:r>
      <w:r>
        <w:rPr>
          <w:rFonts w:ascii="Helvetica" w:hAnsi="Helvetica"/>
        </w:rPr>
        <w:t xml:space="preserve"> transfected with pcKCNA1 vector or pcDNA4 plasmid were </w:t>
      </w:r>
      <w:r w:rsidR="00BE3DCB">
        <w:rPr>
          <w:rFonts w:ascii="Helvetica" w:hAnsi="Helvetica"/>
        </w:rPr>
        <w:t>examined</w:t>
      </w:r>
      <w:r>
        <w:rPr>
          <w:rFonts w:ascii="Helvetica" w:hAnsi="Helvetica"/>
        </w:rPr>
        <w:t xml:space="preserve"> using Real-time qPCR and Western blot, separately.</w:t>
      </w:r>
      <w:r w:rsidR="00B9087F" w:rsidRPr="00B9087F">
        <w:rPr>
          <w:rFonts w:ascii="Helvetica" w:hAnsi="Helvetica" w:cs="Arial"/>
          <w:color w:val="202020"/>
          <w:shd w:val="clear" w:color="auto" w:fill="FFFFFF"/>
        </w:rPr>
        <w:t xml:space="preserve"> </w:t>
      </w:r>
      <w:r w:rsidR="00B9087F" w:rsidRPr="006F139C">
        <w:rPr>
          <w:rFonts w:ascii="Helvetica" w:hAnsi="Helvetica" w:cs="Arial"/>
          <w:color w:val="202020"/>
          <w:shd w:val="clear" w:color="auto" w:fill="FFFFFF"/>
        </w:rPr>
        <w:t>Data are presented as mean ± SEM of four independent experiments in triplicate. *</w:t>
      </w:r>
      <w:r w:rsidR="00B9087F"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="00B9087F" w:rsidRPr="006F139C">
        <w:rPr>
          <w:rFonts w:ascii="Helvetica" w:hAnsi="Helvetica" w:cs="Arial"/>
          <w:color w:val="202020"/>
          <w:shd w:val="clear" w:color="auto" w:fill="FFFFFF"/>
        </w:rPr>
        <w:t xml:space="preserve"> &lt; 0.05, **</w:t>
      </w:r>
      <w:r w:rsidR="00B9087F" w:rsidRPr="006F139C">
        <w:rPr>
          <w:rFonts w:ascii="Helvetica" w:hAnsi="Helvetica" w:cs="Arial"/>
          <w:i/>
          <w:iCs/>
          <w:color w:val="202020"/>
          <w:shd w:val="clear" w:color="auto" w:fill="FFFFFF"/>
        </w:rPr>
        <w:t>p</w:t>
      </w:r>
      <w:r w:rsidR="00B9087F" w:rsidRPr="006F139C">
        <w:rPr>
          <w:rFonts w:ascii="Helvetica" w:hAnsi="Helvetica" w:cs="Arial"/>
          <w:color w:val="202020"/>
          <w:shd w:val="clear" w:color="auto" w:fill="FFFFFF"/>
        </w:rPr>
        <w:t xml:space="preserve"> &lt; 0.01.</w:t>
      </w:r>
    </w:p>
    <w:p w14:paraId="1D4BF177" w14:textId="74824CD9" w:rsidR="00FE6001" w:rsidRPr="00AB39D0" w:rsidRDefault="00FE6001" w:rsidP="00DE2044">
      <w:pPr>
        <w:spacing w:line="360" w:lineRule="auto"/>
        <w:rPr>
          <w:rFonts w:ascii="Helvetica" w:hAnsi="Helvetica" w:cs="Arial"/>
          <w:b/>
          <w:bCs/>
          <w:color w:val="202020"/>
          <w:shd w:val="clear" w:color="auto" w:fill="FFFFFF"/>
        </w:rPr>
      </w:pPr>
      <w:r w:rsidRPr="00AB39D0">
        <w:rPr>
          <w:rFonts w:ascii="Helvetica" w:hAnsi="Helvetica" w:cs="Arial"/>
          <w:b/>
          <w:bCs/>
          <w:color w:val="202020"/>
          <w:shd w:val="clear" w:color="auto" w:fill="FFFFFF"/>
        </w:rPr>
        <w:t>Figure S7.</w:t>
      </w:r>
      <w:r w:rsidR="00AB39D0" w:rsidRPr="00AB39D0">
        <w:rPr>
          <w:rFonts w:ascii="Helvetica" w:hAnsi="Helvetica" w:cs="Arial"/>
          <w:b/>
          <w:bCs/>
          <w:color w:val="202020"/>
          <w:shd w:val="clear" w:color="auto" w:fill="FFFFFF"/>
        </w:rPr>
        <w:t xml:space="preserve"> Typical image of the negative control slides in immunohistochemistry</w:t>
      </w:r>
      <w:r w:rsidR="008D78E1">
        <w:rPr>
          <w:rFonts w:ascii="Helvetica" w:hAnsi="Helvetica" w:cs="Arial"/>
          <w:b/>
          <w:bCs/>
          <w:color w:val="202020"/>
          <w:shd w:val="clear" w:color="auto" w:fill="FFFFFF"/>
        </w:rPr>
        <w:t>.</w:t>
      </w:r>
      <w:bookmarkStart w:id="22" w:name="_GoBack"/>
      <w:bookmarkEnd w:id="22"/>
    </w:p>
    <w:p w14:paraId="3010BB2B" w14:textId="475EE21F" w:rsidR="00FE6001" w:rsidRPr="00DE2044" w:rsidRDefault="00FE6001" w:rsidP="00DE2044">
      <w:pPr>
        <w:spacing w:line="360" w:lineRule="auto"/>
        <w:rPr>
          <w:rFonts w:ascii="Helvetica" w:hAnsi="Helvetica"/>
        </w:rPr>
      </w:pPr>
      <w:r>
        <w:rPr>
          <w:rFonts w:ascii="Helvetica" w:hAnsi="Helvetica" w:cs="Arial"/>
          <w:color w:val="202020"/>
          <w:shd w:val="clear" w:color="auto" w:fill="FFFFFF"/>
        </w:rPr>
        <w:t>Negative control of i</w:t>
      </w:r>
      <w:r>
        <w:rPr>
          <w:rFonts w:ascii="Helvetica" w:hAnsi="Helvetica" w:cs="Arial"/>
          <w:color w:val="202020"/>
          <w:shd w:val="clear" w:color="auto" w:fill="FFFFFF"/>
        </w:rPr>
        <w:t>mmunohistochemistry was performed on paraffin sections of human placenta villi</w:t>
      </w:r>
      <w:r>
        <w:rPr>
          <w:rFonts w:ascii="Helvetica" w:hAnsi="Helvetica" w:cs="Arial"/>
          <w:color w:val="202020"/>
          <w:shd w:val="clear" w:color="auto" w:fill="FFFFFF"/>
        </w:rPr>
        <w:t>. The slides were incubated with rabbit pre-IgG overnight and then HRP-conjunct secondary antiboy.</w:t>
      </w:r>
    </w:p>
    <w:p w14:paraId="226B65B9" w14:textId="77777777" w:rsidR="00DE2044" w:rsidRPr="00DE2044" w:rsidRDefault="00DE2044" w:rsidP="006F139C">
      <w:pPr>
        <w:spacing w:line="360" w:lineRule="auto"/>
        <w:rPr>
          <w:rFonts w:ascii="Helvetica" w:hAnsi="Helvetica"/>
        </w:rPr>
      </w:pPr>
    </w:p>
    <w:sectPr w:rsidR="00DE2044" w:rsidRPr="00DE2044" w:rsidSect="00C77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80"/>
    <w:rsid w:val="001022DF"/>
    <w:rsid w:val="002676C7"/>
    <w:rsid w:val="002E5653"/>
    <w:rsid w:val="003E0952"/>
    <w:rsid w:val="006A4153"/>
    <w:rsid w:val="006F139C"/>
    <w:rsid w:val="007E1380"/>
    <w:rsid w:val="00836F98"/>
    <w:rsid w:val="008655EE"/>
    <w:rsid w:val="008D740A"/>
    <w:rsid w:val="008D78E1"/>
    <w:rsid w:val="00AB39D0"/>
    <w:rsid w:val="00B9087F"/>
    <w:rsid w:val="00BE3DCB"/>
    <w:rsid w:val="00C779E7"/>
    <w:rsid w:val="00D42E80"/>
    <w:rsid w:val="00D47A26"/>
    <w:rsid w:val="00DE2044"/>
    <w:rsid w:val="00FE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BE859"/>
  <w15:chartTrackingRefBased/>
  <w15:docId w15:val="{B7A86402-DEC3-1B4F-BC65-DCDD54605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380"/>
    <w:pPr>
      <w:widowControl w:val="0"/>
      <w:jc w:val="both"/>
    </w:pPr>
    <w:rPr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267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76C7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267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468</Words>
  <Characters>2673</Characters>
  <Application>Microsoft Office Word</Application>
  <DocSecurity>0</DocSecurity>
  <Lines>22</Lines>
  <Paragraphs>6</Paragraphs>
  <ScaleCrop>false</ScaleCrop>
  <Company>Weifang Medical University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 Yang</dc:creator>
  <cp:keywords/>
  <dc:description/>
  <cp:lastModifiedBy>Weiwei Yang</cp:lastModifiedBy>
  <cp:revision>18</cp:revision>
  <dcterms:created xsi:type="dcterms:W3CDTF">2020-02-12T20:31:00Z</dcterms:created>
  <dcterms:modified xsi:type="dcterms:W3CDTF">2020-03-04T13:24:00Z</dcterms:modified>
</cp:coreProperties>
</file>