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66552" w:rsidRPr="00BB05E7" w:rsidRDefault="00E66552" w:rsidP="001C496F">
      <w:pPr>
        <w:spacing w:line="360" w:lineRule="auto"/>
        <w:jc w:val="left"/>
        <w:rPr>
          <w:rFonts w:ascii="Times New Roman" w:hAnsi="Times New Roman" w:cs="Times New Roman"/>
          <w:sz w:val="20"/>
          <w:szCs w:val="20"/>
        </w:rPr>
      </w:pPr>
      <w:bookmarkStart w:id="0" w:name="OLE_LINK1"/>
      <w:r w:rsidRPr="00BB05E7">
        <w:rPr>
          <w:rFonts w:ascii="Times New Roman" w:hAnsi="Times New Roman" w:cs="Times New Roman"/>
          <w:b/>
          <w:sz w:val="20"/>
          <w:szCs w:val="20"/>
        </w:rPr>
        <w:t>Figure S1.</w:t>
      </w:r>
      <w:r w:rsidR="00625A3E">
        <w:rPr>
          <w:rFonts w:ascii="Times New Roman" w:hAnsi="Times New Roman" w:cs="Times New Roman"/>
          <w:b/>
          <w:sz w:val="20"/>
          <w:szCs w:val="20"/>
        </w:rPr>
        <w:t xml:space="preserve"> </w:t>
      </w:r>
      <w:bookmarkStart w:id="1" w:name="OLE_LINK6"/>
      <w:r w:rsidR="00625A3E" w:rsidRPr="00625A3E">
        <w:rPr>
          <w:rFonts w:ascii="Times New Roman" w:hAnsi="Times New Roman" w:cs="Times New Roman"/>
          <w:sz w:val="20"/>
          <w:szCs w:val="20"/>
        </w:rPr>
        <w:t>The expression of HNF4</w:t>
      </w:r>
      <w:r w:rsidR="00625A3E" w:rsidRPr="00625A3E">
        <w:rPr>
          <w:rFonts w:ascii="Times New Roman" w:hAnsi="Times New Roman" w:cs="Times New Roman"/>
          <w:sz w:val="20"/>
          <w:szCs w:val="20"/>
        </w:rPr>
        <w:t>α</w:t>
      </w:r>
      <w:r w:rsidR="00625A3E" w:rsidRPr="00625A3E">
        <w:rPr>
          <w:rFonts w:ascii="Times New Roman" w:hAnsi="Times New Roman" w:cs="Times New Roman"/>
          <w:sz w:val="20"/>
          <w:szCs w:val="20"/>
        </w:rPr>
        <w:t xml:space="preserve"> and TGR5 in </w:t>
      </w:r>
      <w:r w:rsidR="00625A3E" w:rsidRPr="00625A3E">
        <w:rPr>
          <w:rFonts w:ascii="Times New Roman" w:hAnsi="Times New Roman" w:cs="Times New Roman"/>
          <w:sz w:val="20"/>
          <w:szCs w:val="20"/>
        </w:rPr>
        <w:t>gastric epithelial cell lines</w:t>
      </w:r>
      <w:r w:rsidR="00625A3E" w:rsidRPr="00625A3E">
        <w:rPr>
          <w:rFonts w:ascii="Times New Roman" w:hAnsi="Times New Roman" w:cs="Times New Roman"/>
          <w:sz w:val="20"/>
          <w:szCs w:val="20"/>
        </w:rPr>
        <w:t>.</w:t>
      </w:r>
      <w:r w:rsidRPr="00625A3E">
        <w:rPr>
          <w:rFonts w:ascii="Times New Roman" w:hAnsi="Times New Roman" w:cs="Times New Roman"/>
          <w:sz w:val="20"/>
          <w:szCs w:val="20"/>
        </w:rPr>
        <w:t xml:space="preserve"> </w:t>
      </w:r>
      <w:bookmarkEnd w:id="1"/>
      <w:r w:rsidR="00833473" w:rsidRPr="00BB05E7">
        <w:rPr>
          <w:rFonts w:ascii="Times New Roman" w:hAnsi="Times New Roman" w:cs="Times New Roman"/>
          <w:b/>
          <w:sz w:val="20"/>
          <w:szCs w:val="20"/>
        </w:rPr>
        <w:t>(a)</w:t>
      </w:r>
      <w:r w:rsidR="00BC3A5A" w:rsidRPr="00BB05E7">
        <w:rPr>
          <w:rFonts w:ascii="Times New Roman" w:hAnsi="Times New Roman" w:cs="Times New Roman"/>
          <w:sz w:val="20"/>
          <w:szCs w:val="20"/>
        </w:rPr>
        <w:t>, The e</w:t>
      </w:r>
      <w:r w:rsidR="008A6D09" w:rsidRPr="00BB05E7">
        <w:rPr>
          <w:rFonts w:ascii="Times New Roman" w:hAnsi="Times New Roman" w:cs="Times New Roman"/>
          <w:sz w:val="20"/>
          <w:szCs w:val="20"/>
        </w:rPr>
        <w:t xml:space="preserve">xpression of metaplasia and stomach markers in </w:t>
      </w:r>
      <w:r w:rsidR="00BC3A5A" w:rsidRPr="00BB05E7">
        <w:rPr>
          <w:rFonts w:ascii="Times New Roman" w:hAnsi="Times New Roman" w:cs="Times New Roman"/>
          <w:sz w:val="20"/>
          <w:szCs w:val="20"/>
        </w:rPr>
        <w:t xml:space="preserve">seven </w:t>
      </w:r>
      <w:r w:rsidR="008A6D09" w:rsidRPr="00BB05E7">
        <w:rPr>
          <w:rFonts w:ascii="Times New Roman" w:hAnsi="Times New Roman" w:cs="Times New Roman"/>
          <w:sz w:val="20"/>
          <w:szCs w:val="20"/>
        </w:rPr>
        <w:t xml:space="preserve">gastric epithelial cell lines </w:t>
      </w:r>
      <w:r w:rsidR="00BC3A5A" w:rsidRPr="00BB05E7">
        <w:rPr>
          <w:rFonts w:ascii="Times New Roman" w:hAnsi="Times New Roman" w:cs="Times New Roman"/>
          <w:sz w:val="20"/>
          <w:szCs w:val="20"/>
        </w:rPr>
        <w:t xml:space="preserve">were analyzed </w:t>
      </w:r>
      <w:r w:rsidR="008A6D09" w:rsidRPr="00BB05E7">
        <w:rPr>
          <w:rFonts w:ascii="Times New Roman" w:hAnsi="Times New Roman" w:cs="Times New Roman"/>
          <w:sz w:val="20"/>
          <w:szCs w:val="20"/>
        </w:rPr>
        <w:t>by Western Blot.</w:t>
      </w:r>
      <w:r w:rsidR="00BC3A5A" w:rsidRPr="00BB05E7">
        <w:rPr>
          <w:rFonts w:ascii="Times New Roman" w:hAnsi="Times New Roman" w:cs="Times New Roman"/>
          <w:sz w:val="20"/>
          <w:szCs w:val="20"/>
        </w:rPr>
        <w:t xml:space="preserve"> </w:t>
      </w:r>
      <w:r w:rsidR="00833473" w:rsidRPr="00BB05E7">
        <w:rPr>
          <w:rFonts w:ascii="Times New Roman" w:hAnsi="Times New Roman" w:cs="Times New Roman"/>
          <w:b/>
          <w:sz w:val="20"/>
          <w:szCs w:val="20"/>
        </w:rPr>
        <w:t>(b)</w:t>
      </w:r>
      <w:r w:rsidR="00BC3A5A" w:rsidRPr="00BB05E7">
        <w:rPr>
          <w:rFonts w:ascii="Times New Roman" w:hAnsi="Times New Roman" w:cs="Times New Roman"/>
          <w:sz w:val="20"/>
          <w:szCs w:val="20"/>
        </w:rPr>
        <w:t xml:space="preserve">, The expression of </w:t>
      </w:r>
      <w:r w:rsidR="00B1719D" w:rsidRPr="00BB05E7">
        <w:rPr>
          <w:rFonts w:ascii="Times New Roman" w:hAnsi="Times New Roman" w:cs="Times New Roman"/>
          <w:sz w:val="20"/>
          <w:szCs w:val="20"/>
        </w:rPr>
        <w:t>hepatocyte nuclear factor-4α (HNF4α)</w:t>
      </w:r>
      <w:r w:rsidR="00BC3A5A" w:rsidRPr="00BB05E7">
        <w:rPr>
          <w:rFonts w:ascii="Times New Roman" w:hAnsi="Times New Roman" w:cs="Times New Roman"/>
          <w:sz w:val="20"/>
          <w:szCs w:val="20"/>
        </w:rPr>
        <w:t xml:space="preserve"> in seven gastric epithelial cell lines were analyzed by qRT-PCR. n=3.</w:t>
      </w:r>
      <w:r w:rsidR="00FB65C3" w:rsidRPr="00BB05E7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="00833473" w:rsidRPr="00BB05E7">
        <w:rPr>
          <w:rFonts w:ascii="Times New Roman" w:hAnsi="Times New Roman" w:cs="Times New Roman"/>
          <w:b/>
          <w:sz w:val="20"/>
          <w:szCs w:val="20"/>
        </w:rPr>
        <w:t>(c)</w:t>
      </w:r>
      <w:r w:rsidR="00FB65C3" w:rsidRPr="00BB05E7">
        <w:rPr>
          <w:rFonts w:ascii="Times New Roman" w:hAnsi="Times New Roman" w:cs="Times New Roman"/>
          <w:sz w:val="20"/>
          <w:szCs w:val="20"/>
        </w:rPr>
        <w:t xml:space="preserve">, The expression of </w:t>
      </w:r>
      <w:r w:rsidR="00B1719D" w:rsidRPr="00BB05E7">
        <w:rPr>
          <w:rFonts w:ascii="Times New Roman" w:hAnsi="Times New Roman" w:cs="Times New Roman"/>
          <w:sz w:val="20"/>
          <w:szCs w:val="20"/>
        </w:rPr>
        <w:t>G protein-coupled bile acid receptor 1 (GPBAR1, also known as TGR5)</w:t>
      </w:r>
      <w:r w:rsidR="00FB65C3" w:rsidRPr="00BB05E7">
        <w:rPr>
          <w:rFonts w:ascii="Times New Roman" w:hAnsi="Times New Roman" w:cs="Times New Roman"/>
          <w:sz w:val="20"/>
          <w:szCs w:val="20"/>
        </w:rPr>
        <w:t xml:space="preserve"> in seven gastric epithelial cell lines were analyzed by Western Blot.</w:t>
      </w:r>
    </w:p>
    <w:p w:rsidR="00E66552" w:rsidRPr="00BB05E7" w:rsidRDefault="00E66552" w:rsidP="001C496F">
      <w:pPr>
        <w:spacing w:line="360" w:lineRule="auto"/>
        <w:jc w:val="left"/>
        <w:rPr>
          <w:rFonts w:ascii="Times New Roman" w:hAnsi="Times New Roman" w:cs="Times New Roman"/>
          <w:b/>
          <w:sz w:val="20"/>
          <w:szCs w:val="20"/>
        </w:rPr>
      </w:pPr>
    </w:p>
    <w:p w:rsidR="008A6D09" w:rsidRPr="00BB05E7" w:rsidRDefault="008A6D09" w:rsidP="001C496F">
      <w:pPr>
        <w:spacing w:line="360" w:lineRule="auto"/>
        <w:jc w:val="left"/>
        <w:rPr>
          <w:rFonts w:ascii="Times New Roman" w:hAnsi="Times New Roman" w:cs="Times New Roman"/>
          <w:b/>
          <w:sz w:val="20"/>
          <w:szCs w:val="20"/>
        </w:rPr>
      </w:pPr>
    </w:p>
    <w:p w:rsidR="008A6D09" w:rsidRPr="00BB05E7" w:rsidRDefault="008A6D09" w:rsidP="001C496F">
      <w:pPr>
        <w:spacing w:line="360" w:lineRule="auto"/>
        <w:jc w:val="left"/>
        <w:rPr>
          <w:rFonts w:ascii="Times New Roman" w:hAnsi="Times New Roman" w:cs="Times New Roman"/>
          <w:b/>
          <w:sz w:val="20"/>
          <w:szCs w:val="20"/>
        </w:rPr>
      </w:pPr>
    </w:p>
    <w:p w:rsidR="008A6D09" w:rsidRPr="00BB05E7" w:rsidRDefault="008A6D09" w:rsidP="001C496F">
      <w:pPr>
        <w:spacing w:line="360" w:lineRule="auto"/>
        <w:jc w:val="left"/>
        <w:rPr>
          <w:rFonts w:ascii="Times New Roman" w:hAnsi="Times New Roman" w:cs="Times New Roman"/>
          <w:b/>
          <w:sz w:val="20"/>
          <w:szCs w:val="20"/>
        </w:rPr>
      </w:pPr>
    </w:p>
    <w:p w:rsidR="008A6D09" w:rsidRPr="00BB05E7" w:rsidRDefault="008A6D09" w:rsidP="001C496F">
      <w:pPr>
        <w:spacing w:line="360" w:lineRule="auto"/>
        <w:jc w:val="left"/>
        <w:rPr>
          <w:rFonts w:ascii="Times New Roman" w:hAnsi="Times New Roman" w:cs="Times New Roman"/>
          <w:b/>
          <w:sz w:val="20"/>
          <w:szCs w:val="20"/>
        </w:rPr>
      </w:pPr>
    </w:p>
    <w:p w:rsidR="008A6D09" w:rsidRPr="00BB05E7" w:rsidRDefault="008A6D09" w:rsidP="001C496F">
      <w:pPr>
        <w:spacing w:line="360" w:lineRule="auto"/>
        <w:jc w:val="left"/>
        <w:rPr>
          <w:rFonts w:ascii="Times New Roman" w:hAnsi="Times New Roman" w:cs="Times New Roman"/>
          <w:b/>
          <w:sz w:val="20"/>
          <w:szCs w:val="20"/>
        </w:rPr>
      </w:pPr>
    </w:p>
    <w:p w:rsidR="008A6D09" w:rsidRPr="00BB05E7" w:rsidRDefault="008A6D09" w:rsidP="001C496F">
      <w:pPr>
        <w:spacing w:line="360" w:lineRule="auto"/>
        <w:jc w:val="left"/>
        <w:rPr>
          <w:rFonts w:ascii="Times New Roman" w:hAnsi="Times New Roman" w:cs="Times New Roman"/>
          <w:b/>
          <w:sz w:val="20"/>
          <w:szCs w:val="20"/>
        </w:rPr>
      </w:pPr>
    </w:p>
    <w:p w:rsidR="008A6D09" w:rsidRPr="00BB05E7" w:rsidRDefault="008A6D09" w:rsidP="001C496F">
      <w:pPr>
        <w:spacing w:line="360" w:lineRule="auto"/>
        <w:jc w:val="left"/>
        <w:rPr>
          <w:rFonts w:ascii="Times New Roman" w:hAnsi="Times New Roman" w:cs="Times New Roman"/>
          <w:b/>
          <w:sz w:val="20"/>
          <w:szCs w:val="20"/>
        </w:rPr>
      </w:pPr>
    </w:p>
    <w:p w:rsidR="008A6D09" w:rsidRPr="00BB05E7" w:rsidRDefault="008A6D09" w:rsidP="001C496F">
      <w:pPr>
        <w:spacing w:line="360" w:lineRule="auto"/>
        <w:jc w:val="left"/>
        <w:rPr>
          <w:rFonts w:ascii="Times New Roman" w:hAnsi="Times New Roman" w:cs="Times New Roman"/>
          <w:b/>
          <w:sz w:val="20"/>
          <w:szCs w:val="20"/>
        </w:rPr>
      </w:pPr>
    </w:p>
    <w:p w:rsidR="008A6D09" w:rsidRPr="00BB05E7" w:rsidRDefault="008A6D09" w:rsidP="001C496F">
      <w:pPr>
        <w:spacing w:line="360" w:lineRule="auto"/>
        <w:jc w:val="left"/>
        <w:rPr>
          <w:rFonts w:ascii="Times New Roman" w:hAnsi="Times New Roman" w:cs="Times New Roman"/>
          <w:b/>
          <w:sz w:val="20"/>
          <w:szCs w:val="20"/>
        </w:rPr>
      </w:pPr>
    </w:p>
    <w:p w:rsidR="008A6D09" w:rsidRPr="00BB05E7" w:rsidRDefault="008A6D09" w:rsidP="001C496F">
      <w:pPr>
        <w:spacing w:line="360" w:lineRule="auto"/>
        <w:jc w:val="left"/>
        <w:rPr>
          <w:rFonts w:ascii="Times New Roman" w:hAnsi="Times New Roman" w:cs="Times New Roman"/>
          <w:b/>
          <w:sz w:val="20"/>
          <w:szCs w:val="20"/>
        </w:rPr>
      </w:pPr>
    </w:p>
    <w:p w:rsidR="008A6D09" w:rsidRPr="00BB05E7" w:rsidRDefault="008A6D09" w:rsidP="001C496F">
      <w:pPr>
        <w:spacing w:line="360" w:lineRule="auto"/>
        <w:jc w:val="left"/>
        <w:rPr>
          <w:rFonts w:ascii="Times New Roman" w:hAnsi="Times New Roman" w:cs="Times New Roman"/>
          <w:b/>
          <w:sz w:val="20"/>
          <w:szCs w:val="20"/>
        </w:rPr>
      </w:pPr>
    </w:p>
    <w:p w:rsidR="00E66552" w:rsidRDefault="00E66552" w:rsidP="001C496F">
      <w:pPr>
        <w:spacing w:line="360" w:lineRule="auto"/>
        <w:jc w:val="left"/>
        <w:rPr>
          <w:rFonts w:ascii="Times New Roman" w:hAnsi="Times New Roman" w:cs="Times New Roman"/>
          <w:b/>
          <w:noProof/>
          <w:sz w:val="20"/>
          <w:szCs w:val="20"/>
        </w:rPr>
      </w:pPr>
    </w:p>
    <w:p w:rsidR="00BB05E7" w:rsidRDefault="00BB05E7" w:rsidP="001C496F">
      <w:pPr>
        <w:spacing w:line="360" w:lineRule="auto"/>
        <w:jc w:val="left"/>
        <w:rPr>
          <w:rFonts w:ascii="Times New Roman" w:hAnsi="Times New Roman" w:cs="Times New Roman"/>
          <w:b/>
          <w:noProof/>
          <w:sz w:val="20"/>
          <w:szCs w:val="20"/>
        </w:rPr>
      </w:pPr>
    </w:p>
    <w:p w:rsidR="00BB05E7" w:rsidRDefault="00BB05E7" w:rsidP="001C496F">
      <w:pPr>
        <w:spacing w:line="360" w:lineRule="auto"/>
        <w:jc w:val="left"/>
        <w:rPr>
          <w:rFonts w:ascii="Times New Roman" w:hAnsi="Times New Roman" w:cs="Times New Roman"/>
          <w:b/>
          <w:noProof/>
          <w:sz w:val="20"/>
          <w:szCs w:val="20"/>
        </w:rPr>
      </w:pPr>
    </w:p>
    <w:p w:rsidR="00BB05E7" w:rsidRDefault="00BB05E7" w:rsidP="001C496F">
      <w:pPr>
        <w:spacing w:line="360" w:lineRule="auto"/>
        <w:jc w:val="left"/>
        <w:rPr>
          <w:rFonts w:ascii="Times New Roman" w:hAnsi="Times New Roman" w:cs="Times New Roman"/>
          <w:b/>
          <w:noProof/>
          <w:sz w:val="20"/>
          <w:szCs w:val="20"/>
        </w:rPr>
      </w:pPr>
    </w:p>
    <w:p w:rsidR="00BB05E7" w:rsidRDefault="00BB05E7" w:rsidP="001C496F">
      <w:pPr>
        <w:spacing w:line="360" w:lineRule="auto"/>
        <w:jc w:val="left"/>
        <w:rPr>
          <w:rFonts w:ascii="Times New Roman" w:hAnsi="Times New Roman" w:cs="Times New Roman"/>
          <w:b/>
          <w:noProof/>
          <w:sz w:val="20"/>
          <w:szCs w:val="20"/>
        </w:rPr>
      </w:pPr>
    </w:p>
    <w:p w:rsidR="00BB05E7" w:rsidRDefault="00BB05E7" w:rsidP="001C496F">
      <w:pPr>
        <w:spacing w:line="360" w:lineRule="auto"/>
        <w:jc w:val="left"/>
        <w:rPr>
          <w:rFonts w:ascii="Times New Roman" w:hAnsi="Times New Roman" w:cs="Times New Roman"/>
          <w:b/>
          <w:noProof/>
          <w:sz w:val="20"/>
          <w:szCs w:val="20"/>
        </w:rPr>
      </w:pPr>
    </w:p>
    <w:p w:rsidR="00BB05E7" w:rsidRDefault="00BB05E7" w:rsidP="001C496F">
      <w:pPr>
        <w:spacing w:line="360" w:lineRule="auto"/>
        <w:jc w:val="left"/>
        <w:rPr>
          <w:rFonts w:ascii="Times New Roman" w:hAnsi="Times New Roman" w:cs="Times New Roman"/>
          <w:b/>
          <w:noProof/>
          <w:sz w:val="20"/>
          <w:szCs w:val="20"/>
        </w:rPr>
      </w:pPr>
    </w:p>
    <w:p w:rsidR="00BB05E7" w:rsidRDefault="00BB05E7" w:rsidP="001C496F">
      <w:pPr>
        <w:spacing w:line="360" w:lineRule="auto"/>
        <w:jc w:val="left"/>
        <w:rPr>
          <w:rFonts w:ascii="Times New Roman" w:hAnsi="Times New Roman" w:cs="Times New Roman"/>
          <w:b/>
          <w:noProof/>
          <w:sz w:val="20"/>
          <w:szCs w:val="20"/>
        </w:rPr>
      </w:pPr>
    </w:p>
    <w:p w:rsidR="00BB05E7" w:rsidRDefault="00BB05E7" w:rsidP="001C496F">
      <w:pPr>
        <w:spacing w:line="360" w:lineRule="auto"/>
        <w:jc w:val="left"/>
        <w:rPr>
          <w:rFonts w:ascii="Times New Roman" w:hAnsi="Times New Roman" w:cs="Times New Roman"/>
          <w:b/>
          <w:noProof/>
          <w:sz w:val="20"/>
          <w:szCs w:val="20"/>
        </w:rPr>
      </w:pPr>
    </w:p>
    <w:p w:rsidR="00BB05E7" w:rsidRDefault="00BB05E7" w:rsidP="001C496F">
      <w:pPr>
        <w:spacing w:line="360" w:lineRule="auto"/>
        <w:jc w:val="left"/>
        <w:rPr>
          <w:rFonts w:ascii="Times New Roman" w:hAnsi="Times New Roman" w:cs="Times New Roman"/>
          <w:b/>
          <w:noProof/>
          <w:sz w:val="20"/>
          <w:szCs w:val="20"/>
        </w:rPr>
      </w:pPr>
    </w:p>
    <w:p w:rsidR="00BB05E7" w:rsidRDefault="00BB05E7" w:rsidP="001C496F">
      <w:pPr>
        <w:spacing w:line="360" w:lineRule="auto"/>
        <w:jc w:val="left"/>
        <w:rPr>
          <w:rFonts w:ascii="Times New Roman" w:hAnsi="Times New Roman" w:cs="Times New Roman"/>
          <w:b/>
          <w:noProof/>
          <w:sz w:val="20"/>
          <w:szCs w:val="20"/>
        </w:rPr>
      </w:pPr>
    </w:p>
    <w:p w:rsidR="00BB05E7" w:rsidRDefault="00BB05E7" w:rsidP="001C496F">
      <w:pPr>
        <w:spacing w:line="360" w:lineRule="auto"/>
        <w:jc w:val="left"/>
        <w:rPr>
          <w:rFonts w:ascii="Times New Roman" w:hAnsi="Times New Roman" w:cs="Times New Roman"/>
          <w:b/>
          <w:noProof/>
          <w:sz w:val="20"/>
          <w:szCs w:val="20"/>
        </w:rPr>
      </w:pPr>
    </w:p>
    <w:p w:rsidR="00BB05E7" w:rsidRDefault="00BB05E7" w:rsidP="001C496F">
      <w:pPr>
        <w:spacing w:line="360" w:lineRule="auto"/>
        <w:jc w:val="left"/>
        <w:rPr>
          <w:rFonts w:ascii="Times New Roman" w:hAnsi="Times New Roman" w:cs="Times New Roman"/>
          <w:b/>
          <w:noProof/>
          <w:sz w:val="20"/>
          <w:szCs w:val="20"/>
        </w:rPr>
      </w:pPr>
    </w:p>
    <w:p w:rsidR="006B53A8" w:rsidRPr="00BB05E7" w:rsidRDefault="008A6D09" w:rsidP="001C496F">
      <w:pPr>
        <w:spacing w:line="360" w:lineRule="auto"/>
        <w:jc w:val="left"/>
        <w:rPr>
          <w:rFonts w:ascii="Times New Roman" w:hAnsi="Times New Roman" w:cs="Times New Roman"/>
          <w:sz w:val="20"/>
          <w:szCs w:val="20"/>
        </w:rPr>
      </w:pPr>
      <w:r w:rsidRPr="00BB05E7">
        <w:rPr>
          <w:rFonts w:ascii="Times New Roman" w:hAnsi="Times New Roman" w:cs="Times New Roman"/>
          <w:b/>
          <w:sz w:val="20"/>
          <w:szCs w:val="20"/>
        </w:rPr>
        <w:lastRenderedPageBreak/>
        <w:t xml:space="preserve">Figure S2. </w:t>
      </w:r>
      <w:r w:rsidR="00137FAC" w:rsidRPr="00137FAC">
        <w:rPr>
          <w:rFonts w:ascii="Times New Roman" w:hAnsi="Times New Roman" w:cs="Times New Roman"/>
          <w:sz w:val="20"/>
          <w:szCs w:val="20"/>
        </w:rPr>
        <w:t>The HNF4</w:t>
      </w:r>
      <w:r w:rsidR="00137FAC" w:rsidRPr="00137FAC">
        <w:rPr>
          <w:rFonts w:ascii="Times New Roman" w:hAnsi="Times New Roman" w:cs="Times New Roman"/>
          <w:color w:val="000000" w:themeColor="text1"/>
          <w:sz w:val="20"/>
          <w:szCs w:val="20"/>
        </w:rPr>
        <w:t>α</w:t>
      </w:r>
      <w:r w:rsidR="00137FAC" w:rsidRPr="00137FAC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</w:t>
      </w:r>
      <w:r w:rsidR="00137FAC" w:rsidRPr="00137FAC">
        <w:rPr>
          <w:rFonts w:ascii="Times New Roman" w:hAnsi="Times New Roman" w:cs="Times New Roman"/>
          <w:sz w:val="20"/>
          <w:szCs w:val="20"/>
        </w:rPr>
        <w:t>expression and transcriptional activity after bile acids treatment.</w:t>
      </w:r>
      <w:r w:rsidR="00137FAC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="00833473" w:rsidRPr="00BB05E7">
        <w:rPr>
          <w:rFonts w:ascii="Times New Roman" w:eastAsia="宋体" w:hAnsi="Times New Roman" w:cs="Times New Roman"/>
          <w:b/>
          <w:color w:val="000000" w:themeColor="text1"/>
          <w:kern w:val="0"/>
          <w:sz w:val="20"/>
          <w:szCs w:val="20"/>
          <w:lang w:val="en-GB"/>
        </w:rPr>
        <w:t>(a)</w:t>
      </w:r>
      <w:r w:rsidR="00B1719D" w:rsidRPr="00BB05E7">
        <w:rPr>
          <w:rFonts w:ascii="Times New Roman" w:eastAsia="宋体" w:hAnsi="Times New Roman" w:cs="Times New Roman"/>
          <w:color w:val="000000" w:themeColor="text1"/>
          <w:kern w:val="0"/>
          <w:sz w:val="20"/>
          <w:szCs w:val="20"/>
          <w:lang w:val="en-GB"/>
        </w:rPr>
        <w:t xml:space="preserve">. KEEG pathway analysis was conducted by </w:t>
      </w:r>
      <w:bookmarkStart w:id="2" w:name="OLE_LINK17"/>
      <w:r w:rsidR="00B1719D" w:rsidRPr="00BB05E7">
        <w:rPr>
          <w:rFonts w:ascii="Times New Roman" w:hAnsi="Times New Roman" w:cs="Times New Roman"/>
          <w:sz w:val="20"/>
          <w:szCs w:val="20"/>
        </w:rPr>
        <w:t>WebGestalt</w:t>
      </w:r>
      <w:r w:rsidR="00B1719D" w:rsidRPr="00BB05E7">
        <w:rPr>
          <w:rFonts w:ascii="Times New Roman" w:eastAsia="宋体" w:hAnsi="Times New Roman" w:cs="Times New Roman"/>
          <w:color w:val="000000" w:themeColor="text1"/>
          <w:kern w:val="0"/>
          <w:sz w:val="20"/>
          <w:szCs w:val="20"/>
          <w:lang w:val="en-GB"/>
        </w:rPr>
        <w:t xml:space="preserve"> web tool</w:t>
      </w:r>
      <w:bookmarkEnd w:id="2"/>
      <w:r w:rsidR="00B1719D" w:rsidRPr="00BB05E7">
        <w:rPr>
          <w:rFonts w:ascii="Times New Roman" w:eastAsia="宋体" w:hAnsi="Times New Roman" w:cs="Times New Roman"/>
          <w:color w:val="000000" w:themeColor="text1"/>
          <w:kern w:val="0"/>
          <w:sz w:val="20"/>
          <w:szCs w:val="20"/>
          <w:lang w:val="en-GB"/>
        </w:rPr>
        <w:t xml:space="preserve">. Bars represent the enrichment ratio of transcription factors in the specified pathway. </w:t>
      </w:r>
      <w:r w:rsidR="00833473" w:rsidRPr="00BB05E7">
        <w:rPr>
          <w:rFonts w:ascii="Times New Roman" w:hAnsi="Times New Roman" w:cs="Times New Roman"/>
          <w:b/>
          <w:color w:val="000000" w:themeColor="text1"/>
          <w:sz w:val="20"/>
          <w:szCs w:val="20"/>
        </w:rPr>
        <w:t>(b)</w:t>
      </w:r>
      <w:r w:rsidR="00B1719D" w:rsidRPr="00BB05E7">
        <w:rPr>
          <w:rFonts w:ascii="Times New Roman" w:hAnsi="Times New Roman" w:cs="Times New Roman"/>
          <w:b/>
          <w:color w:val="000000" w:themeColor="text1"/>
          <w:sz w:val="20"/>
          <w:szCs w:val="20"/>
        </w:rPr>
        <w:t>,</w:t>
      </w:r>
      <w:r w:rsidR="00B1719D" w:rsidRPr="00BB05E7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Protein-protein interaction (PPI) network (GeneMANIA) analysis indicating the gene set that was enriched (HNF4α/HNF1α/FOXA2/PAX6). Different colors of the network edge indicate the bioinformatics methods applied: physical interaction, co-expression, predicted, co-localization, pathway, genetic interactions, and shared protein domains.</w:t>
      </w:r>
      <w:r w:rsidR="00B1719D" w:rsidRPr="00BB05E7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="00833473" w:rsidRPr="00BB05E7">
        <w:rPr>
          <w:rFonts w:ascii="Times New Roman" w:hAnsi="Times New Roman" w:cs="Times New Roman"/>
          <w:b/>
          <w:sz w:val="20"/>
          <w:szCs w:val="20"/>
        </w:rPr>
        <w:t>(c)</w:t>
      </w:r>
      <w:r w:rsidR="00B1719D" w:rsidRPr="00BB05E7">
        <w:rPr>
          <w:rFonts w:ascii="Times New Roman" w:hAnsi="Times New Roman" w:cs="Times New Roman"/>
          <w:sz w:val="20"/>
          <w:szCs w:val="20"/>
        </w:rPr>
        <w:t xml:space="preserve">, The sequences of HNF4 transcription response element (TRE) used in this study. </w:t>
      </w:r>
      <w:r w:rsidR="00833473" w:rsidRPr="00BB05E7">
        <w:rPr>
          <w:rFonts w:ascii="Times New Roman" w:hAnsi="Times New Roman" w:cs="Times New Roman"/>
          <w:b/>
          <w:sz w:val="20"/>
          <w:szCs w:val="20"/>
        </w:rPr>
        <w:t>(d)</w:t>
      </w:r>
      <w:r w:rsidR="00B1719D" w:rsidRPr="00BB05E7">
        <w:rPr>
          <w:rFonts w:ascii="Times New Roman" w:hAnsi="Times New Roman" w:cs="Times New Roman"/>
          <w:sz w:val="20"/>
          <w:szCs w:val="20"/>
        </w:rPr>
        <w:t xml:space="preserve">, HNF4 transcriptional response element (TRE) was cloned into the pEZX-PG02 vector. Then GES-1 cells were transfected with 2 μg </w:t>
      </w:r>
      <w:bookmarkStart w:id="3" w:name="OLE_LINK41"/>
      <w:bookmarkStart w:id="4" w:name="OLE_LINK42"/>
      <w:r w:rsidR="00B1719D" w:rsidRPr="00BB05E7">
        <w:rPr>
          <w:rFonts w:ascii="Times New Roman" w:hAnsi="Times New Roman" w:cs="Times New Roman"/>
          <w:sz w:val="20"/>
          <w:szCs w:val="20"/>
        </w:rPr>
        <w:t>HNF4</w:t>
      </w:r>
      <w:bookmarkEnd w:id="3"/>
      <w:bookmarkEnd w:id="4"/>
      <w:r w:rsidR="00B1719D" w:rsidRPr="00BB05E7">
        <w:rPr>
          <w:rFonts w:ascii="Times New Roman" w:hAnsi="Times New Roman" w:cs="Times New Roman"/>
          <w:sz w:val="20"/>
          <w:szCs w:val="20"/>
        </w:rPr>
        <w:t xml:space="preserve"> TRE for 24 h and treated with and without 200 μM DCA for another 24 h. Gaussia luciferase activity was detected in the culture supernatant. Empty vector was used as a negative control. ** P &lt; 0.01, n=3. </w:t>
      </w:r>
      <w:r w:rsidR="00833473" w:rsidRPr="00BB05E7">
        <w:rPr>
          <w:rFonts w:ascii="Times New Roman" w:eastAsia="宋体" w:hAnsi="Times New Roman" w:cs="Times New Roman"/>
          <w:b/>
          <w:color w:val="000000" w:themeColor="text1"/>
          <w:kern w:val="0"/>
          <w:sz w:val="20"/>
          <w:szCs w:val="20"/>
          <w:lang w:val="en-GB"/>
        </w:rPr>
        <w:t>(e)</w:t>
      </w:r>
      <w:r w:rsidR="00B1719D" w:rsidRPr="00BB05E7">
        <w:rPr>
          <w:rFonts w:ascii="Times New Roman" w:eastAsia="宋体" w:hAnsi="Times New Roman" w:cs="Times New Roman"/>
          <w:color w:val="000000" w:themeColor="text1"/>
          <w:kern w:val="0"/>
          <w:sz w:val="20"/>
          <w:szCs w:val="20"/>
          <w:lang w:val="en-GB"/>
        </w:rPr>
        <w:t>. Immunohistochemistry (IHC) staining of gastritis and IM tissues showed P1-HNF4α and P2-HNF4α expression. Scale bar, 100 μm (</w:t>
      </w:r>
      <w:r w:rsidR="00B1719D" w:rsidRPr="00BB05E7">
        <w:rPr>
          <w:rFonts w:ascii="Times New Roman" w:eastAsia="宋体" w:hAnsi="Times New Roman" w:cs="Times New Roman"/>
          <w:b/>
          <w:color w:val="000000" w:themeColor="text1"/>
          <w:kern w:val="0"/>
          <w:sz w:val="20"/>
          <w:szCs w:val="20"/>
          <w:lang w:val="en-GB"/>
        </w:rPr>
        <w:t>upper</w:t>
      </w:r>
      <w:r w:rsidR="00B1719D" w:rsidRPr="00BB05E7">
        <w:rPr>
          <w:rFonts w:ascii="Times New Roman" w:eastAsia="宋体" w:hAnsi="Times New Roman" w:cs="Times New Roman"/>
          <w:color w:val="000000" w:themeColor="text1"/>
          <w:kern w:val="0"/>
          <w:sz w:val="20"/>
          <w:szCs w:val="20"/>
          <w:lang w:val="en-GB"/>
        </w:rPr>
        <w:t>) and 50 μm (</w:t>
      </w:r>
      <w:r w:rsidR="00B1719D" w:rsidRPr="00BB05E7">
        <w:rPr>
          <w:rFonts w:ascii="Times New Roman" w:eastAsia="宋体" w:hAnsi="Times New Roman" w:cs="Times New Roman"/>
          <w:b/>
          <w:color w:val="000000" w:themeColor="text1"/>
          <w:kern w:val="0"/>
          <w:sz w:val="20"/>
          <w:szCs w:val="20"/>
          <w:lang w:val="en-GB"/>
        </w:rPr>
        <w:t>lower</w:t>
      </w:r>
      <w:r w:rsidR="00B1719D" w:rsidRPr="00BB05E7">
        <w:rPr>
          <w:rFonts w:ascii="Times New Roman" w:eastAsia="宋体" w:hAnsi="Times New Roman" w:cs="Times New Roman"/>
          <w:color w:val="000000" w:themeColor="text1"/>
          <w:kern w:val="0"/>
          <w:sz w:val="20"/>
          <w:szCs w:val="20"/>
          <w:lang w:val="en-GB"/>
        </w:rPr>
        <w:t xml:space="preserve">). </w:t>
      </w:r>
      <w:r w:rsidR="00833473" w:rsidRPr="00BB05E7">
        <w:rPr>
          <w:rFonts w:ascii="Times New Roman" w:eastAsia="宋体" w:hAnsi="Times New Roman" w:cs="Times New Roman"/>
          <w:b/>
          <w:color w:val="000000" w:themeColor="text1"/>
          <w:kern w:val="0"/>
          <w:sz w:val="20"/>
          <w:szCs w:val="20"/>
          <w:lang w:val="en-GB"/>
        </w:rPr>
        <w:t>(f)</w:t>
      </w:r>
      <w:r w:rsidR="00B1719D" w:rsidRPr="00BB05E7">
        <w:rPr>
          <w:rFonts w:ascii="Times New Roman" w:eastAsia="宋体" w:hAnsi="Times New Roman" w:cs="Times New Roman"/>
          <w:color w:val="000000" w:themeColor="text1"/>
          <w:kern w:val="0"/>
          <w:sz w:val="20"/>
          <w:szCs w:val="20"/>
          <w:lang w:val="en-GB"/>
        </w:rPr>
        <w:t>, H-scores of P1-</w:t>
      </w:r>
      <w:bookmarkStart w:id="5" w:name="OLE_LINK4"/>
      <w:bookmarkStart w:id="6" w:name="OLE_LINK5"/>
      <w:r w:rsidR="00B1719D" w:rsidRPr="00BB05E7">
        <w:rPr>
          <w:rFonts w:ascii="Times New Roman" w:eastAsia="宋体" w:hAnsi="Times New Roman" w:cs="Times New Roman"/>
          <w:color w:val="000000" w:themeColor="text1"/>
          <w:kern w:val="0"/>
          <w:sz w:val="20"/>
          <w:szCs w:val="20"/>
          <w:lang w:val="en-GB"/>
        </w:rPr>
        <w:t>HNF4α</w:t>
      </w:r>
      <w:bookmarkEnd w:id="5"/>
      <w:bookmarkEnd w:id="6"/>
      <w:r w:rsidR="00B1719D" w:rsidRPr="00BB05E7">
        <w:rPr>
          <w:rFonts w:ascii="Times New Roman" w:eastAsia="宋体" w:hAnsi="Times New Roman" w:cs="Times New Roman"/>
          <w:color w:val="000000" w:themeColor="text1"/>
          <w:kern w:val="0"/>
          <w:sz w:val="20"/>
          <w:szCs w:val="20"/>
          <w:lang w:val="en-GB"/>
        </w:rPr>
        <w:t xml:space="preserve"> and P2-HNF4α staining in gastritis and IM tissues. Error bars indicate the mean with 95% confidence interval. ** P &lt; 0.01.</w:t>
      </w:r>
    </w:p>
    <w:p w:rsidR="0015114E" w:rsidRPr="00BB05E7" w:rsidRDefault="0015114E" w:rsidP="001C496F">
      <w:pPr>
        <w:spacing w:line="360" w:lineRule="auto"/>
        <w:rPr>
          <w:rFonts w:ascii="Times New Roman" w:hAnsi="Times New Roman" w:cs="Times New Roman"/>
          <w:sz w:val="20"/>
          <w:szCs w:val="20"/>
        </w:rPr>
      </w:pPr>
    </w:p>
    <w:p w:rsidR="0015114E" w:rsidRPr="00BB05E7" w:rsidRDefault="0015114E" w:rsidP="001C496F">
      <w:pPr>
        <w:spacing w:line="360" w:lineRule="auto"/>
        <w:rPr>
          <w:rFonts w:ascii="Times New Roman" w:hAnsi="Times New Roman" w:cs="Times New Roman"/>
          <w:sz w:val="20"/>
          <w:szCs w:val="20"/>
        </w:rPr>
      </w:pPr>
    </w:p>
    <w:p w:rsidR="0015114E" w:rsidRPr="00BB05E7" w:rsidRDefault="0015114E" w:rsidP="001C496F">
      <w:pPr>
        <w:spacing w:line="360" w:lineRule="auto"/>
        <w:rPr>
          <w:rFonts w:ascii="Times New Roman" w:hAnsi="Times New Roman" w:cs="Times New Roman"/>
          <w:sz w:val="20"/>
          <w:szCs w:val="20"/>
        </w:rPr>
      </w:pPr>
    </w:p>
    <w:p w:rsidR="0015114E" w:rsidRPr="00BB05E7" w:rsidRDefault="0015114E" w:rsidP="001C496F">
      <w:pPr>
        <w:spacing w:line="360" w:lineRule="auto"/>
        <w:rPr>
          <w:rFonts w:ascii="Times New Roman" w:hAnsi="Times New Roman" w:cs="Times New Roman"/>
          <w:sz w:val="20"/>
          <w:szCs w:val="20"/>
        </w:rPr>
      </w:pPr>
    </w:p>
    <w:p w:rsidR="0015114E" w:rsidRPr="00BB05E7" w:rsidRDefault="0015114E" w:rsidP="001C496F">
      <w:pPr>
        <w:spacing w:line="360" w:lineRule="auto"/>
        <w:rPr>
          <w:rFonts w:ascii="Times New Roman" w:hAnsi="Times New Roman" w:cs="Times New Roman"/>
          <w:sz w:val="20"/>
          <w:szCs w:val="20"/>
        </w:rPr>
      </w:pPr>
    </w:p>
    <w:p w:rsidR="0015114E" w:rsidRPr="00BB05E7" w:rsidRDefault="0015114E" w:rsidP="001C496F">
      <w:pPr>
        <w:spacing w:line="360" w:lineRule="auto"/>
        <w:rPr>
          <w:rFonts w:ascii="Times New Roman" w:hAnsi="Times New Roman" w:cs="Times New Roman"/>
          <w:sz w:val="20"/>
          <w:szCs w:val="20"/>
        </w:rPr>
      </w:pPr>
    </w:p>
    <w:p w:rsidR="0015114E" w:rsidRPr="00BB05E7" w:rsidRDefault="0015114E" w:rsidP="001C496F">
      <w:pPr>
        <w:spacing w:line="360" w:lineRule="auto"/>
        <w:rPr>
          <w:rFonts w:ascii="Times New Roman" w:hAnsi="Times New Roman" w:cs="Times New Roman"/>
          <w:sz w:val="20"/>
          <w:szCs w:val="20"/>
        </w:rPr>
      </w:pPr>
    </w:p>
    <w:p w:rsidR="0015114E" w:rsidRPr="00BB05E7" w:rsidRDefault="0015114E" w:rsidP="001C496F">
      <w:pPr>
        <w:spacing w:line="360" w:lineRule="auto"/>
        <w:rPr>
          <w:rFonts w:ascii="Times New Roman" w:hAnsi="Times New Roman" w:cs="Times New Roman"/>
          <w:sz w:val="20"/>
          <w:szCs w:val="20"/>
        </w:rPr>
      </w:pPr>
    </w:p>
    <w:p w:rsidR="0015114E" w:rsidRPr="00BB05E7" w:rsidRDefault="0015114E" w:rsidP="001C496F">
      <w:pPr>
        <w:spacing w:line="360" w:lineRule="auto"/>
        <w:rPr>
          <w:rFonts w:ascii="Times New Roman" w:hAnsi="Times New Roman" w:cs="Times New Roman"/>
          <w:sz w:val="20"/>
          <w:szCs w:val="20"/>
        </w:rPr>
      </w:pPr>
    </w:p>
    <w:p w:rsidR="0015114E" w:rsidRPr="00BB05E7" w:rsidRDefault="0015114E" w:rsidP="001C496F">
      <w:pPr>
        <w:spacing w:line="360" w:lineRule="auto"/>
        <w:rPr>
          <w:rFonts w:ascii="Times New Roman" w:hAnsi="Times New Roman" w:cs="Times New Roman"/>
          <w:sz w:val="20"/>
          <w:szCs w:val="20"/>
        </w:rPr>
      </w:pPr>
    </w:p>
    <w:p w:rsidR="0015114E" w:rsidRPr="00BB05E7" w:rsidRDefault="0015114E" w:rsidP="001C496F">
      <w:pPr>
        <w:spacing w:line="360" w:lineRule="auto"/>
        <w:rPr>
          <w:rFonts w:ascii="Times New Roman" w:hAnsi="Times New Roman" w:cs="Times New Roman"/>
          <w:sz w:val="20"/>
          <w:szCs w:val="20"/>
        </w:rPr>
      </w:pPr>
    </w:p>
    <w:p w:rsidR="0015114E" w:rsidRDefault="0015114E" w:rsidP="001C496F">
      <w:pPr>
        <w:spacing w:line="360" w:lineRule="auto"/>
        <w:rPr>
          <w:rFonts w:ascii="Times New Roman" w:hAnsi="Times New Roman" w:cs="Times New Roman"/>
          <w:sz w:val="20"/>
          <w:szCs w:val="20"/>
        </w:rPr>
      </w:pPr>
    </w:p>
    <w:p w:rsidR="00BB05E7" w:rsidRDefault="00BB05E7" w:rsidP="001C496F">
      <w:pPr>
        <w:spacing w:line="360" w:lineRule="auto"/>
        <w:rPr>
          <w:rFonts w:ascii="Times New Roman" w:hAnsi="Times New Roman" w:cs="Times New Roman"/>
          <w:sz w:val="20"/>
          <w:szCs w:val="20"/>
        </w:rPr>
      </w:pPr>
    </w:p>
    <w:p w:rsidR="00BB05E7" w:rsidRDefault="00BB05E7" w:rsidP="001C496F">
      <w:pPr>
        <w:spacing w:line="360" w:lineRule="auto"/>
        <w:rPr>
          <w:rFonts w:ascii="Times New Roman" w:hAnsi="Times New Roman" w:cs="Times New Roman"/>
          <w:sz w:val="20"/>
          <w:szCs w:val="20"/>
        </w:rPr>
      </w:pPr>
    </w:p>
    <w:p w:rsidR="00BB05E7" w:rsidRDefault="00BB05E7" w:rsidP="001C496F">
      <w:pPr>
        <w:spacing w:line="360" w:lineRule="auto"/>
        <w:rPr>
          <w:rFonts w:ascii="Times New Roman" w:hAnsi="Times New Roman" w:cs="Times New Roman"/>
          <w:sz w:val="20"/>
          <w:szCs w:val="20"/>
        </w:rPr>
      </w:pPr>
    </w:p>
    <w:p w:rsidR="00BB05E7" w:rsidRDefault="00BB05E7" w:rsidP="001C496F">
      <w:pPr>
        <w:spacing w:line="360" w:lineRule="auto"/>
        <w:rPr>
          <w:rFonts w:ascii="Times New Roman" w:hAnsi="Times New Roman" w:cs="Times New Roman"/>
          <w:sz w:val="20"/>
          <w:szCs w:val="20"/>
        </w:rPr>
      </w:pPr>
    </w:p>
    <w:p w:rsidR="00EB6BFF" w:rsidRPr="00BB05E7" w:rsidRDefault="00EB6BFF" w:rsidP="001C496F">
      <w:pPr>
        <w:spacing w:line="360" w:lineRule="auto"/>
        <w:rPr>
          <w:rFonts w:ascii="Times New Roman" w:eastAsia="宋体" w:hAnsi="Times New Roman" w:cs="Times New Roman"/>
          <w:color w:val="000000" w:themeColor="text1"/>
          <w:kern w:val="0"/>
          <w:sz w:val="20"/>
          <w:szCs w:val="20"/>
          <w:lang w:val="en-GB"/>
        </w:rPr>
      </w:pPr>
      <w:bookmarkStart w:id="7" w:name="_GoBack"/>
      <w:bookmarkEnd w:id="0"/>
      <w:bookmarkEnd w:id="7"/>
      <w:r w:rsidRPr="00BB05E7">
        <w:rPr>
          <w:rFonts w:ascii="Times New Roman" w:eastAsia="宋体" w:hAnsi="Times New Roman" w:cs="Times New Roman"/>
          <w:b/>
          <w:color w:val="000000" w:themeColor="text1"/>
          <w:kern w:val="0"/>
          <w:sz w:val="20"/>
          <w:szCs w:val="20"/>
          <w:lang w:val="en-GB"/>
        </w:rPr>
        <w:lastRenderedPageBreak/>
        <w:t>Figure S</w:t>
      </w:r>
      <w:r w:rsidR="00F75EEC" w:rsidRPr="00BB05E7">
        <w:rPr>
          <w:rFonts w:ascii="Times New Roman" w:eastAsia="宋体" w:hAnsi="Times New Roman" w:cs="Times New Roman"/>
          <w:b/>
          <w:color w:val="000000" w:themeColor="text1"/>
          <w:kern w:val="0"/>
          <w:sz w:val="20"/>
          <w:szCs w:val="20"/>
          <w:lang w:val="en-GB"/>
        </w:rPr>
        <w:t>3</w:t>
      </w:r>
      <w:r w:rsidRPr="00BB05E7">
        <w:rPr>
          <w:rFonts w:ascii="Times New Roman" w:eastAsia="宋体" w:hAnsi="Times New Roman" w:cs="Times New Roman"/>
          <w:b/>
          <w:color w:val="000000" w:themeColor="text1"/>
          <w:kern w:val="0"/>
          <w:sz w:val="20"/>
          <w:szCs w:val="20"/>
          <w:lang w:val="en-GB"/>
        </w:rPr>
        <w:t>.</w:t>
      </w:r>
      <w:r w:rsidRPr="00BB05E7">
        <w:rPr>
          <w:rFonts w:ascii="Times New Roman" w:eastAsia="宋体" w:hAnsi="Times New Roman" w:cs="Times New Roman"/>
          <w:color w:val="000000" w:themeColor="text1"/>
          <w:kern w:val="0"/>
          <w:sz w:val="20"/>
          <w:szCs w:val="20"/>
          <w:lang w:val="en-GB"/>
        </w:rPr>
        <w:t xml:space="preserve"> P1-HNF4α promoted KLF4 and CDX2 expression in gastric epithelial cells.</w:t>
      </w:r>
      <w:r w:rsidRPr="00BB05E7">
        <w:rPr>
          <w:rFonts w:ascii="Times New Roman" w:eastAsia="宋体" w:hAnsi="Times New Roman" w:cs="Times New Roman"/>
          <w:b/>
          <w:color w:val="000000" w:themeColor="text1"/>
          <w:kern w:val="0"/>
          <w:sz w:val="20"/>
          <w:szCs w:val="20"/>
          <w:lang w:val="en-GB"/>
        </w:rPr>
        <w:t xml:space="preserve"> </w:t>
      </w:r>
      <w:r w:rsidR="00833473" w:rsidRPr="00BB05E7">
        <w:rPr>
          <w:rFonts w:ascii="Times New Roman" w:eastAsia="宋体" w:hAnsi="Times New Roman" w:cs="Times New Roman"/>
          <w:b/>
          <w:color w:val="000000" w:themeColor="text1"/>
          <w:kern w:val="0"/>
          <w:sz w:val="20"/>
          <w:szCs w:val="20"/>
          <w:lang w:val="en-GB"/>
        </w:rPr>
        <w:t>(a-b)</w:t>
      </w:r>
      <w:r w:rsidRPr="00BB05E7">
        <w:rPr>
          <w:rFonts w:ascii="Times New Roman" w:eastAsia="宋体" w:hAnsi="Times New Roman" w:cs="Times New Roman"/>
          <w:b/>
          <w:color w:val="000000" w:themeColor="text1"/>
          <w:kern w:val="0"/>
          <w:sz w:val="20"/>
          <w:szCs w:val="20"/>
          <w:lang w:val="en-GB"/>
        </w:rPr>
        <w:t>,</w:t>
      </w:r>
      <w:r w:rsidRPr="00BB05E7">
        <w:rPr>
          <w:rFonts w:ascii="Times New Roman" w:eastAsia="宋体" w:hAnsi="Times New Roman" w:cs="Times New Roman"/>
          <w:color w:val="000000" w:themeColor="text1"/>
          <w:kern w:val="0"/>
          <w:sz w:val="20"/>
          <w:szCs w:val="20"/>
          <w:lang w:val="en-GB"/>
        </w:rPr>
        <w:t xml:space="preserve"> KLF4 and CDX2 expression was determined by immunofluorescence (IF) (</w:t>
      </w:r>
      <w:r w:rsidRPr="00BB05E7">
        <w:rPr>
          <w:rFonts w:ascii="Times New Roman" w:eastAsia="宋体" w:hAnsi="Times New Roman" w:cs="Times New Roman"/>
          <w:b/>
          <w:color w:val="000000" w:themeColor="text1"/>
          <w:kern w:val="0"/>
          <w:sz w:val="20"/>
          <w:szCs w:val="20"/>
          <w:lang w:val="en-GB"/>
        </w:rPr>
        <w:t>Red</w:t>
      </w:r>
      <w:r w:rsidRPr="00BB05E7">
        <w:rPr>
          <w:rFonts w:ascii="Times New Roman" w:eastAsia="宋体" w:hAnsi="Times New Roman" w:cs="Times New Roman"/>
          <w:color w:val="000000" w:themeColor="text1"/>
          <w:kern w:val="0"/>
          <w:sz w:val="20"/>
          <w:szCs w:val="20"/>
          <w:lang w:val="en-GB"/>
        </w:rPr>
        <w:t>) after HNF4α2 introduction in GES-1 cells. Nucleus was stained with DAPI (</w:t>
      </w:r>
      <w:r w:rsidRPr="00BB05E7">
        <w:rPr>
          <w:rFonts w:ascii="Times New Roman" w:eastAsia="宋体" w:hAnsi="Times New Roman" w:cs="Times New Roman"/>
          <w:b/>
          <w:color w:val="000000" w:themeColor="text1"/>
          <w:kern w:val="0"/>
          <w:sz w:val="20"/>
          <w:szCs w:val="20"/>
          <w:lang w:val="en-GB"/>
        </w:rPr>
        <w:t>Blue</w:t>
      </w:r>
      <w:r w:rsidRPr="00BB05E7">
        <w:rPr>
          <w:rFonts w:ascii="Times New Roman" w:eastAsia="宋体" w:hAnsi="Times New Roman" w:cs="Times New Roman"/>
          <w:color w:val="000000" w:themeColor="text1"/>
          <w:kern w:val="0"/>
          <w:sz w:val="20"/>
          <w:szCs w:val="20"/>
          <w:lang w:val="en-GB"/>
        </w:rPr>
        <w:t>). Scale bar, 20 μm.</w:t>
      </w:r>
    </w:p>
    <w:p w:rsidR="00E8538F" w:rsidRPr="00BB05E7" w:rsidRDefault="00E8538F" w:rsidP="001C496F">
      <w:pPr>
        <w:spacing w:line="360" w:lineRule="auto"/>
        <w:rPr>
          <w:rFonts w:ascii="Times New Roman" w:eastAsia="宋体" w:hAnsi="Times New Roman" w:cs="Times New Roman"/>
          <w:color w:val="000000" w:themeColor="text1"/>
          <w:kern w:val="0"/>
          <w:sz w:val="20"/>
          <w:szCs w:val="20"/>
          <w:lang w:val="en-GB"/>
        </w:rPr>
      </w:pPr>
    </w:p>
    <w:p w:rsidR="00E8538F" w:rsidRPr="00BB05E7" w:rsidRDefault="00E8538F" w:rsidP="001C496F">
      <w:pPr>
        <w:spacing w:line="360" w:lineRule="auto"/>
        <w:rPr>
          <w:rFonts w:ascii="Times New Roman" w:eastAsia="宋体" w:hAnsi="Times New Roman" w:cs="Times New Roman"/>
          <w:color w:val="000000" w:themeColor="text1"/>
          <w:kern w:val="0"/>
          <w:sz w:val="20"/>
          <w:szCs w:val="20"/>
          <w:lang w:val="en-GB"/>
        </w:rPr>
      </w:pPr>
    </w:p>
    <w:p w:rsidR="00E8538F" w:rsidRPr="00BB05E7" w:rsidRDefault="00E8538F" w:rsidP="001C496F">
      <w:pPr>
        <w:spacing w:line="360" w:lineRule="auto"/>
        <w:rPr>
          <w:rFonts w:ascii="Times New Roman" w:eastAsia="宋体" w:hAnsi="Times New Roman" w:cs="Times New Roman"/>
          <w:color w:val="000000" w:themeColor="text1"/>
          <w:kern w:val="0"/>
          <w:sz w:val="20"/>
          <w:szCs w:val="20"/>
          <w:lang w:val="en-GB"/>
        </w:rPr>
      </w:pPr>
    </w:p>
    <w:p w:rsidR="00E8538F" w:rsidRPr="00BB05E7" w:rsidRDefault="00E8538F" w:rsidP="001C496F">
      <w:pPr>
        <w:spacing w:line="360" w:lineRule="auto"/>
        <w:rPr>
          <w:rFonts w:ascii="Times New Roman" w:eastAsia="宋体" w:hAnsi="Times New Roman" w:cs="Times New Roman"/>
          <w:color w:val="000000" w:themeColor="text1"/>
          <w:kern w:val="0"/>
          <w:sz w:val="20"/>
          <w:szCs w:val="20"/>
          <w:lang w:val="en-GB"/>
        </w:rPr>
      </w:pPr>
    </w:p>
    <w:p w:rsidR="00E8538F" w:rsidRPr="00BB05E7" w:rsidRDefault="00E8538F" w:rsidP="001C496F">
      <w:pPr>
        <w:spacing w:line="360" w:lineRule="auto"/>
        <w:rPr>
          <w:rFonts w:ascii="Times New Roman" w:eastAsia="宋体" w:hAnsi="Times New Roman" w:cs="Times New Roman"/>
          <w:color w:val="000000" w:themeColor="text1"/>
          <w:kern w:val="0"/>
          <w:sz w:val="20"/>
          <w:szCs w:val="20"/>
          <w:lang w:val="en-GB"/>
        </w:rPr>
      </w:pPr>
    </w:p>
    <w:p w:rsidR="00E8538F" w:rsidRPr="00BB05E7" w:rsidRDefault="00E8538F" w:rsidP="001C496F">
      <w:pPr>
        <w:spacing w:line="360" w:lineRule="auto"/>
        <w:rPr>
          <w:rFonts w:ascii="Times New Roman" w:eastAsia="宋体" w:hAnsi="Times New Roman" w:cs="Times New Roman"/>
          <w:color w:val="000000" w:themeColor="text1"/>
          <w:kern w:val="0"/>
          <w:sz w:val="20"/>
          <w:szCs w:val="20"/>
          <w:lang w:val="en-GB"/>
        </w:rPr>
      </w:pPr>
    </w:p>
    <w:p w:rsidR="00E8538F" w:rsidRPr="00BB05E7" w:rsidRDefault="00E8538F" w:rsidP="001C496F">
      <w:pPr>
        <w:spacing w:line="360" w:lineRule="auto"/>
        <w:rPr>
          <w:rFonts w:ascii="Times New Roman" w:eastAsia="宋体" w:hAnsi="Times New Roman" w:cs="Times New Roman"/>
          <w:color w:val="000000" w:themeColor="text1"/>
          <w:kern w:val="0"/>
          <w:sz w:val="20"/>
          <w:szCs w:val="20"/>
          <w:lang w:val="en-GB"/>
        </w:rPr>
      </w:pPr>
    </w:p>
    <w:p w:rsidR="00E8538F" w:rsidRPr="00BB05E7" w:rsidRDefault="00E8538F" w:rsidP="001C496F">
      <w:pPr>
        <w:spacing w:line="360" w:lineRule="auto"/>
        <w:rPr>
          <w:rFonts w:ascii="Times New Roman" w:eastAsia="宋体" w:hAnsi="Times New Roman" w:cs="Times New Roman"/>
          <w:color w:val="000000" w:themeColor="text1"/>
          <w:kern w:val="0"/>
          <w:sz w:val="20"/>
          <w:szCs w:val="20"/>
          <w:lang w:val="en-GB"/>
        </w:rPr>
      </w:pPr>
    </w:p>
    <w:p w:rsidR="00E8538F" w:rsidRPr="00BB05E7" w:rsidRDefault="00E8538F" w:rsidP="001C496F">
      <w:pPr>
        <w:spacing w:line="360" w:lineRule="auto"/>
        <w:rPr>
          <w:rFonts w:ascii="Times New Roman" w:eastAsia="宋体" w:hAnsi="Times New Roman" w:cs="Times New Roman"/>
          <w:color w:val="000000" w:themeColor="text1"/>
          <w:kern w:val="0"/>
          <w:sz w:val="20"/>
          <w:szCs w:val="20"/>
          <w:lang w:val="en-GB"/>
        </w:rPr>
      </w:pPr>
    </w:p>
    <w:p w:rsidR="00E8538F" w:rsidRPr="00BB05E7" w:rsidRDefault="00E8538F" w:rsidP="001C496F">
      <w:pPr>
        <w:spacing w:line="360" w:lineRule="auto"/>
        <w:rPr>
          <w:rFonts w:ascii="Times New Roman" w:eastAsia="宋体" w:hAnsi="Times New Roman" w:cs="Times New Roman"/>
          <w:color w:val="000000" w:themeColor="text1"/>
          <w:kern w:val="0"/>
          <w:sz w:val="20"/>
          <w:szCs w:val="20"/>
          <w:lang w:val="en-GB"/>
        </w:rPr>
      </w:pPr>
    </w:p>
    <w:p w:rsidR="00E8538F" w:rsidRPr="00BB05E7" w:rsidRDefault="00E8538F" w:rsidP="001C496F">
      <w:pPr>
        <w:spacing w:line="360" w:lineRule="auto"/>
        <w:rPr>
          <w:rFonts w:ascii="Times New Roman" w:eastAsia="宋体" w:hAnsi="Times New Roman" w:cs="Times New Roman"/>
          <w:color w:val="000000" w:themeColor="text1"/>
          <w:kern w:val="0"/>
          <w:sz w:val="20"/>
          <w:szCs w:val="20"/>
          <w:lang w:val="en-GB"/>
        </w:rPr>
      </w:pPr>
    </w:p>
    <w:p w:rsidR="00E8538F" w:rsidRPr="00BB05E7" w:rsidRDefault="00E8538F" w:rsidP="001C496F">
      <w:pPr>
        <w:spacing w:line="360" w:lineRule="auto"/>
        <w:rPr>
          <w:rFonts w:ascii="Times New Roman" w:eastAsia="宋体" w:hAnsi="Times New Roman" w:cs="Times New Roman"/>
          <w:color w:val="000000" w:themeColor="text1"/>
          <w:kern w:val="0"/>
          <w:sz w:val="20"/>
          <w:szCs w:val="20"/>
          <w:lang w:val="en-GB"/>
        </w:rPr>
      </w:pPr>
    </w:p>
    <w:p w:rsidR="00E8538F" w:rsidRPr="00BB05E7" w:rsidRDefault="00E8538F" w:rsidP="001C496F">
      <w:pPr>
        <w:spacing w:line="360" w:lineRule="auto"/>
        <w:rPr>
          <w:rFonts w:ascii="Times New Roman" w:eastAsia="宋体" w:hAnsi="Times New Roman" w:cs="Times New Roman"/>
          <w:color w:val="000000" w:themeColor="text1"/>
          <w:kern w:val="0"/>
          <w:sz w:val="20"/>
          <w:szCs w:val="20"/>
          <w:lang w:val="en-GB"/>
        </w:rPr>
      </w:pPr>
    </w:p>
    <w:p w:rsidR="00E8538F" w:rsidRPr="00BB05E7" w:rsidRDefault="00E8538F" w:rsidP="001C496F">
      <w:pPr>
        <w:spacing w:line="360" w:lineRule="auto"/>
        <w:rPr>
          <w:rFonts w:ascii="Times New Roman" w:eastAsia="宋体" w:hAnsi="Times New Roman" w:cs="Times New Roman"/>
          <w:color w:val="000000" w:themeColor="text1"/>
          <w:kern w:val="0"/>
          <w:sz w:val="20"/>
          <w:szCs w:val="20"/>
          <w:lang w:val="en-GB"/>
        </w:rPr>
      </w:pPr>
    </w:p>
    <w:p w:rsidR="00E8538F" w:rsidRPr="00BB05E7" w:rsidRDefault="00E8538F" w:rsidP="001C496F">
      <w:pPr>
        <w:spacing w:line="360" w:lineRule="auto"/>
        <w:rPr>
          <w:rFonts w:ascii="Times New Roman" w:eastAsia="宋体" w:hAnsi="Times New Roman" w:cs="Times New Roman"/>
          <w:color w:val="000000" w:themeColor="text1"/>
          <w:kern w:val="0"/>
          <w:sz w:val="20"/>
          <w:szCs w:val="20"/>
          <w:lang w:val="en-GB"/>
        </w:rPr>
      </w:pPr>
    </w:p>
    <w:p w:rsidR="00E8538F" w:rsidRPr="00BB05E7" w:rsidRDefault="00E8538F" w:rsidP="001C496F">
      <w:pPr>
        <w:spacing w:line="360" w:lineRule="auto"/>
        <w:rPr>
          <w:rFonts w:ascii="Times New Roman" w:eastAsia="宋体" w:hAnsi="Times New Roman" w:cs="Times New Roman"/>
          <w:color w:val="000000" w:themeColor="text1"/>
          <w:kern w:val="0"/>
          <w:sz w:val="20"/>
          <w:szCs w:val="20"/>
          <w:lang w:val="en-GB"/>
        </w:rPr>
      </w:pPr>
    </w:p>
    <w:p w:rsidR="00E8538F" w:rsidRDefault="00E8538F" w:rsidP="001C496F">
      <w:pPr>
        <w:spacing w:line="360" w:lineRule="auto"/>
        <w:rPr>
          <w:rFonts w:ascii="Times New Roman" w:eastAsia="宋体" w:hAnsi="Times New Roman" w:cs="Times New Roman"/>
          <w:color w:val="000000" w:themeColor="text1"/>
          <w:kern w:val="0"/>
          <w:sz w:val="20"/>
          <w:szCs w:val="20"/>
          <w:lang w:val="en-GB"/>
        </w:rPr>
      </w:pPr>
    </w:p>
    <w:p w:rsidR="00BB05E7" w:rsidRDefault="00BB05E7" w:rsidP="001C496F">
      <w:pPr>
        <w:spacing w:line="360" w:lineRule="auto"/>
        <w:rPr>
          <w:rFonts w:ascii="Times New Roman" w:eastAsia="宋体" w:hAnsi="Times New Roman" w:cs="Times New Roman"/>
          <w:color w:val="000000" w:themeColor="text1"/>
          <w:kern w:val="0"/>
          <w:sz w:val="20"/>
          <w:szCs w:val="20"/>
          <w:lang w:val="en-GB"/>
        </w:rPr>
      </w:pPr>
    </w:p>
    <w:p w:rsidR="00BB05E7" w:rsidRDefault="00BB05E7" w:rsidP="001C496F">
      <w:pPr>
        <w:spacing w:line="360" w:lineRule="auto"/>
        <w:rPr>
          <w:rFonts w:ascii="Times New Roman" w:eastAsia="宋体" w:hAnsi="Times New Roman" w:cs="Times New Roman"/>
          <w:color w:val="000000" w:themeColor="text1"/>
          <w:kern w:val="0"/>
          <w:sz w:val="20"/>
          <w:szCs w:val="20"/>
          <w:lang w:val="en-GB"/>
        </w:rPr>
      </w:pPr>
    </w:p>
    <w:p w:rsidR="00BB05E7" w:rsidRDefault="00BB05E7" w:rsidP="001C496F">
      <w:pPr>
        <w:spacing w:line="360" w:lineRule="auto"/>
        <w:rPr>
          <w:rFonts w:ascii="Times New Roman" w:eastAsia="宋体" w:hAnsi="Times New Roman" w:cs="Times New Roman"/>
          <w:color w:val="000000" w:themeColor="text1"/>
          <w:kern w:val="0"/>
          <w:sz w:val="20"/>
          <w:szCs w:val="20"/>
          <w:lang w:val="en-GB"/>
        </w:rPr>
      </w:pPr>
    </w:p>
    <w:p w:rsidR="00BB05E7" w:rsidRDefault="00BB05E7" w:rsidP="001C496F">
      <w:pPr>
        <w:spacing w:line="360" w:lineRule="auto"/>
        <w:rPr>
          <w:rFonts w:ascii="Times New Roman" w:eastAsia="宋体" w:hAnsi="Times New Roman" w:cs="Times New Roman"/>
          <w:color w:val="000000" w:themeColor="text1"/>
          <w:kern w:val="0"/>
          <w:sz w:val="20"/>
          <w:szCs w:val="20"/>
          <w:lang w:val="en-GB"/>
        </w:rPr>
      </w:pPr>
    </w:p>
    <w:p w:rsidR="00BB05E7" w:rsidRDefault="00BB05E7" w:rsidP="001C496F">
      <w:pPr>
        <w:spacing w:line="360" w:lineRule="auto"/>
        <w:rPr>
          <w:rFonts w:ascii="Times New Roman" w:eastAsia="宋体" w:hAnsi="Times New Roman" w:cs="Times New Roman"/>
          <w:color w:val="000000" w:themeColor="text1"/>
          <w:kern w:val="0"/>
          <w:sz w:val="20"/>
          <w:szCs w:val="20"/>
          <w:lang w:val="en-GB"/>
        </w:rPr>
      </w:pPr>
    </w:p>
    <w:p w:rsidR="00BB05E7" w:rsidRDefault="00BB05E7" w:rsidP="001C496F">
      <w:pPr>
        <w:spacing w:line="360" w:lineRule="auto"/>
        <w:rPr>
          <w:rFonts w:ascii="Times New Roman" w:eastAsia="宋体" w:hAnsi="Times New Roman" w:cs="Times New Roman"/>
          <w:color w:val="000000" w:themeColor="text1"/>
          <w:kern w:val="0"/>
          <w:sz w:val="20"/>
          <w:szCs w:val="20"/>
          <w:lang w:val="en-GB"/>
        </w:rPr>
      </w:pPr>
    </w:p>
    <w:p w:rsidR="00BB05E7" w:rsidRDefault="00BB05E7" w:rsidP="001C496F">
      <w:pPr>
        <w:spacing w:line="360" w:lineRule="auto"/>
        <w:rPr>
          <w:rFonts w:ascii="Times New Roman" w:eastAsia="宋体" w:hAnsi="Times New Roman" w:cs="Times New Roman"/>
          <w:color w:val="000000" w:themeColor="text1"/>
          <w:kern w:val="0"/>
          <w:sz w:val="20"/>
          <w:szCs w:val="20"/>
          <w:lang w:val="en-GB"/>
        </w:rPr>
      </w:pPr>
    </w:p>
    <w:p w:rsidR="00BB05E7" w:rsidRDefault="00BB05E7" w:rsidP="001C496F">
      <w:pPr>
        <w:spacing w:line="360" w:lineRule="auto"/>
        <w:rPr>
          <w:rFonts w:ascii="Times New Roman" w:eastAsia="宋体" w:hAnsi="Times New Roman" w:cs="Times New Roman"/>
          <w:color w:val="000000" w:themeColor="text1"/>
          <w:kern w:val="0"/>
          <w:sz w:val="20"/>
          <w:szCs w:val="20"/>
          <w:lang w:val="en-GB"/>
        </w:rPr>
      </w:pPr>
    </w:p>
    <w:p w:rsidR="00BB05E7" w:rsidRDefault="00BB05E7" w:rsidP="001C496F">
      <w:pPr>
        <w:spacing w:line="360" w:lineRule="auto"/>
        <w:rPr>
          <w:rFonts w:ascii="Times New Roman" w:eastAsia="宋体" w:hAnsi="Times New Roman" w:cs="Times New Roman"/>
          <w:color w:val="000000" w:themeColor="text1"/>
          <w:kern w:val="0"/>
          <w:sz w:val="20"/>
          <w:szCs w:val="20"/>
          <w:lang w:val="en-GB"/>
        </w:rPr>
      </w:pPr>
    </w:p>
    <w:p w:rsidR="00BB05E7" w:rsidRDefault="00BB05E7" w:rsidP="001C496F">
      <w:pPr>
        <w:spacing w:line="360" w:lineRule="auto"/>
        <w:rPr>
          <w:rFonts w:ascii="Times New Roman" w:eastAsia="宋体" w:hAnsi="Times New Roman" w:cs="Times New Roman"/>
          <w:color w:val="000000" w:themeColor="text1"/>
          <w:kern w:val="0"/>
          <w:sz w:val="20"/>
          <w:szCs w:val="20"/>
          <w:lang w:val="en-GB"/>
        </w:rPr>
      </w:pPr>
    </w:p>
    <w:p w:rsidR="008C6AFD" w:rsidRPr="00BB05E7" w:rsidRDefault="008C6AFD" w:rsidP="001C496F">
      <w:pPr>
        <w:spacing w:line="360" w:lineRule="auto"/>
        <w:rPr>
          <w:rFonts w:ascii="Times New Roman" w:eastAsia="宋体" w:hAnsi="Times New Roman" w:cs="Times New Roman"/>
          <w:color w:val="000000" w:themeColor="text1"/>
          <w:kern w:val="0"/>
          <w:sz w:val="20"/>
          <w:szCs w:val="20"/>
          <w:lang w:val="en-GB"/>
        </w:rPr>
      </w:pPr>
      <w:r w:rsidRPr="00BB05E7">
        <w:rPr>
          <w:rFonts w:ascii="Times New Roman" w:eastAsia="宋体" w:hAnsi="Times New Roman" w:cs="Times New Roman"/>
          <w:b/>
          <w:color w:val="000000" w:themeColor="text1"/>
          <w:kern w:val="0"/>
          <w:sz w:val="20"/>
          <w:szCs w:val="20"/>
          <w:lang w:val="en-GB"/>
        </w:rPr>
        <w:lastRenderedPageBreak/>
        <w:t>Figure S</w:t>
      </w:r>
      <w:r w:rsidR="00F75EEC" w:rsidRPr="00BB05E7">
        <w:rPr>
          <w:rFonts w:ascii="Times New Roman" w:eastAsia="宋体" w:hAnsi="Times New Roman" w:cs="Times New Roman"/>
          <w:b/>
          <w:color w:val="000000" w:themeColor="text1"/>
          <w:kern w:val="0"/>
          <w:sz w:val="20"/>
          <w:szCs w:val="20"/>
          <w:lang w:val="en-GB"/>
        </w:rPr>
        <w:t>4</w:t>
      </w:r>
      <w:r w:rsidRPr="00BB05E7">
        <w:rPr>
          <w:rFonts w:ascii="Times New Roman" w:eastAsia="宋体" w:hAnsi="Times New Roman" w:cs="Times New Roman"/>
          <w:b/>
          <w:color w:val="000000" w:themeColor="text1"/>
          <w:kern w:val="0"/>
          <w:sz w:val="20"/>
          <w:szCs w:val="20"/>
          <w:lang w:val="en-GB"/>
        </w:rPr>
        <w:t xml:space="preserve">. </w:t>
      </w:r>
      <w:r w:rsidRPr="00BB05E7">
        <w:rPr>
          <w:rFonts w:ascii="Times New Roman" w:eastAsia="宋体" w:hAnsi="Times New Roman" w:cs="Times New Roman"/>
          <w:color w:val="000000" w:themeColor="text1"/>
          <w:kern w:val="0"/>
          <w:sz w:val="20"/>
          <w:szCs w:val="20"/>
          <w:lang w:val="en-GB"/>
        </w:rPr>
        <w:t>KLF4 and CDX2 reciprocally regulated to promote columnar genes expression.</w:t>
      </w:r>
      <w:r w:rsidRPr="00BB05E7">
        <w:rPr>
          <w:rFonts w:ascii="Times New Roman" w:eastAsia="宋体" w:hAnsi="Times New Roman" w:cs="Times New Roman"/>
          <w:b/>
          <w:color w:val="000000" w:themeColor="text1"/>
          <w:kern w:val="0"/>
          <w:sz w:val="20"/>
          <w:szCs w:val="20"/>
          <w:lang w:val="en-GB"/>
        </w:rPr>
        <w:t xml:space="preserve"> </w:t>
      </w:r>
      <w:r w:rsidR="00833473" w:rsidRPr="00BB05E7">
        <w:rPr>
          <w:rFonts w:ascii="Times New Roman" w:eastAsia="宋体" w:hAnsi="Times New Roman" w:cs="Times New Roman"/>
          <w:b/>
          <w:color w:val="000000" w:themeColor="text1"/>
          <w:kern w:val="0"/>
          <w:sz w:val="20"/>
          <w:szCs w:val="20"/>
          <w:lang w:val="en-GB"/>
        </w:rPr>
        <w:t>(a-b)</w:t>
      </w:r>
      <w:r w:rsidRPr="00BB05E7">
        <w:rPr>
          <w:rFonts w:ascii="Times New Roman" w:eastAsia="宋体" w:hAnsi="Times New Roman" w:cs="Times New Roman"/>
          <w:b/>
          <w:color w:val="000000" w:themeColor="text1"/>
          <w:kern w:val="0"/>
          <w:sz w:val="20"/>
          <w:szCs w:val="20"/>
          <w:lang w:val="en-GB"/>
        </w:rPr>
        <w:t>,</w:t>
      </w:r>
      <w:r w:rsidRPr="00BB05E7">
        <w:rPr>
          <w:rFonts w:ascii="Times New Roman" w:eastAsia="宋体" w:hAnsi="Times New Roman" w:cs="Times New Roman"/>
          <w:color w:val="000000" w:themeColor="text1"/>
          <w:kern w:val="0"/>
          <w:sz w:val="20"/>
          <w:szCs w:val="20"/>
          <w:lang w:val="en-GB"/>
        </w:rPr>
        <w:t xml:space="preserve"> siRNAs target KLF4 were transfected into AGS cells. Then CDX2, KLF4, Villin1, MUC13, and ALPI mRNA and protein expressions were examined by qRT-PCR and Western blot (WB). ** P &lt; 0.01 vs. NC, n=3. </w:t>
      </w:r>
      <w:r w:rsidR="00833473" w:rsidRPr="00BB05E7">
        <w:rPr>
          <w:rFonts w:ascii="Times New Roman" w:hAnsi="Times New Roman" w:cs="Times New Roman"/>
          <w:b/>
          <w:color w:val="000000" w:themeColor="text1"/>
          <w:sz w:val="20"/>
          <w:szCs w:val="20"/>
        </w:rPr>
        <w:t>(c)</w:t>
      </w:r>
      <w:r w:rsidRPr="00BB05E7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, CDX2 </w:t>
      </w:r>
      <w:r w:rsidR="00DF502E" w:rsidRPr="00BB05E7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was </w:t>
      </w:r>
      <w:r w:rsidRPr="00BB05E7">
        <w:rPr>
          <w:rFonts w:ascii="Times New Roman" w:eastAsia="宋体" w:hAnsi="Times New Roman" w:cs="Times New Roman"/>
          <w:color w:val="000000" w:themeColor="text1"/>
          <w:kern w:val="0"/>
          <w:sz w:val="20"/>
          <w:szCs w:val="20"/>
          <w:lang w:val="en-GB"/>
        </w:rPr>
        <w:t>knock</w:t>
      </w:r>
      <w:r w:rsidR="00DF502E" w:rsidRPr="00BB05E7">
        <w:rPr>
          <w:rFonts w:ascii="Times New Roman" w:eastAsia="宋体" w:hAnsi="Times New Roman" w:cs="Times New Roman"/>
          <w:color w:val="000000" w:themeColor="text1"/>
          <w:kern w:val="0"/>
          <w:sz w:val="20"/>
          <w:szCs w:val="20"/>
          <w:lang w:val="en-GB"/>
        </w:rPr>
        <w:t xml:space="preserve">ed </w:t>
      </w:r>
      <w:r w:rsidRPr="00BB05E7">
        <w:rPr>
          <w:rFonts w:ascii="Times New Roman" w:eastAsia="宋体" w:hAnsi="Times New Roman" w:cs="Times New Roman"/>
          <w:color w:val="000000" w:themeColor="text1"/>
          <w:kern w:val="0"/>
          <w:sz w:val="20"/>
          <w:szCs w:val="20"/>
          <w:lang w:val="en-GB"/>
        </w:rPr>
        <w:t xml:space="preserve">down </w:t>
      </w:r>
      <w:r w:rsidR="00DF502E" w:rsidRPr="00BB05E7">
        <w:rPr>
          <w:rFonts w:ascii="Times New Roman" w:eastAsia="宋体" w:hAnsi="Times New Roman" w:cs="Times New Roman"/>
          <w:color w:val="000000" w:themeColor="text1"/>
          <w:kern w:val="0"/>
          <w:sz w:val="20"/>
          <w:szCs w:val="20"/>
          <w:lang w:val="en-GB"/>
        </w:rPr>
        <w:t xml:space="preserve">in AGS by shRNA. </w:t>
      </w:r>
      <w:bookmarkStart w:id="8" w:name="OLE_LINK2"/>
      <w:bookmarkStart w:id="9" w:name="OLE_LINK3"/>
      <w:r w:rsidR="00DF502E" w:rsidRPr="00BB05E7">
        <w:rPr>
          <w:rFonts w:ascii="Times New Roman" w:eastAsia="宋体" w:hAnsi="Times New Roman" w:cs="Times New Roman"/>
          <w:color w:val="000000" w:themeColor="text1"/>
          <w:kern w:val="0"/>
          <w:sz w:val="20"/>
          <w:szCs w:val="20"/>
          <w:lang w:val="en-GB"/>
        </w:rPr>
        <w:t>Then CDX2, KLF4, and Villin1 protein expressions were examined by WB.</w:t>
      </w:r>
      <w:bookmarkEnd w:id="8"/>
      <w:bookmarkEnd w:id="9"/>
      <w:r w:rsidR="00DF502E" w:rsidRPr="00BB05E7">
        <w:rPr>
          <w:rFonts w:ascii="Times New Roman" w:eastAsia="宋体" w:hAnsi="Times New Roman" w:cs="Times New Roman"/>
          <w:color w:val="000000" w:themeColor="text1"/>
          <w:kern w:val="0"/>
          <w:sz w:val="20"/>
          <w:szCs w:val="20"/>
          <w:lang w:val="en-GB"/>
        </w:rPr>
        <w:t xml:space="preserve"> </w:t>
      </w:r>
      <w:r w:rsidR="00833473" w:rsidRPr="00BB05E7">
        <w:rPr>
          <w:rFonts w:ascii="Times New Roman" w:eastAsia="宋体" w:hAnsi="Times New Roman" w:cs="Times New Roman"/>
          <w:b/>
          <w:color w:val="000000" w:themeColor="text1"/>
          <w:kern w:val="0"/>
          <w:sz w:val="20"/>
          <w:szCs w:val="20"/>
          <w:lang w:val="en-GB"/>
        </w:rPr>
        <w:t>(d)</w:t>
      </w:r>
      <w:r w:rsidR="00DF502E" w:rsidRPr="00BB05E7">
        <w:rPr>
          <w:rFonts w:ascii="Times New Roman" w:eastAsia="宋体" w:hAnsi="Times New Roman" w:cs="Times New Roman"/>
          <w:color w:val="000000" w:themeColor="text1"/>
          <w:kern w:val="0"/>
          <w:sz w:val="20"/>
          <w:szCs w:val="20"/>
          <w:lang w:val="en-GB"/>
        </w:rPr>
        <w:t>, CDX2</w:t>
      </w:r>
      <w:r w:rsidRPr="00BB05E7">
        <w:rPr>
          <w:rFonts w:ascii="Times New Roman" w:eastAsia="宋体" w:hAnsi="Times New Roman" w:cs="Times New Roman"/>
          <w:color w:val="000000" w:themeColor="text1"/>
          <w:kern w:val="0"/>
          <w:sz w:val="20"/>
          <w:szCs w:val="20"/>
          <w:lang w:val="en-GB"/>
        </w:rPr>
        <w:t xml:space="preserve"> overexpression lentivirus were transfected into</w:t>
      </w:r>
      <w:r w:rsidR="00DF502E" w:rsidRPr="00BB05E7">
        <w:rPr>
          <w:rFonts w:ascii="Times New Roman" w:eastAsia="宋体" w:hAnsi="Times New Roman" w:cs="Times New Roman"/>
          <w:color w:val="000000" w:themeColor="text1"/>
          <w:kern w:val="0"/>
          <w:sz w:val="20"/>
          <w:szCs w:val="20"/>
          <w:lang w:val="en-GB"/>
        </w:rPr>
        <w:t xml:space="preserve"> </w:t>
      </w:r>
      <w:r w:rsidRPr="00BB05E7">
        <w:rPr>
          <w:rFonts w:ascii="Times New Roman" w:eastAsia="宋体" w:hAnsi="Times New Roman" w:cs="Times New Roman"/>
          <w:color w:val="000000" w:themeColor="text1"/>
          <w:kern w:val="0"/>
          <w:sz w:val="20"/>
          <w:szCs w:val="20"/>
          <w:lang w:val="en-GB"/>
        </w:rPr>
        <w:t xml:space="preserve">GES-1 cells. </w:t>
      </w:r>
      <w:r w:rsidR="00DF502E" w:rsidRPr="00BB05E7">
        <w:rPr>
          <w:rFonts w:ascii="Times New Roman" w:eastAsia="宋体" w:hAnsi="Times New Roman" w:cs="Times New Roman"/>
          <w:color w:val="000000" w:themeColor="text1"/>
          <w:kern w:val="0"/>
          <w:sz w:val="20"/>
          <w:szCs w:val="20"/>
          <w:lang w:val="en-GB"/>
        </w:rPr>
        <w:t>Then CDX2, KLF4, and Villin1 protein expressions were examined by WB.</w:t>
      </w:r>
    </w:p>
    <w:sectPr w:rsidR="008C6AFD" w:rsidRPr="00BB05E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F0E7D" w:rsidRDefault="007F0E7D" w:rsidP="00186D1D">
      <w:r>
        <w:separator/>
      </w:r>
    </w:p>
  </w:endnote>
  <w:endnote w:type="continuationSeparator" w:id="0">
    <w:p w:rsidR="007F0E7D" w:rsidRDefault="007F0E7D" w:rsidP="00186D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F0E7D" w:rsidRDefault="007F0E7D" w:rsidP="00186D1D">
      <w:r>
        <w:separator/>
      </w:r>
    </w:p>
  </w:footnote>
  <w:footnote w:type="continuationSeparator" w:id="0">
    <w:p w:rsidR="007F0E7D" w:rsidRDefault="007F0E7D" w:rsidP="00186D1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E6129"/>
    <w:rsid w:val="00004002"/>
    <w:rsid w:val="00055E6A"/>
    <w:rsid w:val="00062798"/>
    <w:rsid w:val="000F70AD"/>
    <w:rsid w:val="00127CBC"/>
    <w:rsid w:val="00137FAC"/>
    <w:rsid w:val="0015114E"/>
    <w:rsid w:val="00186D1D"/>
    <w:rsid w:val="001C496F"/>
    <w:rsid w:val="0023045A"/>
    <w:rsid w:val="00275EC1"/>
    <w:rsid w:val="002A0A3A"/>
    <w:rsid w:val="002E1E2D"/>
    <w:rsid w:val="003B6C49"/>
    <w:rsid w:val="003F60E1"/>
    <w:rsid w:val="004006C2"/>
    <w:rsid w:val="00437E70"/>
    <w:rsid w:val="004B1A68"/>
    <w:rsid w:val="004C51C2"/>
    <w:rsid w:val="004D54C2"/>
    <w:rsid w:val="004D73D7"/>
    <w:rsid w:val="005E1CF4"/>
    <w:rsid w:val="00625A3E"/>
    <w:rsid w:val="006608E7"/>
    <w:rsid w:val="00666540"/>
    <w:rsid w:val="00675E04"/>
    <w:rsid w:val="0068545F"/>
    <w:rsid w:val="006B048F"/>
    <w:rsid w:val="006B53A8"/>
    <w:rsid w:val="007768AD"/>
    <w:rsid w:val="00782732"/>
    <w:rsid w:val="007B7EF3"/>
    <w:rsid w:val="007F00F5"/>
    <w:rsid w:val="007F0E7D"/>
    <w:rsid w:val="00833473"/>
    <w:rsid w:val="00860077"/>
    <w:rsid w:val="008A6D09"/>
    <w:rsid w:val="008C6AFD"/>
    <w:rsid w:val="00A81837"/>
    <w:rsid w:val="00AF605A"/>
    <w:rsid w:val="00B1719D"/>
    <w:rsid w:val="00B40959"/>
    <w:rsid w:val="00B42F33"/>
    <w:rsid w:val="00B52791"/>
    <w:rsid w:val="00BB05E7"/>
    <w:rsid w:val="00BC3A5A"/>
    <w:rsid w:val="00C311F6"/>
    <w:rsid w:val="00C41055"/>
    <w:rsid w:val="00C72824"/>
    <w:rsid w:val="00CE6129"/>
    <w:rsid w:val="00D339BC"/>
    <w:rsid w:val="00D47E3C"/>
    <w:rsid w:val="00DF502E"/>
    <w:rsid w:val="00E162C9"/>
    <w:rsid w:val="00E66552"/>
    <w:rsid w:val="00E8538F"/>
    <w:rsid w:val="00EB6BFF"/>
    <w:rsid w:val="00F75EEC"/>
    <w:rsid w:val="00FA28F4"/>
    <w:rsid w:val="00FB65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48B31F12-FA7A-4EAC-A358-28074BF8C5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186D1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186D1D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186D1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186D1D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E66552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E66552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139</TotalTime>
  <Pages>4</Pages>
  <Words>399</Words>
  <Characters>2277</Characters>
  <Application>Microsoft Office Word</Application>
  <DocSecurity>0</DocSecurity>
  <Lines>18</Lines>
  <Paragraphs>5</Paragraphs>
  <ScaleCrop>false</ScaleCrop>
  <Company>52flin</Company>
  <LinksUpToDate>false</LinksUpToDate>
  <CharactersWithSpaces>2671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用户</dc:creator>
  <cp:keywords/>
  <dc:description/>
  <cp:lastModifiedBy>Windows 用户</cp:lastModifiedBy>
  <cp:revision>60</cp:revision>
  <dcterms:created xsi:type="dcterms:W3CDTF">2019-06-11T00:43:00Z</dcterms:created>
  <dcterms:modified xsi:type="dcterms:W3CDTF">2020-05-19T02:26:00Z</dcterms:modified>
</cp:coreProperties>
</file>