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F72DF" w14:textId="0E775F39" w:rsidR="006D481B" w:rsidRDefault="006D481B" w:rsidP="006D481B">
      <w:pPr>
        <w:ind w:left="0" w:firstLine="0"/>
        <w:rPr>
          <w:b/>
          <w:bCs/>
        </w:rPr>
      </w:pPr>
      <w:r>
        <w:rPr>
          <w:b/>
          <w:bCs/>
        </w:rPr>
        <w:t xml:space="preserve">Supplementary </w:t>
      </w:r>
      <w:r w:rsidR="00D41DB0">
        <w:rPr>
          <w:b/>
          <w:bCs/>
        </w:rPr>
        <w:t>figure legends</w:t>
      </w:r>
      <w:r>
        <w:rPr>
          <w:b/>
          <w:bCs/>
        </w:rPr>
        <w:t xml:space="preserve"> for</w:t>
      </w:r>
    </w:p>
    <w:p w14:paraId="2C8A063A" w14:textId="4D4F2D1B" w:rsidR="00A44689" w:rsidRPr="00A44689" w:rsidRDefault="00A44689" w:rsidP="00A44689">
      <w:pPr>
        <w:ind w:left="0" w:firstLine="0"/>
        <w:rPr>
          <w:rFonts w:eastAsia="Calibri"/>
          <w:noProof w:val="0"/>
          <w:lang w:val="en-US"/>
        </w:rPr>
      </w:pPr>
      <w:r w:rsidRPr="00A44689">
        <w:rPr>
          <w:rFonts w:eastAsia="Calibri"/>
          <w:noProof w:val="0"/>
          <w:lang w:val="en-US"/>
        </w:rPr>
        <w:t>SMAC-MIMETICS REDUCE NUMBERS AND VIABILITY OF HUMAN OSTEOCLASTS</w:t>
      </w:r>
    </w:p>
    <w:p w14:paraId="461D9970" w14:textId="2D95BDFC" w:rsidR="00A44689" w:rsidRPr="00034FFD" w:rsidRDefault="00A44689" w:rsidP="00A44689">
      <w:pPr>
        <w:ind w:left="0" w:firstLine="0"/>
        <w:rPr>
          <w:rFonts w:eastAsia="Calibri"/>
          <w:noProof w:val="0"/>
          <w:lang w:val="nn-NO"/>
        </w:rPr>
      </w:pPr>
      <w:bookmarkStart w:id="0" w:name="_Hlk20831985"/>
      <w:r w:rsidRPr="00034FFD">
        <w:rPr>
          <w:rFonts w:eastAsia="Calibri"/>
          <w:noProof w:val="0"/>
          <w:lang w:val="nn-NO"/>
        </w:rPr>
        <w:t>Ingrid Nyhus Moen (1, 2), Marita Westhrin (1), Erling Håland (1),</w:t>
      </w:r>
      <w:r w:rsidR="003135DC" w:rsidRPr="00034FFD">
        <w:rPr>
          <w:rFonts w:eastAsia="Calibri"/>
          <w:noProof w:val="0"/>
          <w:lang w:val="nn-NO"/>
        </w:rPr>
        <w:t xml:space="preserve"> </w:t>
      </w:r>
      <w:r w:rsidR="009E5A65" w:rsidRPr="00034FFD">
        <w:rPr>
          <w:rFonts w:eastAsia="Calibri"/>
          <w:noProof w:val="0"/>
          <w:lang w:val="nn-NO"/>
        </w:rPr>
        <w:t>Markus Haug</w:t>
      </w:r>
      <w:r w:rsidR="003135DC" w:rsidRPr="00034FFD">
        <w:rPr>
          <w:rFonts w:eastAsia="Calibri"/>
          <w:noProof w:val="0"/>
          <w:lang w:val="nn-NO"/>
        </w:rPr>
        <w:t xml:space="preserve"> (1), </w:t>
      </w:r>
      <w:r w:rsidR="009E5A65" w:rsidRPr="00034FFD">
        <w:rPr>
          <w:rFonts w:eastAsia="Calibri"/>
          <w:noProof w:val="0"/>
          <w:lang w:val="nn-NO"/>
        </w:rPr>
        <w:t xml:space="preserve">Unni </w:t>
      </w:r>
      <w:proofErr w:type="spellStart"/>
      <w:r w:rsidR="009E5A65" w:rsidRPr="00034FFD">
        <w:rPr>
          <w:rFonts w:eastAsia="Calibri"/>
          <w:noProof w:val="0"/>
          <w:lang w:val="nn-NO"/>
        </w:rPr>
        <w:t>Nonstad</w:t>
      </w:r>
      <w:proofErr w:type="spellEnd"/>
      <w:r w:rsidR="003135DC" w:rsidRPr="00034FFD">
        <w:rPr>
          <w:rFonts w:eastAsia="Calibri"/>
          <w:noProof w:val="0"/>
          <w:lang w:val="nn-NO"/>
        </w:rPr>
        <w:t xml:space="preserve"> (1),</w:t>
      </w:r>
      <w:r w:rsidRPr="00034FFD">
        <w:rPr>
          <w:rFonts w:eastAsia="Calibri"/>
          <w:noProof w:val="0"/>
          <w:lang w:val="nn-NO"/>
        </w:rPr>
        <w:t xml:space="preserve"> Merisa </w:t>
      </w:r>
      <w:proofErr w:type="spellStart"/>
      <w:r w:rsidRPr="00034FFD">
        <w:rPr>
          <w:rFonts w:eastAsia="Calibri"/>
          <w:noProof w:val="0"/>
          <w:lang w:val="nn-NO"/>
        </w:rPr>
        <w:t>Klaharn</w:t>
      </w:r>
      <w:proofErr w:type="spellEnd"/>
      <w:r w:rsidRPr="00034FFD">
        <w:rPr>
          <w:rFonts w:eastAsia="Calibri"/>
          <w:noProof w:val="0"/>
          <w:lang w:val="nn-NO"/>
        </w:rPr>
        <w:t xml:space="preserve"> (1), Therese Standal (1), Kristian K. Starheim </w:t>
      </w:r>
      <w:r w:rsidRPr="00A44689">
        <w:rPr>
          <w:rFonts w:eastAsia="Calibri"/>
          <w:noProof w:val="0"/>
          <w:lang w:val="nn-NO"/>
        </w:rPr>
        <w:t xml:space="preserve">(1,2). </w:t>
      </w:r>
    </w:p>
    <w:p w14:paraId="78944AA1" w14:textId="7182465D" w:rsidR="00A44689" w:rsidRPr="00A44689" w:rsidRDefault="00A44689" w:rsidP="00A44689">
      <w:pPr>
        <w:ind w:left="0" w:firstLine="0"/>
        <w:rPr>
          <w:rFonts w:eastAsia="Calibri"/>
          <w:noProof w:val="0"/>
          <w:lang w:val="en-US"/>
        </w:rPr>
      </w:pPr>
      <w:bookmarkStart w:id="1" w:name="_Hlk20832000"/>
      <w:bookmarkEnd w:id="0"/>
      <w:r w:rsidRPr="00A44689">
        <w:rPr>
          <w:rFonts w:eastAsia="Calibri"/>
          <w:noProof w:val="0"/>
          <w:lang w:val="en-US"/>
        </w:rPr>
        <w:t>1) CEMIR Centre for Molecular Inflammation Research, IKOM, NTNU, Trondheim</w:t>
      </w:r>
      <w:r w:rsidR="00A40B1F">
        <w:rPr>
          <w:rFonts w:eastAsia="Calibri"/>
          <w:noProof w:val="0"/>
          <w:lang w:val="en-US"/>
        </w:rPr>
        <w:t>.</w:t>
      </w:r>
      <w:r w:rsidRPr="00A44689">
        <w:rPr>
          <w:rFonts w:eastAsia="Calibri"/>
          <w:noProof w:val="0"/>
          <w:lang w:val="en-US"/>
        </w:rPr>
        <w:t xml:space="preserve"> Norway.</w:t>
      </w:r>
    </w:p>
    <w:p w14:paraId="6C0006BC" w14:textId="77777777" w:rsidR="00A44689" w:rsidRPr="00A44689" w:rsidRDefault="00A44689" w:rsidP="00A44689">
      <w:pPr>
        <w:ind w:left="0" w:firstLine="0"/>
        <w:rPr>
          <w:rFonts w:eastAsia="Calibri"/>
          <w:noProof w:val="0"/>
          <w:lang w:val="en-US"/>
        </w:rPr>
      </w:pPr>
      <w:r w:rsidRPr="00A44689">
        <w:rPr>
          <w:rFonts w:eastAsia="Calibri"/>
          <w:noProof w:val="0"/>
          <w:lang w:val="en-US"/>
        </w:rPr>
        <w:t xml:space="preserve">2) Department of Hematology, St. </w:t>
      </w:r>
      <w:proofErr w:type="spellStart"/>
      <w:r w:rsidRPr="00A44689">
        <w:rPr>
          <w:rFonts w:eastAsia="Calibri"/>
          <w:noProof w:val="0"/>
          <w:lang w:val="en-US"/>
        </w:rPr>
        <w:t>Olavs</w:t>
      </w:r>
      <w:proofErr w:type="spellEnd"/>
      <w:r w:rsidRPr="00A44689">
        <w:rPr>
          <w:rFonts w:eastAsia="Calibri"/>
          <w:noProof w:val="0"/>
          <w:lang w:val="en-US"/>
        </w:rPr>
        <w:t xml:space="preserve"> University Hospital, Trondheim, Norway</w:t>
      </w:r>
      <w:bookmarkEnd w:id="1"/>
      <w:r w:rsidRPr="00A44689">
        <w:rPr>
          <w:rFonts w:eastAsia="Calibri"/>
          <w:noProof w:val="0"/>
          <w:lang w:val="en-US"/>
        </w:rPr>
        <w:t>.</w:t>
      </w:r>
    </w:p>
    <w:p w14:paraId="580F4B10" w14:textId="073EF7D0" w:rsidR="00A44689" w:rsidRPr="00A44689" w:rsidRDefault="00A44689" w:rsidP="00A44689">
      <w:pPr>
        <w:ind w:left="0" w:firstLine="0"/>
        <w:rPr>
          <w:rFonts w:eastAsia="Calibri"/>
          <w:noProof w:val="0"/>
          <w:lang w:val="en-US"/>
        </w:rPr>
      </w:pPr>
      <w:r w:rsidRPr="00A44689">
        <w:rPr>
          <w:rFonts w:eastAsia="Calibri"/>
          <w:noProof w:val="0"/>
          <w:lang w:val="en-US"/>
        </w:rPr>
        <w:t xml:space="preserve">Correspondence: Kristian K. Starheim, Faculty of Medicine and Health Sciences, Department for Clinical and Molecular Medicine (IKOM), Norwegian University of Technology and Natural Sciences (NTNU), Pb. 8905, N-7491 Trondheim, NORWAY. E-mail: Kristian.starheim@ntnu.no, </w:t>
      </w:r>
      <w:r w:rsidR="00056237">
        <w:rPr>
          <w:rFonts w:eastAsia="Calibri"/>
          <w:noProof w:val="0"/>
          <w:lang w:val="en-US"/>
        </w:rPr>
        <w:t>tel.</w:t>
      </w:r>
      <w:r w:rsidRPr="00A44689">
        <w:rPr>
          <w:rFonts w:eastAsia="Calibri"/>
          <w:noProof w:val="0"/>
          <w:lang w:val="en-US"/>
        </w:rPr>
        <w:t xml:space="preserve"> +4790178148.</w:t>
      </w:r>
    </w:p>
    <w:p w14:paraId="5DBF8CE3" w14:textId="77777777" w:rsidR="00A44689" w:rsidRPr="00A44689" w:rsidRDefault="00A44689" w:rsidP="00A44689">
      <w:pPr>
        <w:ind w:left="0" w:firstLine="0"/>
        <w:rPr>
          <w:rFonts w:eastAsia="Calibri"/>
          <w:noProof w:val="0"/>
          <w:lang w:val="en-US"/>
        </w:rPr>
      </w:pPr>
      <w:r w:rsidRPr="00A44689">
        <w:rPr>
          <w:rFonts w:eastAsia="Calibri"/>
          <w:noProof w:val="0"/>
          <w:lang w:val="en-US"/>
        </w:rPr>
        <w:t xml:space="preserve">Running title: </w:t>
      </w:r>
      <w:proofErr w:type="spellStart"/>
      <w:r w:rsidRPr="00A44689">
        <w:rPr>
          <w:rFonts w:eastAsia="Calibri"/>
          <w:noProof w:val="0"/>
          <w:lang w:val="en-US"/>
        </w:rPr>
        <w:t>Smac</w:t>
      </w:r>
      <w:proofErr w:type="spellEnd"/>
      <w:r w:rsidRPr="00A44689">
        <w:rPr>
          <w:rFonts w:eastAsia="Calibri"/>
          <w:noProof w:val="0"/>
          <w:lang w:val="en-US"/>
        </w:rPr>
        <w:t>-mimetics reduce osteoclast numbers.</w:t>
      </w:r>
    </w:p>
    <w:p w14:paraId="188CC5C5" w14:textId="64A6354D" w:rsidR="00A44689" w:rsidRPr="00A44689" w:rsidRDefault="006A2A54" w:rsidP="00A44689">
      <w:pPr>
        <w:ind w:left="0" w:firstLine="0"/>
        <w:rPr>
          <w:rFonts w:eastAsia="Calibri"/>
          <w:noProof w:val="0"/>
          <w:lang w:val="en-US"/>
        </w:rPr>
      </w:pPr>
      <w:r w:rsidRPr="00A44689">
        <w:rPr>
          <w:rFonts w:eastAsia="Calibri"/>
          <w:noProof w:val="0"/>
          <w:lang w:val="en-US"/>
        </w:rPr>
        <w:t>Conflict</w:t>
      </w:r>
      <w:r w:rsidR="00A44689" w:rsidRPr="00A44689">
        <w:rPr>
          <w:rFonts w:eastAsia="Calibri"/>
          <w:noProof w:val="0"/>
          <w:lang w:val="en-US"/>
        </w:rPr>
        <w:t xml:space="preserve"> of interest: The authors declare no conflict of interest.</w:t>
      </w:r>
    </w:p>
    <w:p w14:paraId="6B8BE038" w14:textId="77777777" w:rsidR="00A44689" w:rsidRPr="00A44689" w:rsidRDefault="00A44689" w:rsidP="00A44689">
      <w:pPr>
        <w:ind w:left="0" w:firstLine="0"/>
        <w:rPr>
          <w:rFonts w:eastAsia="Calibri"/>
          <w:noProof w:val="0"/>
          <w:lang w:val="en-US"/>
        </w:rPr>
      </w:pPr>
      <w:r w:rsidRPr="00A44689">
        <w:rPr>
          <w:rFonts w:eastAsia="Calibri"/>
          <w:noProof w:val="0"/>
          <w:lang w:val="en-US"/>
        </w:rPr>
        <w:t>Disclosure: The authors have no disclosures.</w:t>
      </w:r>
    </w:p>
    <w:p w14:paraId="63220897" w14:textId="77777777" w:rsidR="00B34834" w:rsidRDefault="00B34834" w:rsidP="006D481B">
      <w:pPr>
        <w:ind w:left="0" w:firstLine="0"/>
        <w:rPr>
          <w:b/>
          <w:bCs/>
        </w:rPr>
      </w:pPr>
    </w:p>
    <w:p w14:paraId="2CCC2A0A" w14:textId="77777777" w:rsidR="00B34834" w:rsidRDefault="00B34834" w:rsidP="006D481B">
      <w:pPr>
        <w:ind w:left="0" w:firstLine="0"/>
        <w:rPr>
          <w:b/>
          <w:bCs/>
        </w:rPr>
      </w:pPr>
    </w:p>
    <w:p w14:paraId="4B2861AB" w14:textId="77777777" w:rsidR="00B34834" w:rsidRDefault="00B34834" w:rsidP="006D481B">
      <w:pPr>
        <w:ind w:left="0" w:firstLine="0"/>
        <w:rPr>
          <w:b/>
          <w:bCs/>
        </w:rPr>
      </w:pPr>
    </w:p>
    <w:p w14:paraId="5E1F9C4C" w14:textId="77777777" w:rsidR="00B34834" w:rsidRDefault="00B34834" w:rsidP="006D481B">
      <w:pPr>
        <w:ind w:left="0" w:firstLine="0"/>
        <w:rPr>
          <w:b/>
          <w:bCs/>
        </w:rPr>
      </w:pPr>
    </w:p>
    <w:p w14:paraId="30C9067B" w14:textId="60E4266B" w:rsidR="00B34834" w:rsidRDefault="00B34834" w:rsidP="006D481B">
      <w:pPr>
        <w:ind w:left="0" w:firstLine="0"/>
        <w:rPr>
          <w:b/>
          <w:bCs/>
        </w:rPr>
      </w:pPr>
    </w:p>
    <w:p w14:paraId="2BA2B07D" w14:textId="1B59682E" w:rsidR="000215DD" w:rsidRDefault="000215DD" w:rsidP="006D481B">
      <w:pPr>
        <w:ind w:left="0" w:firstLine="0"/>
        <w:rPr>
          <w:b/>
          <w:bCs/>
        </w:rPr>
      </w:pPr>
    </w:p>
    <w:p w14:paraId="4FFE6C1A" w14:textId="42A1CF91" w:rsidR="000215DD" w:rsidRDefault="000215DD" w:rsidP="006D481B">
      <w:pPr>
        <w:ind w:left="0" w:firstLine="0"/>
        <w:rPr>
          <w:b/>
          <w:bCs/>
        </w:rPr>
      </w:pPr>
    </w:p>
    <w:p w14:paraId="54A4C57E" w14:textId="77777777" w:rsidR="000215DD" w:rsidRDefault="000215DD" w:rsidP="006D481B">
      <w:pPr>
        <w:ind w:left="0" w:firstLine="0"/>
        <w:rPr>
          <w:b/>
          <w:bCs/>
        </w:rPr>
      </w:pPr>
    </w:p>
    <w:p w14:paraId="4863E787" w14:textId="77777777" w:rsidR="00B34834" w:rsidRDefault="00B34834" w:rsidP="006D481B">
      <w:pPr>
        <w:ind w:left="0" w:firstLine="0"/>
        <w:rPr>
          <w:b/>
          <w:bCs/>
        </w:rPr>
      </w:pPr>
    </w:p>
    <w:p w14:paraId="51570510" w14:textId="77777777" w:rsidR="00B34834" w:rsidRDefault="00B34834" w:rsidP="006D481B">
      <w:pPr>
        <w:ind w:left="0" w:firstLine="0"/>
        <w:rPr>
          <w:b/>
          <w:bCs/>
        </w:rPr>
      </w:pPr>
    </w:p>
    <w:p w14:paraId="0D830083" w14:textId="77777777" w:rsidR="00B34834" w:rsidRDefault="00B34834" w:rsidP="006D481B">
      <w:pPr>
        <w:ind w:left="0" w:firstLine="0"/>
        <w:rPr>
          <w:b/>
          <w:bCs/>
        </w:rPr>
      </w:pPr>
    </w:p>
    <w:p w14:paraId="018B2E18" w14:textId="4B420FA1" w:rsidR="00201585" w:rsidRPr="00A40B1F" w:rsidRDefault="000205A6" w:rsidP="006D481B">
      <w:pPr>
        <w:ind w:left="0" w:firstLine="0"/>
        <w:rPr>
          <w:b/>
        </w:rPr>
      </w:pPr>
      <w:r w:rsidRPr="004A16E7">
        <w:rPr>
          <w:b/>
        </w:rPr>
        <w:lastRenderedPageBreak/>
        <w:t xml:space="preserve">Supplementary </w:t>
      </w:r>
      <w:r w:rsidR="002F2A1A">
        <w:rPr>
          <w:b/>
        </w:rPr>
        <w:t>F</w:t>
      </w:r>
      <w:r w:rsidR="002F2A1A" w:rsidRPr="004A16E7">
        <w:rPr>
          <w:b/>
        </w:rPr>
        <w:t xml:space="preserve">igure </w:t>
      </w:r>
      <w:r w:rsidRPr="004A16E7">
        <w:rPr>
          <w:b/>
        </w:rPr>
        <w:t>S1</w:t>
      </w:r>
      <w:r w:rsidR="000215DD">
        <w:rPr>
          <w:b/>
        </w:rPr>
        <w:t>.</w:t>
      </w:r>
      <w:r>
        <w:rPr>
          <w:b/>
        </w:rPr>
        <w:t xml:space="preserve"> </w:t>
      </w:r>
      <w:r w:rsidR="00A40B1F">
        <w:rPr>
          <w:b/>
        </w:rPr>
        <w:t>Purity analysis of CD14-isolated monocytes, and sensitivity of OC and M</w:t>
      </w:r>
      <w:r w:rsidR="00A40B1F">
        <w:rPr>
          <w:b/>
        </w:rPr>
        <w:sym w:font="Symbol" w:char="F066"/>
      </w:r>
      <w:r w:rsidR="00A40B1F">
        <w:rPr>
          <w:b/>
        </w:rPr>
        <w:t xml:space="preserve"> to SM. </w:t>
      </w:r>
      <w:r w:rsidR="008E13F1">
        <w:rPr>
          <w:noProof w:val="0"/>
          <w:lang w:val="en-US"/>
        </w:rPr>
        <w:t>Purity analysis of CD14</w:t>
      </w:r>
      <w:r w:rsidR="008E13F1" w:rsidRPr="008E13F1">
        <w:rPr>
          <w:noProof w:val="0"/>
          <w:vertAlign w:val="superscript"/>
          <w:lang w:val="en-US"/>
        </w:rPr>
        <w:t>+</w:t>
      </w:r>
      <w:r w:rsidR="008E13F1">
        <w:rPr>
          <w:noProof w:val="0"/>
          <w:lang w:val="en-US"/>
        </w:rPr>
        <w:t xml:space="preserve"> </w:t>
      </w:r>
      <w:r w:rsidR="00C2256E">
        <w:rPr>
          <w:noProof w:val="0"/>
          <w:lang w:val="en-US"/>
        </w:rPr>
        <w:t>monocytes</w:t>
      </w:r>
      <w:r w:rsidR="00512748">
        <w:rPr>
          <w:noProof w:val="0"/>
          <w:lang w:val="en-US"/>
        </w:rPr>
        <w:t xml:space="preserve"> isolated from peripheral mononuclear blood cells</w:t>
      </w:r>
      <w:r w:rsidR="00C2256E">
        <w:rPr>
          <w:noProof w:val="0"/>
          <w:lang w:val="en-US"/>
        </w:rPr>
        <w:t xml:space="preserve"> and</w:t>
      </w:r>
      <w:r w:rsidR="008E13F1">
        <w:rPr>
          <w:noProof w:val="0"/>
          <w:lang w:val="en-US"/>
        </w:rPr>
        <w:t xml:space="preserve"> content of contaminating DC, </w:t>
      </w:r>
      <w:r w:rsidR="00C2256E">
        <w:rPr>
          <w:noProof w:val="0"/>
          <w:lang w:val="en-US"/>
        </w:rPr>
        <w:t>T</w:t>
      </w:r>
      <w:r w:rsidR="008E13F1">
        <w:rPr>
          <w:noProof w:val="0"/>
          <w:lang w:val="en-US"/>
        </w:rPr>
        <w:t xml:space="preserve">-, </w:t>
      </w:r>
      <w:r w:rsidR="00C2256E">
        <w:rPr>
          <w:noProof w:val="0"/>
          <w:lang w:val="en-US"/>
        </w:rPr>
        <w:t>B</w:t>
      </w:r>
      <w:r w:rsidR="008E13F1">
        <w:rPr>
          <w:noProof w:val="0"/>
          <w:lang w:val="en-US"/>
        </w:rPr>
        <w:t>- and NK-cells</w:t>
      </w:r>
      <w:r w:rsidR="00512748">
        <w:rPr>
          <w:noProof w:val="0"/>
          <w:lang w:val="en-US"/>
        </w:rPr>
        <w:t xml:space="preserve"> by flow cytometry</w:t>
      </w:r>
      <w:r w:rsidR="008E13F1">
        <w:rPr>
          <w:noProof w:val="0"/>
          <w:lang w:val="en-US"/>
        </w:rPr>
        <w:t xml:space="preserve"> (</w:t>
      </w:r>
      <w:r w:rsidR="00C2256E">
        <w:rPr>
          <w:noProof w:val="0"/>
          <w:lang w:val="en-US"/>
        </w:rPr>
        <w:t xml:space="preserve">A, </w:t>
      </w:r>
      <w:r w:rsidR="008E13F1">
        <w:rPr>
          <w:noProof w:val="0"/>
          <w:lang w:val="en-US"/>
        </w:rPr>
        <w:t>B).</w:t>
      </w:r>
      <w:r w:rsidR="00B62FF4">
        <w:rPr>
          <w:noProof w:val="0"/>
          <w:lang w:val="en-US"/>
        </w:rPr>
        <w:t xml:space="preserve"> 10 (CD14</w:t>
      </w:r>
      <w:r w:rsidR="00B62FF4" w:rsidRPr="00B62FF4">
        <w:rPr>
          <w:noProof w:val="0"/>
          <w:vertAlign w:val="superscript"/>
          <w:lang w:val="en-US"/>
        </w:rPr>
        <w:t>+</w:t>
      </w:r>
      <w:r w:rsidR="00B62FF4">
        <w:rPr>
          <w:noProof w:val="0"/>
          <w:lang w:val="en-US"/>
        </w:rPr>
        <w:t>), 5 (CD19</w:t>
      </w:r>
      <w:r w:rsidR="00C2256E">
        <w:rPr>
          <w:noProof w:val="0"/>
          <w:lang w:val="en-US"/>
        </w:rPr>
        <w:t>/</w:t>
      </w:r>
      <w:r w:rsidR="00B62FF4">
        <w:rPr>
          <w:noProof w:val="0"/>
          <w:lang w:val="en-US"/>
        </w:rPr>
        <w:t>CD3</w:t>
      </w:r>
      <w:r w:rsidR="00B62FF4" w:rsidRPr="00B62FF4">
        <w:rPr>
          <w:noProof w:val="0"/>
          <w:vertAlign w:val="superscript"/>
          <w:lang w:val="en-US"/>
        </w:rPr>
        <w:t>+</w:t>
      </w:r>
      <w:r w:rsidR="00B62FF4">
        <w:rPr>
          <w:noProof w:val="0"/>
          <w:lang w:val="en-US"/>
        </w:rPr>
        <w:t>) and 4 (</w:t>
      </w:r>
      <w:r w:rsidR="00C2256E">
        <w:rPr>
          <w:noProof w:val="0"/>
          <w:lang w:val="en-US"/>
        </w:rPr>
        <w:t>CD45/</w:t>
      </w:r>
      <w:r w:rsidR="00B62FF4">
        <w:rPr>
          <w:noProof w:val="0"/>
          <w:lang w:val="en-US"/>
        </w:rPr>
        <w:t>CD56</w:t>
      </w:r>
      <w:r w:rsidR="00B62FF4" w:rsidRPr="00B62FF4">
        <w:rPr>
          <w:noProof w:val="0"/>
          <w:vertAlign w:val="superscript"/>
          <w:lang w:val="en-US"/>
        </w:rPr>
        <w:t>+</w:t>
      </w:r>
      <w:r w:rsidR="00B62FF4">
        <w:rPr>
          <w:noProof w:val="0"/>
          <w:lang w:val="en-US"/>
        </w:rPr>
        <w:t>, CD1C</w:t>
      </w:r>
      <w:r w:rsidR="00C2256E">
        <w:rPr>
          <w:noProof w:val="0"/>
          <w:lang w:val="en-US"/>
        </w:rPr>
        <w:t>/</w:t>
      </w:r>
      <w:r w:rsidR="00B62FF4">
        <w:rPr>
          <w:noProof w:val="0"/>
          <w:lang w:val="en-US"/>
        </w:rPr>
        <w:t>CD303</w:t>
      </w:r>
      <w:r w:rsidR="00B62FF4" w:rsidRPr="00B62FF4">
        <w:rPr>
          <w:noProof w:val="0"/>
          <w:vertAlign w:val="superscript"/>
          <w:lang w:val="en-US"/>
        </w:rPr>
        <w:t>+</w:t>
      </w:r>
      <w:r w:rsidR="00B62FF4">
        <w:rPr>
          <w:noProof w:val="0"/>
          <w:lang w:val="en-US"/>
        </w:rPr>
        <w:t>) donors</w:t>
      </w:r>
      <w:r w:rsidR="00512748">
        <w:rPr>
          <w:noProof w:val="0"/>
          <w:lang w:val="en-US"/>
        </w:rPr>
        <w:t xml:space="preserve"> were quantified in (A)</w:t>
      </w:r>
      <w:r w:rsidR="00B62FF4">
        <w:rPr>
          <w:noProof w:val="0"/>
          <w:lang w:val="en-US"/>
        </w:rPr>
        <w:t>,</w:t>
      </w:r>
      <w:r w:rsidR="00512748">
        <w:rPr>
          <w:noProof w:val="0"/>
          <w:lang w:val="en-US"/>
        </w:rPr>
        <w:t xml:space="preserve"> representative plots from one donor are shown in (B).</w:t>
      </w:r>
      <w:r w:rsidR="00B62FF4">
        <w:rPr>
          <w:noProof w:val="0"/>
          <w:lang w:val="en-US"/>
        </w:rPr>
        <w:t xml:space="preserve"> </w:t>
      </w:r>
      <w:r w:rsidR="00C2256E">
        <w:t>Human CD14</w:t>
      </w:r>
      <w:r w:rsidR="00C2256E" w:rsidRPr="00C2256E">
        <w:rPr>
          <w:vertAlign w:val="superscript"/>
        </w:rPr>
        <w:t>+</w:t>
      </w:r>
      <w:r w:rsidR="00C2256E">
        <w:t xml:space="preserve"> monocytes were differentated to OC and treated with indicated concentrations of LCL-161 and birinapant with or without infliximab (0.1 µg) throughout differentation. TRAP</w:t>
      </w:r>
      <w:r w:rsidR="00C2256E" w:rsidRPr="00A327B8">
        <w:rPr>
          <w:vertAlign w:val="superscript"/>
        </w:rPr>
        <w:t>+</w:t>
      </w:r>
      <w:r w:rsidR="00C2256E">
        <w:t xml:space="preserve"> </w:t>
      </w:r>
      <w:r w:rsidR="00056237">
        <w:t xml:space="preserve">cells with 3 or more nuclei were counted as OC </w:t>
      </w:r>
      <w:r w:rsidR="00C2256E">
        <w:t>(</w:t>
      </w:r>
      <w:r w:rsidR="00663B96">
        <w:t>C</w:t>
      </w:r>
      <w:r w:rsidR="00C2256E">
        <w:t>)</w:t>
      </w:r>
      <w:r w:rsidR="00056237">
        <w:t xml:space="preserve">. Results are from 5 donors. Individual donors, average and </w:t>
      </w:r>
      <w:r w:rsidR="00A40B1F">
        <w:t>SD</w:t>
      </w:r>
      <w:r w:rsidR="00056237">
        <w:t xml:space="preserve"> are shown. Single asterisk denotes statistical significance as compared to untreated control or between indicated groups. Double asterisk denotes statistical significance as compared to control treated with infliximab (p&lt;0.05, One-way ANOVA).  % OC of total cell number (D)</w:t>
      </w:r>
      <w:r w:rsidR="00C2256E">
        <w:t xml:space="preserve"> </w:t>
      </w:r>
      <w:r w:rsidR="00056237">
        <w:t>and number of OC (E) of</w:t>
      </w:r>
      <w:r w:rsidR="00C2256E">
        <w:t xml:space="preserve"> CD51/61</w:t>
      </w:r>
      <w:r w:rsidR="00C2256E" w:rsidRPr="00C2256E">
        <w:rPr>
          <w:vertAlign w:val="superscript"/>
        </w:rPr>
        <w:t>+</w:t>
      </w:r>
      <w:r w:rsidR="00C2256E">
        <w:t xml:space="preserve"> cells with 3 or more nuclei counted as OC </w:t>
      </w:r>
      <w:r w:rsidR="00663B96">
        <w:t>. Results are from 5 donors.</w:t>
      </w:r>
      <w:r w:rsidR="00056237">
        <w:t xml:space="preserve"> Individual donors, average and </w:t>
      </w:r>
      <w:r w:rsidR="00A40B1F">
        <w:t>SD</w:t>
      </w:r>
      <w:r w:rsidR="00056237">
        <w:t xml:space="preserve"> are shown. Asterisk denotes statistical significance as compared to untreated control</w:t>
      </w:r>
      <w:r w:rsidR="00663B96">
        <w:t xml:space="preserve"> </w:t>
      </w:r>
      <w:r w:rsidR="00056237">
        <w:t xml:space="preserve">(p&lt;0.05, Student’s T-Test). </w:t>
      </w:r>
      <w:r w:rsidR="00B34834" w:rsidRPr="00282609">
        <w:rPr>
          <w:noProof w:val="0"/>
          <w:lang w:val="en-US"/>
        </w:rPr>
        <w:t>Human CD14</w:t>
      </w:r>
      <w:r w:rsidR="00B34834" w:rsidRPr="00282609">
        <w:rPr>
          <w:noProof w:val="0"/>
          <w:vertAlign w:val="superscript"/>
          <w:lang w:val="en-US"/>
        </w:rPr>
        <w:t>+</w:t>
      </w:r>
      <w:r w:rsidR="00B34834" w:rsidRPr="00282609">
        <w:rPr>
          <w:noProof w:val="0"/>
          <w:lang w:val="en-US"/>
        </w:rPr>
        <w:t>-monocytes were</w:t>
      </w:r>
      <w:r w:rsidR="00B34834">
        <w:rPr>
          <w:noProof w:val="0"/>
          <w:lang w:val="en-US"/>
        </w:rPr>
        <w:t xml:space="preserve"> differentiated in OC differentiating medium or CSF-</w:t>
      </w:r>
      <w:r w:rsidR="00162314">
        <w:rPr>
          <w:noProof w:val="0"/>
          <w:lang w:val="en-US"/>
        </w:rPr>
        <w:t>1 and</w:t>
      </w:r>
      <w:r w:rsidR="00B34834">
        <w:rPr>
          <w:noProof w:val="0"/>
          <w:lang w:val="en-US"/>
        </w:rPr>
        <w:t xml:space="preserve"> treated with the indicated doses of SM for three days before viability was measured (</w:t>
      </w:r>
      <w:r w:rsidR="00056237">
        <w:rPr>
          <w:noProof w:val="0"/>
          <w:lang w:val="en-US"/>
        </w:rPr>
        <w:t>F, G</w:t>
      </w:r>
      <w:r w:rsidR="00B34834">
        <w:rPr>
          <w:noProof w:val="0"/>
          <w:lang w:val="en-US"/>
        </w:rPr>
        <w:t>)</w:t>
      </w:r>
      <w:r w:rsidR="00F331A5">
        <w:rPr>
          <w:noProof w:val="0"/>
          <w:lang w:val="en-US"/>
        </w:rPr>
        <w:t>. Results are from</w:t>
      </w:r>
      <w:r w:rsidR="00B62FF4">
        <w:rPr>
          <w:noProof w:val="0"/>
          <w:lang w:val="en-US"/>
        </w:rPr>
        <w:t xml:space="preserve"> 5 donors</w:t>
      </w:r>
      <w:r w:rsidR="00B34834">
        <w:rPr>
          <w:noProof w:val="0"/>
          <w:lang w:val="en-US"/>
        </w:rPr>
        <w:t>.</w:t>
      </w:r>
      <w:r w:rsidR="00056237">
        <w:rPr>
          <w:noProof w:val="0"/>
          <w:lang w:val="en-US"/>
        </w:rPr>
        <w:t xml:space="preserve"> </w:t>
      </w:r>
      <w:r w:rsidR="00056237">
        <w:t xml:space="preserve">Individual donors, average and </w:t>
      </w:r>
      <w:r w:rsidR="00A40B1F">
        <w:t>SD</w:t>
      </w:r>
      <w:r w:rsidR="00056237">
        <w:t xml:space="preserve"> are shown. Asterisk denotes statistical significance compared between groups. Double asterisk denotes statistical significance as compared to individual controls (p&lt;0.05, One-way ANOVA).</w:t>
      </w:r>
      <w:r w:rsidR="00B34834" w:rsidRPr="00282609">
        <w:rPr>
          <w:noProof w:val="0"/>
          <w:lang w:val="en-US"/>
        </w:rPr>
        <w:t xml:space="preserve"> </w:t>
      </w:r>
      <w:r w:rsidR="00560B9F">
        <w:t>Viability of CSF</w:t>
      </w:r>
      <w:r w:rsidR="00B34834">
        <w:t>-</w:t>
      </w:r>
      <w:r w:rsidR="00560B9F">
        <w:t>1, CSF</w:t>
      </w:r>
      <w:r w:rsidR="00B34834">
        <w:t>-</w:t>
      </w:r>
      <w:r w:rsidR="00560B9F">
        <w:t>1 + RANKL, CSF</w:t>
      </w:r>
      <w:r w:rsidR="00B34834">
        <w:t>-</w:t>
      </w:r>
      <w:r w:rsidR="00560B9F">
        <w:t>1 + TGF-β and CSF</w:t>
      </w:r>
      <w:r w:rsidR="00B34834">
        <w:t>-</w:t>
      </w:r>
      <w:r w:rsidR="00560B9F">
        <w:t>1 + RANKL + TGF-β differentiated cells after LCL-161 (</w:t>
      </w:r>
      <w:r w:rsidR="00056237">
        <w:t>H</w:t>
      </w:r>
      <w:r w:rsidR="00560B9F">
        <w:t>) and birinapant (</w:t>
      </w:r>
      <w:r w:rsidR="00056237">
        <w:t>I</w:t>
      </w:r>
      <w:r w:rsidR="00560B9F">
        <w:t>)</w:t>
      </w:r>
      <w:r w:rsidR="000215DD">
        <w:t xml:space="preserve"> </w:t>
      </w:r>
      <w:r w:rsidR="00560B9F">
        <w:t xml:space="preserve">treatment measured by </w:t>
      </w:r>
      <w:r w:rsidR="00056237">
        <w:t xml:space="preserve">the </w:t>
      </w:r>
      <w:r w:rsidR="00560B9F">
        <w:t xml:space="preserve">Cell Titer Proliferation assay on day </w:t>
      </w:r>
      <w:r w:rsidR="00B34834">
        <w:t xml:space="preserve">10 </w:t>
      </w:r>
      <w:r w:rsidR="00560B9F">
        <w:t>of differentiation</w:t>
      </w:r>
      <w:r w:rsidR="00B62FF4">
        <w:t>, shown for 5 donors</w:t>
      </w:r>
      <w:r w:rsidR="00560B9F">
        <w:t xml:space="preserve">. </w:t>
      </w:r>
      <w:r w:rsidR="00B34834">
        <w:t xml:space="preserve">Individual donors, average and </w:t>
      </w:r>
      <w:r w:rsidR="007C35CF">
        <w:t>SD</w:t>
      </w:r>
      <w:r w:rsidR="00B34834">
        <w:t xml:space="preserve"> are shown. A</w:t>
      </w:r>
      <w:r w:rsidR="00074A22" w:rsidRPr="00921130">
        <w:t xml:space="preserve">sterisk denotes statistical significance as compared to </w:t>
      </w:r>
      <w:r w:rsidR="00B34834">
        <w:t>cells cultured in CSF-1</w:t>
      </w:r>
      <w:r w:rsidR="00074A22" w:rsidRPr="00921130">
        <w:t xml:space="preserve"> (p&lt;0.05, One-way ANOVA).</w:t>
      </w:r>
    </w:p>
    <w:p w14:paraId="065B0063" w14:textId="5800C049" w:rsidR="00644FB7" w:rsidRDefault="006D481B" w:rsidP="006D481B">
      <w:pPr>
        <w:ind w:left="0" w:firstLine="0"/>
      </w:pPr>
      <w:r w:rsidRPr="00F63922">
        <w:rPr>
          <w:b/>
        </w:rPr>
        <w:t xml:space="preserve">Supplementary </w:t>
      </w:r>
      <w:r w:rsidR="002F2A1A">
        <w:rPr>
          <w:b/>
        </w:rPr>
        <w:t>F</w:t>
      </w:r>
      <w:r w:rsidR="002F2A1A" w:rsidRPr="00F63922">
        <w:rPr>
          <w:b/>
        </w:rPr>
        <w:t xml:space="preserve">igure </w:t>
      </w:r>
      <w:r w:rsidRPr="00F63922">
        <w:rPr>
          <w:b/>
        </w:rPr>
        <w:t>S2</w:t>
      </w:r>
      <w:r>
        <w:rPr>
          <w:b/>
        </w:rPr>
        <w:t>: LCL-161 and birianapant induce cell death in human pre-OCs dependent on TNF</w:t>
      </w:r>
      <w:r w:rsidR="004869DF">
        <w:rPr>
          <w:b/>
        </w:rPr>
        <w:t>.</w:t>
      </w:r>
      <w:r>
        <w:rPr>
          <w:b/>
        </w:rPr>
        <w:t xml:space="preserve"> </w:t>
      </w:r>
      <w:r w:rsidR="000A1826" w:rsidRPr="00B62FF4">
        <w:rPr>
          <w:bCs/>
        </w:rPr>
        <w:t>Pre-OC</w:t>
      </w:r>
      <w:r w:rsidR="00F331A5">
        <w:rPr>
          <w:bCs/>
        </w:rPr>
        <w:t xml:space="preserve"> were</w:t>
      </w:r>
      <w:r w:rsidR="000A1826" w:rsidRPr="00B62FF4">
        <w:rPr>
          <w:bCs/>
        </w:rPr>
        <w:t xml:space="preserve"> treated with 1 µM birinapant (A) or LCL-161 (B) in combination with indicated concentrations of TNF for 18 h, before cell ceath was measured by the LDH cytotoxcicity assay</w:t>
      </w:r>
      <w:r w:rsidR="00F331A5">
        <w:rPr>
          <w:bCs/>
        </w:rPr>
        <w:t>. Results are</w:t>
      </w:r>
      <w:r w:rsidR="00B62FF4">
        <w:rPr>
          <w:bCs/>
        </w:rPr>
        <w:t xml:space="preserve"> </w:t>
      </w:r>
      <w:r w:rsidR="00F331A5">
        <w:rPr>
          <w:bCs/>
        </w:rPr>
        <w:t>from</w:t>
      </w:r>
      <w:r w:rsidR="00B62FF4">
        <w:rPr>
          <w:bCs/>
        </w:rPr>
        <w:t xml:space="preserve"> 5 donors</w:t>
      </w:r>
      <w:r w:rsidR="000A1826" w:rsidRPr="00B62FF4">
        <w:rPr>
          <w:bCs/>
        </w:rPr>
        <w:t>.</w:t>
      </w:r>
      <w:r w:rsidR="00807A0C">
        <w:rPr>
          <w:bCs/>
        </w:rPr>
        <w:t xml:space="preserve"> </w:t>
      </w:r>
      <w:r w:rsidR="00807A0C">
        <w:t xml:space="preserve">Individual donors, average and </w:t>
      </w:r>
      <w:r w:rsidR="00A40B1F">
        <w:t>SD</w:t>
      </w:r>
      <w:r w:rsidR="00807A0C">
        <w:t xml:space="preserve"> are shown. Single asterisk denotes statistical significance as compared to untreated control. Double asterisk denotes statistical significance between groups (p&lt;0.05, One-way ANOVA). </w:t>
      </w:r>
      <w:r w:rsidR="000A1826">
        <w:rPr>
          <w:b/>
        </w:rPr>
        <w:t xml:space="preserve"> </w:t>
      </w:r>
      <w:r w:rsidRPr="009014F5">
        <w:t>Pre-OC</w:t>
      </w:r>
      <w:r w:rsidR="00F331A5">
        <w:t xml:space="preserve"> were</w:t>
      </w:r>
      <w:r w:rsidRPr="009014F5">
        <w:t xml:space="preserve"> treated with 1 μM of birinapant (A) </w:t>
      </w:r>
      <w:r w:rsidR="00074A22">
        <w:t>or</w:t>
      </w:r>
      <w:r w:rsidRPr="009014F5">
        <w:t xml:space="preserve"> LCL-161 (B) in combination with </w:t>
      </w:r>
      <w:r w:rsidR="00074A22">
        <w:t xml:space="preserve">the </w:t>
      </w:r>
      <w:r w:rsidR="00C058CB">
        <w:t xml:space="preserve">TNF-binding </w:t>
      </w:r>
      <w:r w:rsidR="000B0078">
        <w:t xml:space="preserve">antibody </w:t>
      </w:r>
      <w:r w:rsidR="00C058CB">
        <w:t>6H1</w:t>
      </w:r>
      <w:r w:rsidR="000A1826">
        <w:t>1</w:t>
      </w:r>
      <w:r w:rsidR="00074A22">
        <w:t xml:space="preserve"> for 18</w:t>
      </w:r>
      <w:r w:rsidR="004869DF">
        <w:t xml:space="preserve">  </w:t>
      </w:r>
      <w:r w:rsidR="00074A22">
        <w:t>h, before cell death was measured by the LDH cytotoxicity assay</w:t>
      </w:r>
      <w:r w:rsidRPr="009014F5">
        <w:t>.</w:t>
      </w:r>
      <w:r w:rsidR="00B62FF4">
        <w:t xml:space="preserve"> </w:t>
      </w:r>
      <w:r w:rsidR="003539B5">
        <w:t>Results are from</w:t>
      </w:r>
      <w:r w:rsidR="00B62FF4">
        <w:t xml:space="preserve"> 3 donors.</w:t>
      </w:r>
      <w:r w:rsidR="00807A0C">
        <w:t xml:space="preserve"> Individual donors, average and </w:t>
      </w:r>
      <w:r w:rsidR="00A40B1F">
        <w:t xml:space="preserve">SD </w:t>
      </w:r>
      <w:r w:rsidR="00807A0C">
        <w:t xml:space="preserve">are shown. </w:t>
      </w:r>
      <w:r w:rsidRPr="009014F5">
        <w:t xml:space="preserve"> </w:t>
      </w:r>
      <w:r w:rsidR="004869DF" w:rsidRPr="009014F5">
        <w:lastRenderedPageBreak/>
        <w:t xml:space="preserve">Asterisk denotes statistical significance as compared to the </w:t>
      </w:r>
      <w:r w:rsidR="004869DF">
        <w:t>un</w:t>
      </w:r>
      <w:r w:rsidR="004869DF" w:rsidRPr="009014F5">
        <w:t xml:space="preserve">treated control </w:t>
      </w:r>
      <w:r w:rsidR="004869DF">
        <w:t xml:space="preserve">or between indicated groups </w:t>
      </w:r>
      <w:r w:rsidR="004869DF" w:rsidRPr="009014F5">
        <w:t xml:space="preserve">(p&lt;0.05, </w:t>
      </w:r>
      <w:r w:rsidR="004869DF">
        <w:t>One-way ANOVA</w:t>
      </w:r>
      <w:r w:rsidR="004869DF" w:rsidRPr="009014F5">
        <w:t>).</w:t>
      </w:r>
      <w:r w:rsidR="004869DF">
        <w:t xml:space="preserve"> </w:t>
      </w:r>
      <w:r w:rsidR="000A1826">
        <w:t>Representative phase-contrast image of TRAP-stained hOCP. Frame in second column indicate cutout for detailed view. Bar is 150 µM (E). Pre-OC were treated with 1 µM birinapant (F) or LCL-161 (G) for the indicated time points, and the concentration of TNF in medium was measured by ELISA</w:t>
      </w:r>
      <w:r w:rsidR="00B62FF4">
        <w:t>, shown for 4 donors</w:t>
      </w:r>
      <w:r w:rsidR="000A1826">
        <w:t xml:space="preserve">. </w:t>
      </w:r>
      <w:r w:rsidRPr="009014F5">
        <w:t>Pre-OC</w:t>
      </w:r>
      <w:r w:rsidR="00074A22">
        <w:t xml:space="preserve"> were </w:t>
      </w:r>
      <w:r w:rsidRPr="009014F5">
        <w:t xml:space="preserve">treated with 1 μM of birinapant </w:t>
      </w:r>
      <w:r w:rsidR="00074A22">
        <w:t xml:space="preserve">for the indicated time points, RNA was isolated and analyzed for levels of </w:t>
      </w:r>
      <w:r w:rsidR="00074A22">
        <w:rPr>
          <w:i/>
          <w:iCs/>
        </w:rPr>
        <w:t xml:space="preserve">TNF, IL6 </w:t>
      </w:r>
      <w:r w:rsidR="00074A22">
        <w:t xml:space="preserve">and </w:t>
      </w:r>
      <w:r w:rsidR="00074A22" w:rsidRPr="00074A22">
        <w:rPr>
          <w:i/>
          <w:iCs/>
        </w:rPr>
        <w:t>CXCL8</w:t>
      </w:r>
      <w:r w:rsidR="00074A22">
        <w:t xml:space="preserve"> by qPCR (</w:t>
      </w:r>
      <w:r w:rsidR="000A1826">
        <w:t>H</w:t>
      </w:r>
      <w:r w:rsidR="00074A22">
        <w:t>-</w:t>
      </w:r>
      <w:r w:rsidR="000A1826">
        <w:t>J</w:t>
      </w:r>
      <w:r w:rsidR="00074A22">
        <w:t>)</w:t>
      </w:r>
      <w:r w:rsidR="00613FB1">
        <w:t>, shown for 4 donors</w:t>
      </w:r>
      <w:r w:rsidR="00074A22">
        <w:t xml:space="preserve">. </w:t>
      </w:r>
      <w:r w:rsidRPr="009014F5">
        <w:t>Pre-OC</w:t>
      </w:r>
      <w:r w:rsidR="00074A22">
        <w:t xml:space="preserve"> were co-treated with the indicated doses of birinapant (</w:t>
      </w:r>
      <w:r w:rsidR="000A1826">
        <w:t>K</w:t>
      </w:r>
      <w:r w:rsidR="00074A22">
        <w:t>) or or LCL-161 (</w:t>
      </w:r>
      <w:r w:rsidR="000A1826">
        <w:t>L</w:t>
      </w:r>
      <w:r w:rsidR="00074A22">
        <w:t>) in combination with the indicated cytokines for 18</w:t>
      </w:r>
      <w:r w:rsidR="004869DF">
        <w:t xml:space="preserve"> </w:t>
      </w:r>
      <w:r w:rsidR="00074A22">
        <w:t xml:space="preserve">h before cell death was measured by the LDH </w:t>
      </w:r>
      <w:r w:rsidR="000A1826">
        <w:t>c</w:t>
      </w:r>
      <w:r w:rsidR="00074A22">
        <w:t xml:space="preserve">ytotoxicity </w:t>
      </w:r>
      <w:r w:rsidR="000A1826">
        <w:t>assay</w:t>
      </w:r>
      <w:r w:rsidR="00613FB1">
        <w:t>, shown for 3 donors</w:t>
      </w:r>
      <w:r w:rsidR="004869DF">
        <w:t xml:space="preserve">. </w:t>
      </w:r>
      <w:r w:rsidR="00807A0C">
        <w:t xml:space="preserve">Individual donors, average and standard deviations are shown. Asterisk denotes statistical significance as compared to individual controls (p&lt;0.05, One-way ANOVA). </w:t>
      </w:r>
    </w:p>
    <w:p w14:paraId="195368C3" w14:textId="2D87FFD9" w:rsidR="00526743" w:rsidRDefault="00644FB7" w:rsidP="00526743">
      <w:pPr>
        <w:ind w:left="0" w:firstLine="0"/>
      </w:pPr>
      <w:r w:rsidRPr="00560B9F">
        <w:rPr>
          <w:b/>
          <w:bCs/>
          <w:lang w:val="en-US"/>
        </w:rPr>
        <w:t>Supplementary Figure S3</w:t>
      </w:r>
      <w:r w:rsidRPr="00560B9F">
        <w:rPr>
          <w:lang w:val="en-US"/>
        </w:rPr>
        <w:t>.</w:t>
      </w:r>
      <w:r w:rsidR="00526743">
        <w:rPr>
          <w:lang w:val="en-US"/>
        </w:rPr>
        <w:t xml:space="preserve"> </w:t>
      </w:r>
      <w:r w:rsidR="003B747E" w:rsidRPr="003B747E">
        <w:rPr>
          <w:b/>
          <w:bCs/>
          <w:lang w:val="en-US"/>
        </w:rPr>
        <w:t>SM effects on RIPK3 inhibition and IL-1</w:t>
      </w:r>
      <w:r w:rsidR="003B747E" w:rsidRPr="003B747E">
        <w:rPr>
          <w:b/>
          <w:bCs/>
          <w:lang w:val="en-US"/>
        </w:rPr>
        <w:sym w:font="Symbol" w:char="F062"/>
      </w:r>
      <w:r w:rsidR="003B747E" w:rsidRPr="003B747E">
        <w:rPr>
          <w:b/>
          <w:bCs/>
          <w:lang w:val="en-US"/>
        </w:rPr>
        <w:t xml:space="preserve"> production</w:t>
      </w:r>
      <w:r w:rsidR="003B747E">
        <w:rPr>
          <w:lang w:val="en-US"/>
        </w:rPr>
        <w:t>.</w:t>
      </w:r>
      <w:r w:rsidRPr="00560B9F">
        <w:rPr>
          <w:lang w:val="en-US"/>
        </w:rPr>
        <w:t xml:space="preserve"> </w:t>
      </w:r>
      <w:r w:rsidR="00526743">
        <w:t xml:space="preserve">Pre-OC were treated </w:t>
      </w:r>
      <w:r w:rsidR="0068307A">
        <w:t>with 1 µM</w:t>
      </w:r>
      <w:r w:rsidR="00526743">
        <w:t xml:space="preserve"> birinapant in combination with</w:t>
      </w:r>
      <w:r w:rsidR="00526743" w:rsidRPr="00D76664">
        <w:t xml:space="preserve"> </w:t>
      </w:r>
      <w:r w:rsidR="0018203D">
        <w:t xml:space="preserve">20 </w:t>
      </w:r>
      <w:r w:rsidR="0018203D">
        <w:sym w:font="Symbol" w:char="F06D"/>
      </w:r>
      <w:r w:rsidR="0018203D">
        <w:t xml:space="preserve">M </w:t>
      </w:r>
      <w:r w:rsidR="00526743" w:rsidRPr="00D76664">
        <w:t>zVAD</w:t>
      </w:r>
      <w:r w:rsidR="00526743">
        <w:t xml:space="preserve"> and</w:t>
      </w:r>
      <w:r w:rsidR="00C832B6">
        <w:t xml:space="preserve">/or 1 </w:t>
      </w:r>
      <w:r w:rsidR="00C832B6">
        <w:sym w:font="Symbol" w:char="F06D"/>
      </w:r>
      <w:r w:rsidR="00C832B6">
        <w:t xml:space="preserve">M </w:t>
      </w:r>
      <w:r w:rsidR="00526743">
        <w:t>RIPK3 inhibitor GSK87</w:t>
      </w:r>
      <w:r w:rsidR="00162314">
        <w:t>2</w:t>
      </w:r>
      <w:r w:rsidR="00526743">
        <w:t xml:space="preserve"> </w:t>
      </w:r>
      <w:r w:rsidR="00526743" w:rsidRPr="00D76664">
        <w:t xml:space="preserve"> </w:t>
      </w:r>
      <w:r w:rsidR="00526743">
        <w:t>for 18 hours</w:t>
      </w:r>
      <w:r w:rsidR="00526743" w:rsidRPr="00D76664">
        <w:t xml:space="preserve"> before measuring the cytotoxicity by LDH-releas</w:t>
      </w:r>
      <w:r w:rsidR="00526743">
        <w:t xml:space="preserve">e (A). </w:t>
      </w:r>
      <w:r w:rsidR="00C9230A">
        <w:t xml:space="preserve">Five </w:t>
      </w:r>
      <w:r w:rsidR="00526743">
        <w:t>donors, average and standard deviations are shown. Single a</w:t>
      </w:r>
      <w:r w:rsidR="00526743" w:rsidRPr="00F0363F">
        <w:t>sterisk denotes statistical significance as compared to the untreated control</w:t>
      </w:r>
      <w:r w:rsidR="00807A0C">
        <w:t xml:space="preserve"> or between indicated groups</w:t>
      </w:r>
      <w:r w:rsidR="00526743">
        <w:t xml:space="preserve">, double asterisk indicates statistical significant difference from birinapant alone </w:t>
      </w:r>
      <w:r w:rsidR="00526743" w:rsidRPr="00F0363F">
        <w:t xml:space="preserve">(p&lt;0.05, </w:t>
      </w:r>
      <w:r w:rsidR="00526743">
        <w:t>One-way ANOVA</w:t>
      </w:r>
      <w:r w:rsidR="00526743" w:rsidRPr="00F0363F" w:rsidDel="004073D3">
        <w:t>)</w:t>
      </w:r>
      <w:r w:rsidR="00526743" w:rsidRPr="00F0363F">
        <w:t>.</w:t>
      </w:r>
      <w:r w:rsidR="00C832B6">
        <w:t xml:space="preserve"> Pre-OC were treated with 1 </w:t>
      </w:r>
      <w:r w:rsidR="00C832B6">
        <w:sym w:font="Symbol" w:char="F06D"/>
      </w:r>
      <w:r w:rsidR="00C832B6">
        <w:t>M birinapant (B) or LCL-161 (C) for 18</w:t>
      </w:r>
      <w:r w:rsidR="009B3B41">
        <w:t xml:space="preserve"> </w:t>
      </w:r>
      <w:r w:rsidR="00C832B6">
        <w:t>h, medium was collected,</w:t>
      </w:r>
      <w:r w:rsidR="009B3B41">
        <w:t xml:space="preserve"> and</w:t>
      </w:r>
      <w:r w:rsidR="00C832B6">
        <w:t xml:space="preserve"> the contentration of IL-1</w:t>
      </w:r>
      <w:r w:rsidR="00C832B6">
        <w:sym w:font="Symbol" w:char="F062"/>
      </w:r>
      <w:r w:rsidR="00C832B6">
        <w:t xml:space="preserve"> was measured by ELISA. Average and SD for 3 individual donors is shown.</w:t>
      </w:r>
    </w:p>
    <w:p w14:paraId="3248D93F" w14:textId="0E332CD2" w:rsidR="00613FB1" w:rsidRDefault="00613FB1" w:rsidP="00526743">
      <w:pPr>
        <w:ind w:left="0" w:firstLine="0"/>
      </w:pPr>
      <w:r>
        <w:rPr>
          <w:b/>
          <w:bCs/>
        </w:rPr>
        <w:t xml:space="preserve">Supplementary Figure S4. </w:t>
      </w:r>
      <w:r w:rsidR="00447F4C">
        <w:rPr>
          <w:b/>
          <w:bCs/>
        </w:rPr>
        <w:t xml:space="preserve">Effect of SM on mouse OC. </w:t>
      </w:r>
      <w:r w:rsidR="00714658">
        <w:t>C57B</w:t>
      </w:r>
      <w:r w:rsidR="00531ADC">
        <w:t>L</w:t>
      </w:r>
      <w:r w:rsidR="00714658">
        <w:t>/6 mouse BDMDs were differentated to OC and treated with indicated concentrations of LCL-161 (A) and birinapant (B) throughout differentation. TRAP</w:t>
      </w:r>
      <w:r w:rsidR="00714658" w:rsidRPr="00335EAE">
        <w:rPr>
          <w:vertAlign w:val="superscript"/>
        </w:rPr>
        <w:t>+</w:t>
      </w:r>
      <w:r w:rsidR="00714658">
        <w:t xml:space="preserve"> cells with 3 or more nuclei w</w:t>
      </w:r>
      <w:r w:rsidR="000A5982">
        <w:t>ere counted as OC (A, B), shown for 8 donors.</w:t>
      </w:r>
      <w:r w:rsidR="002A2679">
        <w:t xml:space="preserve"> Individual donors, </w:t>
      </w:r>
      <w:r w:rsidR="007C35CF">
        <w:t>mean</w:t>
      </w:r>
      <w:r w:rsidR="002A2679">
        <w:t xml:space="preserve"> and </w:t>
      </w:r>
      <w:r w:rsidR="007C35CF">
        <w:t>SD</w:t>
      </w:r>
      <w:r w:rsidR="002A2679">
        <w:t xml:space="preserve"> are shown. Asterisk denotes statistical significance as compared to the untreated control (</w:t>
      </w:r>
      <w:r w:rsidR="007C35CF" w:rsidRPr="00F0363F">
        <w:t xml:space="preserve">p&lt;0.05, </w:t>
      </w:r>
      <w:r w:rsidR="007C35CF">
        <w:t>One-way ANOVA</w:t>
      </w:r>
      <w:r w:rsidR="002A2679">
        <w:t xml:space="preserve">). </w:t>
      </w:r>
      <w:r w:rsidR="000A5982">
        <w:t xml:space="preserve">Viability of mouse pre-OC after treatment with indicated concentrations of LCL-161 (C) or birinapant (D) in combination with indicated concentrations of TNF for 18 h, shown for 3 donors. Viability was measured by the Cell Titer Glo assay. </w:t>
      </w:r>
      <w:r w:rsidR="002A2679">
        <w:t xml:space="preserve">Individual donors, average and standard deviations are shown. Asterisk denotes statistical significance as compared to </w:t>
      </w:r>
      <w:r w:rsidR="007C35CF">
        <w:t>untreated</w:t>
      </w:r>
      <w:r w:rsidR="002A2679">
        <w:t xml:space="preserve"> control</w:t>
      </w:r>
      <w:r w:rsidR="007C35CF">
        <w:t>s</w:t>
      </w:r>
      <w:r w:rsidR="002A2679">
        <w:t xml:space="preserve"> (p&lt;0.05, One-way ANOVA). </w:t>
      </w:r>
    </w:p>
    <w:p w14:paraId="14D78F09" w14:textId="77777777" w:rsidR="00D41DB0" w:rsidRDefault="00D41DB0" w:rsidP="0084577F">
      <w:pPr>
        <w:ind w:left="0" w:firstLine="0"/>
      </w:pPr>
    </w:p>
    <w:p w14:paraId="74A2ADC8" w14:textId="35E7B355" w:rsidR="00385551" w:rsidRDefault="00644FB7" w:rsidP="0084577F">
      <w:pPr>
        <w:ind w:left="0" w:firstLine="0"/>
      </w:pPr>
      <w:r w:rsidRPr="00526743">
        <w:rPr>
          <w:b/>
          <w:bCs/>
        </w:rPr>
        <w:lastRenderedPageBreak/>
        <w:t>Supplementary</w:t>
      </w:r>
      <w:r w:rsidR="00526743" w:rsidRPr="00526743">
        <w:rPr>
          <w:b/>
          <w:bCs/>
        </w:rPr>
        <w:t xml:space="preserve"> S</w:t>
      </w:r>
      <w:r w:rsidR="00613FB1">
        <w:rPr>
          <w:b/>
          <w:bCs/>
        </w:rPr>
        <w:t>5</w:t>
      </w:r>
      <w:r w:rsidRPr="00526743">
        <w:t>.</w:t>
      </w:r>
      <w:r w:rsidR="00526743" w:rsidRPr="00526743">
        <w:t xml:space="preserve"> </w:t>
      </w:r>
      <w:r w:rsidR="00526743" w:rsidRPr="00526743">
        <w:rPr>
          <w:b/>
          <w:bCs/>
        </w:rPr>
        <w:t xml:space="preserve">Birinapant or LCL-161 </w:t>
      </w:r>
      <w:r w:rsidR="0084577F">
        <w:rPr>
          <w:b/>
          <w:bCs/>
        </w:rPr>
        <w:t>effect on multiple myeloma driven osteoclastogenesis and multiple myeloma cell lines</w:t>
      </w:r>
      <w:r w:rsidR="00526743">
        <w:t xml:space="preserve">. </w:t>
      </w:r>
      <w:r w:rsidR="008C58B0" w:rsidRPr="00282609">
        <w:rPr>
          <w:noProof w:val="0"/>
          <w:lang w:val="en-US"/>
        </w:rPr>
        <w:t>CD14</w:t>
      </w:r>
      <w:r w:rsidR="008C58B0" w:rsidRPr="00282609">
        <w:rPr>
          <w:noProof w:val="0"/>
          <w:vertAlign w:val="superscript"/>
          <w:lang w:val="en-US"/>
        </w:rPr>
        <w:t>+</w:t>
      </w:r>
      <w:r w:rsidR="008C58B0" w:rsidRPr="00282609">
        <w:rPr>
          <w:noProof w:val="0"/>
          <w:lang w:val="en-US"/>
        </w:rPr>
        <w:t xml:space="preserve">-monocytes were </w:t>
      </w:r>
      <w:r w:rsidR="008C58B0">
        <w:rPr>
          <w:noProof w:val="0"/>
          <w:lang w:val="en-US"/>
        </w:rPr>
        <w:t xml:space="preserve">differentiated in OC differentiation medium supplemented with 5% bone marrow aspirate from myeloma patients or healthy </w:t>
      </w:r>
      <w:r w:rsidR="00162314">
        <w:rPr>
          <w:noProof w:val="0"/>
          <w:lang w:val="en-US"/>
        </w:rPr>
        <w:t>controls and</w:t>
      </w:r>
      <w:r w:rsidR="008C58B0">
        <w:rPr>
          <w:noProof w:val="0"/>
          <w:lang w:val="en-US"/>
        </w:rPr>
        <w:t xml:space="preserve"> </w:t>
      </w:r>
      <w:r w:rsidR="008C58B0" w:rsidRPr="00282609">
        <w:rPr>
          <w:noProof w:val="0"/>
          <w:lang w:val="en-US"/>
        </w:rPr>
        <w:t xml:space="preserve">treated with LCL-161 </w:t>
      </w:r>
      <w:r w:rsidR="008C58B0">
        <w:rPr>
          <w:noProof w:val="0"/>
          <w:lang w:val="en-US"/>
        </w:rPr>
        <w:t>or</w:t>
      </w:r>
      <w:r w:rsidR="008C58B0" w:rsidRPr="00282609">
        <w:rPr>
          <w:noProof w:val="0"/>
          <w:lang w:val="en-US"/>
        </w:rPr>
        <w:t xml:space="preserve"> birinapant at indicated concentrations throughout OC</w:t>
      </w:r>
      <w:r w:rsidR="008C58B0">
        <w:rPr>
          <w:noProof w:val="0"/>
          <w:lang w:val="en-US"/>
        </w:rPr>
        <w:t xml:space="preserve"> differentiation. TRAP</w:t>
      </w:r>
      <w:r w:rsidR="008C58B0" w:rsidRPr="00A25CAE">
        <w:rPr>
          <w:noProof w:val="0"/>
          <w:vertAlign w:val="superscript"/>
          <w:lang w:val="en-US"/>
        </w:rPr>
        <w:t>+</w:t>
      </w:r>
      <w:r w:rsidR="008C58B0">
        <w:rPr>
          <w:noProof w:val="0"/>
          <w:lang w:val="en-US"/>
        </w:rPr>
        <w:t xml:space="preserve"> cells with 3 or more nuclei were counted as OC (A)</w:t>
      </w:r>
      <w:r w:rsidR="00613FB1">
        <w:rPr>
          <w:noProof w:val="0"/>
          <w:lang w:val="en-US"/>
        </w:rPr>
        <w:t>, shown for 5 donors</w:t>
      </w:r>
      <w:r w:rsidR="008C58B0">
        <w:rPr>
          <w:noProof w:val="0"/>
          <w:lang w:val="en-US"/>
        </w:rPr>
        <w:t xml:space="preserve">. </w:t>
      </w:r>
      <w:r w:rsidR="001435F2">
        <w:t xml:space="preserve">Individual donors, average and </w:t>
      </w:r>
      <w:r w:rsidR="0036511A">
        <w:t>SD</w:t>
      </w:r>
      <w:r w:rsidR="001435F2">
        <w:t xml:space="preserve"> are shown.</w:t>
      </w:r>
      <w:r w:rsidR="001435F2">
        <w:rPr>
          <w:noProof w:val="0"/>
          <w:lang w:val="en-US"/>
        </w:rPr>
        <w:t xml:space="preserve"> </w:t>
      </w:r>
      <w:r w:rsidR="0084577F">
        <w:rPr>
          <w:noProof w:val="0"/>
          <w:lang w:val="en-US"/>
        </w:rPr>
        <w:t xml:space="preserve">Single asterisk </w:t>
      </w:r>
      <w:r w:rsidR="001435F2">
        <w:rPr>
          <w:noProof w:val="0"/>
          <w:lang w:val="en-US"/>
        </w:rPr>
        <w:t>denotes statistical significance compared to individual controls. D</w:t>
      </w:r>
      <w:r w:rsidR="0084577F">
        <w:rPr>
          <w:noProof w:val="0"/>
          <w:lang w:val="en-US"/>
        </w:rPr>
        <w:t xml:space="preserve">ouble asterisk </w:t>
      </w:r>
      <w:r w:rsidR="001435F2">
        <w:rPr>
          <w:noProof w:val="0"/>
          <w:lang w:val="en-US"/>
        </w:rPr>
        <w:t xml:space="preserve">denotes statistical significance as </w:t>
      </w:r>
      <w:r w:rsidR="0084577F">
        <w:rPr>
          <w:noProof w:val="0"/>
          <w:lang w:val="en-US"/>
        </w:rPr>
        <w:t>compared to no aspirate (</w:t>
      </w:r>
      <w:proofErr w:type="spellStart"/>
      <w:r w:rsidR="0084577F">
        <w:rPr>
          <w:noProof w:val="0"/>
          <w:lang w:val="en-US"/>
        </w:rPr>
        <w:t>w.o.</w:t>
      </w:r>
      <w:proofErr w:type="spellEnd"/>
      <w:r w:rsidR="0084577F">
        <w:rPr>
          <w:noProof w:val="0"/>
          <w:lang w:val="en-US"/>
        </w:rPr>
        <w:t xml:space="preserve"> aspirate)</w:t>
      </w:r>
      <w:r w:rsidR="001435F2">
        <w:rPr>
          <w:noProof w:val="0"/>
          <w:lang w:val="en-US"/>
        </w:rPr>
        <w:t xml:space="preserve"> (p&lt;0.05, One-way ANOVA)</w:t>
      </w:r>
      <w:r w:rsidR="0084577F">
        <w:rPr>
          <w:noProof w:val="0"/>
          <w:lang w:val="en-US"/>
        </w:rPr>
        <w:t xml:space="preserve">. </w:t>
      </w:r>
      <w:r w:rsidR="004345A3">
        <w:t>The multiple myeloma cell lines INA-6, JJN-3 and RPMI-8226 were treated with the indicated doses of birinapant (</w:t>
      </w:r>
      <w:r w:rsidR="00D34F70">
        <w:t>B</w:t>
      </w:r>
      <w:r w:rsidR="004345A3">
        <w:t>-</w:t>
      </w:r>
      <w:r w:rsidR="00D34F70">
        <w:t>D</w:t>
      </w:r>
      <w:r w:rsidR="004345A3">
        <w:t>) or LCL-161 (</w:t>
      </w:r>
      <w:r w:rsidR="00D34F70">
        <w:t>E</w:t>
      </w:r>
      <w:r w:rsidR="004345A3">
        <w:t>-</w:t>
      </w:r>
      <w:r w:rsidR="00D34F70">
        <w:t>G</w:t>
      </w:r>
      <w:r w:rsidR="004345A3">
        <w:t>) for 18 hours before cell viability was measured by Cell Titer</w:t>
      </w:r>
      <w:r w:rsidR="0081500A">
        <w:t xml:space="preserve"> Proliferation </w:t>
      </w:r>
      <w:r w:rsidR="004345A3">
        <w:t xml:space="preserve">Assay. Average and </w:t>
      </w:r>
      <w:r w:rsidR="0036511A">
        <w:t>SD</w:t>
      </w:r>
      <w:r w:rsidR="004345A3">
        <w:t xml:space="preserve"> from 3 independent experiments are shown, and we observed no significant differences</w:t>
      </w:r>
      <w:r w:rsidR="001435F2">
        <w:t xml:space="preserve"> (p&lt;0.05, Student’s T-Test)</w:t>
      </w:r>
      <w:r w:rsidR="0084577F">
        <w:t>.</w:t>
      </w:r>
    </w:p>
    <w:p w14:paraId="0903B255" w14:textId="1191E241" w:rsidR="00516012" w:rsidRDefault="00516012" w:rsidP="0084577F">
      <w:pPr>
        <w:ind w:left="0" w:firstLine="0"/>
      </w:pPr>
      <w:r>
        <w:rPr>
          <w:b/>
          <w:bCs/>
        </w:rPr>
        <w:t>Supplementary Figure S6</w:t>
      </w:r>
      <w:r w:rsidR="002F2A1A">
        <w:t>.</w:t>
      </w:r>
      <w:r w:rsidR="0027614B">
        <w:t xml:space="preserve"> </w:t>
      </w:r>
      <w:r w:rsidR="0027614B" w:rsidRPr="0027614B">
        <w:rPr>
          <w:b/>
          <w:bCs/>
        </w:rPr>
        <w:t>Donors and full immunoblots for SM effect on cIAP1 and XIAP protein levels</w:t>
      </w:r>
      <w:r w:rsidR="0027614B">
        <w:t>.</w:t>
      </w:r>
      <w:r w:rsidR="002F2A1A">
        <w:t xml:space="preserve"> </w:t>
      </w:r>
      <w:r>
        <w:t>Pre-OCs were treated with 1 µM birinapant or LCL-161 at indicated time points, and cell lysates were analyzed for cIAP1</w:t>
      </w:r>
      <w:r w:rsidR="001435F2">
        <w:t xml:space="preserve"> </w:t>
      </w:r>
      <w:r>
        <w:t xml:space="preserve">and XIAP protein levels by immunoblotting. </w:t>
      </w:r>
      <w:r w:rsidR="001435F2">
        <w:t xml:space="preserve">GAPDH as loading control for donor1, </w:t>
      </w:r>
      <w:r>
        <w:t>β-tubulin as loading control</w:t>
      </w:r>
      <w:r w:rsidR="001435F2">
        <w:t xml:space="preserve"> for donor 2 and 3. </w:t>
      </w:r>
      <w:r w:rsidR="00C80BD1">
        <w:t xml:space="preserve">Donor 1 is same as in Figure 2A. </w:t>
      </w:r>
    </w:p>
    <w:p w14:paraId="435638D9" w14:textId="30A34273" w:rsidR="00335EAE" w:rsidRPr="00335EAE" w:rsidRDefault="00335EAE" w:rsidP="0084577F">
      <w:pPr>
        <w:ind w:left="0" w:firstLine="0"/>
        <w:rPr>
          <w:b/>
          <w:bCs/>
        </w:rPr>
      </w:pPr>
      <w:r>
        <w:rPr>
          <w:b/>
          <w:bCs/>
        </w:rPr>
        <w:t>Supplementary Figure S7</w:t>
      </w:r>
      <w:r w:rsidR="002F2A1A">
        <w:rPr>
          <w:b/>
          <w:bCs/>
        </w:rPr>
        <w:t>.</w:t>
      </w:r>
      <w:r w:rsidR="0027614B">
        <w:rPr>
          <w:b/>
          <w:bCs/>
        </w:rPr>
        <w:t xml:space="preserve"> Donors and full immunoblots for birinapant activation of apoptosis and necroptosis. </w:t>
      </w:r>
      <w:r w:rsidR="0036511A">
        <w:sym w:font="Symbol" w:char="F062"/>
      </w:r>
      <w:r w:rsidR="001435F2">
        <w:t>-actin as loading control for donor 1, membrane 2 and GAPDH as loading control for donor 7</w:t>
      </w:r>
      <w:r w:rsidR="00007C30">
        <w:t xml:space="preserve">, membrane 2. Individual membranes are shown. </w:t>
      </w:r>
      <w:r>
        <w:t>Donor 1 is same as in Figure 3C. Quantification of p-RIPK1, p-RIPK3, caspase 3 p17 and caspase 8 p18 levels normalized to the loading control is indicated below the respective blots.</w:t>
      </w:r>
    </w:p>
    <w:sectPr w:rsidR="00335EAE" w:rsidRPr="00335EAE" w:rsidSect="008328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F6987" w14:textId="77777777" w:rsidR="00B272BA" w:rsidRDefault="00B272BA" w:rsidP="00B34834">
      <w:pPr>
        <w:spacing w:after="0" w:line="240" w:lineRule="auto"/>
      </w:pPr>
      <w:r>
        <w:separator/>
      </w:r>
    </w:p>
  </w:endnote>
  <w:endnote w:type="continuationSeparator" w:id="0">
    <w:p w14:paraId="7716D5C5" w14:textId="77777777" w:rsidR="00B272BA" w:rsidRDefault="00B272BA" w:rsidP="00B3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5DBEB" w14:textId="77777777" w:rsidR="0001612E" w:rsidRDefault="000161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4B275" w14:textId="77777777" w:rsidR="0001612E" w:rsidRDefault="000161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6677F" w14:textId="77777777" w:rsidR="0001612E" w:rsidRDefault="000161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1A9D0" w14:textId="77777777" w:rsidR="00B272BA" w:rsidRDefault="00B272BA" w:rsidP="00B34834">
      <w:pPr>
        <w:spacing w:after="0" w:line="240" w:lineRule="auto"/>
      </w:pPr>
      <w:r>
        <w:separator/>
      </w:r>
    </w:p>
  </w:footnote>
  <w:footnote w:type="continuationSeparator" w:id="0">
    <w:p w14:paraId="2794FF19" w14:textId="77777777" w:rsidR="00B272BA" w:rsidRDefault="00B272BA" w:rsidP="00B34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47D28" w14:textId="77777777" w:rsidR="0001612E" w:rsidRDefault="000161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F165" w14:textId="0CCB71CA" w:rsidR="00B34834" w:rsidRDefault="00B34834">
    <w:pPr>
      <w:pStyle w:val="Header"/>
    </w:pPr>
    <w:proofErr w:type="spellStart"/>
    <w:r w:rsidRPr="00282609">
      <w:rPr>
        <w:noProof w:val="0"/>
        <w:lang w:val="en-US"/>
      </w:rPr>
      <w:t>Smac</w:t>
    </w:r>
    <w:proofErr w:type="spellEnd"/>
    <w:r w:rsidRPr="00282609">
      <w:rPr>
        <w:noProof w:val="0"/>
        <w:lang w:val="en-US"/>
      </w:rPr>
      <w:t xml:space="preserve">-mimetics </w:t>
    </w:r>
    <w:r>
      <w:rPr>
        <w:noProof w:val="0"/>
        <w:lang w:val="en-US"/>
      </w:rPr>
      <w:t>reduce osteoclast numbers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F7ECF" w14:textId="77777777" w:rsidR="0001612E" w:rsidRDefault="000161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1B"/>
    <w:rsid w:val="00007C30"/>
    <w:rsid w:val="0001612E"/>
    <w:rsid w:val="00017805"/>
    <w:rsid w:val="000205A6"/>
    <w:rsid w:val="000215DD"/>
    <w:rsid w:val="00034FFD"/>
    <w:rsid w:val="00055D18"/>
    <w:rsid w:val="00056237"/>
    <w:rsid w:val="00074A22"/>
    <w:rsid w:val="000856C2"/>
    <w:rsid w:val="000A0DF9"/>
    <w:rsid w:val="000A1826"/>
    <w:rsid w:val="000A5982"/>
    <w:rsid w:val="000B0078"/>
    <w:rsid w:val="001435F2"/>
    <w:rsid w:val="00153B89"/>
    <w:rsid w:val="00156E6F"/>
    <w:rsid w:val="00162314"/>
    <w:rsid w:val="00162B19"/>
    <w:rsid w:val="001727E0"/>
    <w:rsid w:val="0018203D"/>
    <w:rsid w:val="0019011D"/>
    <w:rsid w:val="001D47D9"/>
    <w:rsid w:val="001E1167"/>
    <w:rsid w:val="00201585"/>
    <w:rsid w:val="00260094"/>
    <w:rsid w:val="0027614B"/>
    <w:rsid w:val="002A2679"/>
    <w:rsid w:val="002F2A1A"/>
    <w:rsid w:val="002F421C"/>
    <w:rsid w:val="003135DC"/>
    <w:rsid w:val="0032673D"/>
    <w:rsid w:val="00335EAE"/>
    <w:rsid w:val="003539B5"/>
    <w:rsid w:val="0036354D"/>
    <w:rsid w:val="0036511A"/>
    <w:rsid w:val="003721DE"/>
    <w:rsid w:val="00385551"/>
    <w:rsid w:val="00387FCA"/>
    <w:rsid w:val="003B747E"/>
    <w:rsid w:val="003C1964"/>
    <w:rsid w:val="003C1E5B"/>
    <w:rsid w:val="003E3014"/>
    <w:rsid w:val="004345A3"/>
    <w:rsid w:val="00447F4C"/>
    <w:rsid w:val="00476671"/>
    <w:rsid w:val="004869DF"/>
    <w:rsid w:val="004C604B"/>
    <w:rsid w:val="00512748"/>
    <w:rsid w:val="00516012"/>
    <w:rsid w:val="00526743"/>
    <w:rsid w:val="00531ADC"/>
    <w:rsid w:val="00553A05"/>
    <w:rsid w:val="00560B9F"/>
    <w:rsid w:val="0057736E"/>
    <w:rsid w:val="005776D4"/>
    <w:rsid w:val="005C19C2"/>
    <w:rsid w:val="00613FB1"/>
    <w:rsid w:val="00644FB7"/>
    <w:rsid w:val="00663B96"/>
    <w:rsid w:val="00675435"/>
    <w:rsid w:val="0068307A"/>
    <w:rsid w:val="006A2A54"/>
    <w:rsid w:val="006B06CA"/>
    <w:rsid w:val="006D481B"/>
    <w:rsid w:val="00714658"/>
    <w:rsid w:val="00761CFE"/>
    <w:rsid w:val="00794463"/>
    <w:rsid w:val="007B5A1C"/>
    <w:rsid w:val="007C35CF"/>
    <w:rsid w:val="007D0FA3"/>
    <w:rsid w:val="00807A0C"/>
    <w:rsid w:val="0081500A"/>
    <w:rsid w:val="00832874"/>
    <w:rsid w:val="0084577F"/>
    <w:rsid w:val="00895E04"/>
    <w:rsid w:val="008C58B0"/>
    <w:rsid w:val="008E13F1"/>
    <w:rsid w:val="009239E3"/>
    <w:rsid w:val="00931F11"/>
    <w:rsid w:val="009B3B41"/>
    <w:rsid w:val="009C1517"/>
    <w:rsid w:val="009E5A65"/>
    <w:rsid w:val="00A33C4B"/>
    <w:rsid w:val="00A40B1F"/>
    <w:rsid w:val="00A44689"/>
    <w:rsid w:val="00A736C8"/>
    <w:rsid w:val="00A836A8"/>
    <w:rsid w:val="00AB21E2"/>
    <w:rsid w:val="00AF4B59"/>
    <w:rsid w:val="00B06A3C"/>
    <w:rsid w:val="00B115E8"/>
    <w:rsid w:val="00B272BA"/>
    <w:rsid w:val="00B34834"/>
    <w:rsid w:val="00B62FF4"/>
    <w:rsid w:val="00BC4A69"/>
    <w:rsid w:val="00BD5054"/>
    <w:rsid w:val="00C058CB"/>
    <w:rsid w:val="00C2256E"/>
    <w:rsid w:val="00C80BD1"/>
    <w:rsid w:val="00C832B6"/>
    <w:rsid w:val="00C9230A"/>
    <w:rsid w:val="00D327D7"/>
    <w:rsid w:val="00D34F70"/>
    <w:rsid w:val="00D41DB0"/>
    <w:rsid w:val="00D736C9"/>
    <w:rsid w:val="00DE2C84"/>
    <w:rsid w:val="00E00F47"/>
    <w:rsid w:val="00E54A4D"/>
    <w:rsid w:val="00E55EDF"/>
    <w:rsid w:val="00F13102"/>
    <w:rsid w:val="00F1616A"/>
    <w:rsid w:val="00F331A5"/>
    <w:rsid w:val="00F5541F"/>
    <w:rsid w:val="00FB4884"/>
    <w:rsid w:val="00FC5675"/>
    <w:rsid w:val="00FC5EA2"/>
    <w:rsid w:val="00FF5FE1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AED1805"/>
  <w15:chartTrackingRefBased/>
  <w15:docId w15:val="{91379BFA-AF6B-4D43-BEC3-B25EBC1A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81B"/>
    <w:pPr>
      <w:widowControl w:val="0"/>
      <w:autoSpaceDE w:val="0"/>
      <w:autoSpaceDN w:val="0"/>
      <w:adjustRightInd w:val="0"/>
      <w:spacing w:after="160" w:line="360" w:lineRule="auto"/>
      <w:ind w:left="640" w:hanging="640"/>
    </w:pPr>
    <w:rPr>
      <w:rFonts w:ascii="Times New Roman" w:hAnsi="Times New Roman" w:cs="Times New Roman"/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81B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81B"/>
    <w:rPr>
      <w:rFonts w:ascii="Times New Roman" w:hAnsi="Times New Roman" w:cs="Times New Roman"/>
      <w:noProof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D4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81B"/>
    <w:rPr>
      <w:rFonts w:ascii="Times New Roman" w:hAnsi="Times New Roman" w:cs="Times New Roman"/>
      <w:noProof/>
      <w:sz w:val="20"/>
      <w:szCs w:val="20"/>
      <w:lang w:val="en-GB"/>
    </w:rPr>
  </w:style>
  <w:style w:type="paragraph" w:customStyle="1" w:styleId="Default">
    <w:name w:val="Default"/>
    <w:rsid w:val="006D481B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81B"/>
    <w:rPr>
      <w:rFonts w:ascii="Times New Roman" w:hAnsi="Times New Roman" w:cs="Times New Roman"/>
      <w:b/>
      <w:bCs/>
      <w:noProof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D481B"/>
    <w:rPr>
      <w:rFonts w:ascii="Times New Roman" w:hAnsi="Times New Roman" w:cs="Times New Roman"/>
      <w:noProof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34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834"/>
    <w:rPr>
      <w:rFonts w:ascii="Times New Roman" w:hAnsi="Times New Roman" w:cs="Times New Roman"/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4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834"/>
    <w:rPr>
      <w:rFonts w:ascii="Times New Roman" w:hAnsi="Times New Roman" w:cs="Times New Roman"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C2E22F-FFB8-B245-AD0A-263D4052B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Starheim</dc:creator>
  <cp:keywords/>
  <dc:description/>
  <cp:lastModifiedBy>Kristian Starheim</cp:lastModifiedBy>
  <cp:revision>5</cp:revision>
  <dcterms:created xsi:type="dcterms:W3CDTF">2020-11-18T14:13:00Z</dcterms:created>
  <dcterms:modified xsi:type="dcterms:W3CDTF">2020-11-18T14:34:00Z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