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5AD8C" w14:textId="2AB9C130" w:rsidR="00C11D7A" w:rsidRPr="00E12091" w:rsidRDefault="00E12091" w:rsidP="00000AD2">
      <w:pPr>
        <w:widowControl w:val="0"/>
        <w:spacing w:line="480" w:lineRule="auto"/>
        <w:jc w:val="both"/>
        <w:rPr>
          <w:rFonts w:cstheme="minorHAnsi"/>
          <w:b/>
          <w:bCs/>
          <w:sz w:val="22"/>
        </w:rPr>
      </w:pPr>
      <w:r w:rsidRPr="00E12091">
        <w:rPr>
          <w:rFonts w:cstheme="minorHAnsi"/>
          <w:b/>
          <w:bCs/>
          <w:sz w:val="22"/>
        </w:rPr>
        <w:t xml:space="preserve">Cyclin-dependent kinase inhibitors exert distinct effects on patient-derived 2D and 3D glioblastoma cell culture models </w:t>
      </w:r>
    </w:p>
    <w:p w14:paraId="2C5F9E90" w14:textId="60F7527C" w:rsidR="00C11D7A" w:rsidRPr="00E12091" w:rsidRDefault="008C0CCA" w:rsidP="00000AD2">
      <w:pPr>
        <w:widowControl w:val="0"/>
        <w:spacing w:line="480" w:lineRule="auto"/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 xml:space="preserve">Christin Riess, Dirk Koczan, </w:t>
      </w:r>
      <w:proofErr w:type="spellStart"/>
      <w:r>
        <w:rPr>
          <w:rFonts w:cstheme="minorHAnsi"/>
          <w:sz w:val="22"/>
        </w:rPr>
        <w:t>Björn</w:t>
      </w:r>
      <w:proofErr w:type="spellEnd"/>
      <w:r>
        <w:rPr>
          <w:rFonts w:cstheme="minorHAnsi"/>
          <w:sz w:val="22"/>
        </w:rPr>
        <w:t xml:space="preserve"> Schneider, Charlotte </w:t>
      </w:r>
      <w:proofErr w:type="spellStart"/>
      <w:r>
        <w:rPr>
          <w:rFonts w:cstheme="minorHAnsi"/>
          <w:sz w:val="22"/>
        </w:rPr>
        <w:t>Linke</w:t>
      </w:r>
      <w:proofErr w:type="spellEnd"/>
      <w:r w:rsidRPr="008C0CCA">
        <w:rPr>
          <w:rFonts w:cstheme="minorHAnsi"/>
          <w:sz w:val="22"/>
        </w:rPr>
        <w:t>, Katharina del M</w:t>
      </w:r>
      <w:r>
        <w:rPr>
          <w:rFonts w:cstheme="minorHAnsi"/>
          <w:sz w:val="22"/>
        </w:rPr>
        <w:t>oral, Carl Friedrich Classen</w:t>
      </w:r>
      <w:r w:rsidRPr="008C0CCA">
        <w:rPr>
          <w:rFonts w:cstheme="minorHAnsi"/>
          <w:sz w:val="22"/>
        </w:rPr>
        <w:t xml:space="preserve">, Claudia Maletzki </w:t>
      </w:r>
    </w:p>
    <w:p w14:paraId="6B52D7D2" w14:textId="77777777" w:rsidR="00C11D7A" w:rsidRPr="00E12091" w:rsidRDefault="00C11D7A" w:rsidP="005E1CB7">
      <w:pPr>
        <w:widowControl w:val="0"/>
        <w:spacing w:line="360" w:lineRule="auto"/>
        <w:jc w:val="both"/>
        <w:rPr>
          <w:rFonts w:cstheme="minorHAnsi"/>
          <w:b/>
          <w:bCs/>
          <w:color w:val="000000" w:themeColor="text1"/>
          <w:sz w:val="22"/>
        </w:rPr>
      </w:pPr>
    </w:p>
    <w:p w14:paraId="642E8780" w14:textId="77777777" w:rsidR="00C11D7A" w:rsidRPr="00E12091" w:rsidRDefault="00C11D7A" w:rsidP="00000AD2">
      <w:pPr>
        <w:widowControl w:val="0"/>
        <w:spacing w:line="480" w:lineRule="auto"/>
        <w:jc w:val="both"/>
        <w:rPr>
          <w:rFonts w:cstheme="minorHAnsi"/>
          <w:b/>
          <w:bCs/>
          <w:color w:val="000000" w:themeColor="text1"/>
          <w:sz w:val="22"/>
        </w:rPr>
      </w:pPr>
      <w:r w:rsidRPr="00E12091">
        <w:rPr>
          <w:rFonts w:cstheme="minorHAnsi"/>
          <w:b/>
          <w:bCs/>
          <w:color w:val="000000" w:themeColor="text1"/>
          <w:sz w:val="22"/>
        </w:rPr>
        <w:t>Supplementary Information</w:t>
      </w:r>
    </w:p>
    <w:p w14:paraId="6E8CCE43" w14:textId="1A6FDEB5" w:rsidR="00C11D7A" w:rsidRPr="00E12091" w:rsidRDefault="0043269C" w:rsidP="00000AD2">
      <w:pPr>
        <w:widowControl w:val="0"/>
        <w:spacing w:line="480" w:lineRule="auto"/>
        <w:jc w:val="both"/>
        <w:rPr>
          <w:rFonts w:cstheme="minorHAnsi"/>
          <w:color w:val="000000" w:themeColor="text1"/>
          <w:sz w:val="22"/>
        </w:rPr>
      </w:pPr>
      <w:r w:rsidRPr="00E12091">
        <w:rPr>
          <w:rFonts w:cstheme="minorHAnsi"/>
          <w:color w:val="000000" w:themeColor="text1"/>
          <w:sz w:val="22"/>
        </w:rPr>
        <w:t xml:space="preserve">Supplementary </w:t>
      </w:r>
      <w:r w:rsidR="00052036" w:rsidRPr="00E12091">
        <w:rPr>
          <w:rFonts w:cstheme="minorHAnsi"/>
          <w:color w:val="000000" w:themeColor="text1"/>
          <w:sz w:val="22"/>
        </w:rPr>
        <w:t>Table</w:t>
      </w:r>
      <w:r w:rsidRPr="00E12091">
        <w:rPr>
          <w:rFonts w:cstheme="minorHAnsi"/>
          <w:color w:val="000000" w:themeColor="text1"/>
          <w:sz w:val="22"/>
        </w:rPr>
        <w:t xml:space="preserve"> </w:t>
      </w:r>
      <w:r w:rsidR="00975FD0" w:rsidRPr="00E12091">
        <w:rPr>
          <w:rFonts w:cstheme="minorHAnsi"/>
          <w:color w:val="000000" w:themeColor="text1"/>
          <w:sz w:val="22"/>
        </w:rPr>
        <w:t>Legends</w:t>
      </w:r>
      <w:r w:rsidR="00C11D7A" w:rsidRPr="00E12091">
        <w:rPr>
          <w:rFonts w:cstheme="minorHAnsi"/>
          <w:b/>
          <w:bCs/>
          <w:color w:val="000000" w:themeColor="text1"/>
          <w:sz w:val="22"/>
        </w:rPr>
        <w:t xml:space="preserve"> </w:t>
      </w:r>
    </w:p>
    <w:p w14:paraId="2AD1C0C6" w14:textId="77777777" w:rsidR="00C11D7A" w:rsidRPr="00E12091" w:rsidRDefault="00C11D7A" w:rsidP="005E1CB7">
      <w:pPr>
        <w:widowControl w:val="0"/>
        <w:spacing w:line="360" w:lineRule="auto"/>
        <w:jc w:val="both"/>
        <w:rPr>
          <w:rFonts w:cstheme="minorHAnsi"/>
          <w:b/>
          <w:bCs/>
          <w:color w:val="000000" w:themeColor="text1"/>
          <w:sz w:val="22"/>
        </w:rPr>
      </w:pPr>
    </w:p>
    <w:p w14:paraId="4BDD3D14" w14:textId="5ED0D6F8" w:rsidR="00C11D7A" w:rsidRPr="00E12091" w:rsidRDefault="00C11D7A" w:rsidP="00000AD2">
      <w:pPr>
        <w:widowControl w:val="0"/>
        <w:spacing w:line="480" w:lineRule="auto"/>
        <w:jc w:val="both"/>
        <w:rPr>
          <w:rFonts w:cstheme="minorHAnsi"/>
          <w:color w:val="000000" w:themeColor="text1"/>
          <w:sz w:val="22"/>
        </w:rPr>
      </w:pPr>
      <w:r w:rsidRPr="00E12091">
        <w:rPr>
          <w:rFonts w:cstheme="minorHAnsi"/>
          <w:b/>
          <w:bCs/>
          <w:color w:val="000000" w:themeColor="text1"/>
          <w:sz w:val="22"/>
        </w:rPr>
        <w:t>Supplementary Table 1</w:t>
      </w:r>
      <w:r w:rsidR="008C0CCA">
        <w:rPr>
          <w:rFonts w:cstheme="minorHAnsi"/>
          <w:b/>
          <w:bCs/>
          <w:color w:val="000000" w:themeColor="text1"/>
          <w:sz w:val="22"/>
        </w:rPr>
        <w:t xml:space="preserve"> (</w:t>
      </w:r>
      <w:proofErr w:type="spellStart"/>
      <w:r w:rsidR="008C0CCA">
        <w:rPr>
          <w:rFonts w:cstheme="minorHAnsi"/>
          <w:b/>
          <w:bCs/>
          <w:color w:val="000000" w:themeColor="text1"/>
          <w:sz w:val="22"/>
        </w:rPr>
        <w:t>STable</w:t>
      </w:r>
      <w:proofErr w:type="spellEnd"/>
      <w:r w:rsidR="008C0CCA">
        <w:rPr>
          <w:rFonts w:cstheme="minorHAnsi"/>
          <w:b/>
          <w:bCs/>
          <w:color w:val="000000" w:themeColor="text1"/>
          <w:sz w:val="22"/>
        </w:rPr>
        <w:t xml:space="preserve"> 1)</w:t>
      </w:r>
      <w:r w:rsidRPr="00E12091">
        <w:rPr>
          <w:rFonts w:cstheme="minorHAnsi"/>
          <w:b/>
          <w:bCs/>
          <w:color w:val="000000" w:themeColor="text1"/>
          <w:sz w:val="22"/>
        </w:rPr>
        <w:t xml:space="preserve">. </w:t>
      </w:r>
      <w:r w:rsidR="008C0CCA" w:rsidRPr="008C0CCA">
        <w:rPr>
          <w:rFonts w:cstheme="minorHAnsi"/>
          <w:bCs/>
          <w:color w:val="000000" w:themeColor="text1"/>
          <w:sz w:val="22"/>
        </w:rPr>
        <w:t>Bliss independence calculation.</w:t>
      </w:r>
      <w:r w:rsidR="008C0CCA" w:rsidRPr="008C0CCA">
        <w:rPr>
          <w:rFonts w:cstheme="minorHAnsi"/>
          <w:b/>
          <w:bCs/>
          <w:color w:val="000000" w:themeColor="text1"/>
          <w:sz w:val="22"/>
        </w:rPr>
        <w:t xml:space="preserve"> </w:t>
      </w:r>
      <w:r w:rsidR="008C0CCA" w:rsidRPr="008C0CCA">
        <w:rPr>
          <w:rFonts w:cstheme="minorHAnsi"/>
          <w:color w:val="000000" w:themeColor="text1"/>
          <w:sz w:val="22"/>
        </w:rPr>
        <w:t>The Bliss independence model was calculated based on the 2x72h viability assay on simultaneous and sequential treatment (N=5). If Δ&gt;1, substances were synergistic (green pattern); Δ=1, substances were additive (yellow pattern); Δ&lt;1, substances were antagonistic (orange and red pattern). Grey pattern were determined as “not determined”. Image was created with Biorender.com.</w:t>
      </w:r>
    </w:p>
    <w:p w14:paraId="017CF73F" w14:textId="77777777" w:rsidR="00C11D7A" w:rsidRPr="00E12091" w:rsidRDefault="00C11D7A" w:rsidP="005E1CB7">
      <w:pPr>
        <w:widowControl w:val="0"/>
        <w:spacing w:line="360" w:lineRule="auto"/>
        <w:jc w:val="both"/>
        <w:rPr>
          <w:rFonts w:cstheme="minorHAnsi"/>
          <w:color w:val="000000" w:themeColor="text1"/>
          <w:sz w:val="22"/>
        </w:rPr>
      </w:pPr>
    </w:p>
    <w:p w14:paraId="57A825E5" w14:textId="1118CE97" w:rsidR="00C27531" w:rsidRDefault="00C11D7A" w:rsidP="00000AD2">
      <w:pPr>
        <w:widowControl w:val="0"/>
        <w:spacing w:line="480" w:lineRule="auto"/>
        <w:jc w:val="both"/>
        <w:rPr>
          <w:rFonts w:cstheme="minorHAnsi"/>
          <w:b/>
          <w:bCs/>
          <w:color w:val="000000" w:themeColor="text1"/>
          <w:sz w:val="22"/>
        </w:rPr>
      </w:pPr>
      <w:r w:rsidRPr="00E12091">
        <w:rPr>
          <w:rFonts w:cstheme="minorHAnsi"/>
          <w:b/>
          <w:bCs/>
          <w:color w:val="000000" w:themeColor="text1"/>
          <w:sz w:val="22"/>
        </w:rPr>
        <w:t>Supplementary Table 2</w:t>
      </w:r>
      <w:r w:rsidR="008C0CCA">
        <w:rPr>
          <w:rFonts w:cstheme="minorHAnsi"/>
          <w:b/>
          <w:bCs/>
          <w:color w:val="000000" w:themeColor="text1"/>
          <w:sz w:val="22"/>
        </w:rPr>
        <w:t xml:space="preserve"> (</w:t>
      </w:r>
      <w:proofErr w:type="spellStart"/>
      <w:r w:rsidR="008C0CCA">
        <w:rPr>
          <w:rFonts w:cstheme="minorHAnsi"/>
          <w:b/>
          <w:bCs/>
          <w:color w:val="000000" w:themeColor="text1"/>
          <w:sz w:val="22"/>
        </w:rPr>
        <w:t>S</w:t>
      </w:r>
      <w:r w:rsidR="00AA01A6">
        <w:rPr>
          <w:rFonts w:cstheme="minorHAnsi"/>
          <w:b/>
          <w:bCs/>
          <w:color w:val="000000" w:themeColor="text1"/>
          <w:sz w:val="22"/>
        </w:rPr>
        <w:t>T</w:t>
      </w:r>
      <w:r w:rsidR="008C0CCA">
        <w:rPr>
          <w:rFonts w:cstheme="minorHAnsi"/>
          <w:b/>
          <w:bCs/>
          <w:color w:val="000000" w:themeColor="text1"/>
          <w:sz w:val="22"/>
        </w:rPr>
        <w:t>able</w:t>
      </w:r>
      <w:proofErr w:type="spellEnd"/>
      <w:r w:rsidR="008C0CCA">
        <w:rPr>
          <w:rFonts w:cstheme="minorHAnsi"/>
          <w:b/>
          <w:bCs/>
          <w:color w:val="000000" w:themeColor="text1"/>
          <w:sz w:val="22"/>
        </w:rPr>
        <w:t xml:space="preserve"> 2)</w:t>
      </w:r>
      <w:r w:rsidRPr="00E12091">
        <w:rPr>
          <w:rFonts w:cstheme="minorHAnsi"/>
          <w:b/>
          <w:bCs/>
          <w:color w:val="000000" w:themeColor="text1"/>
          <w:sz w:val="22"/>
        </w:rPr>
        <w:t xml:space="preserve">. </w:t>
      </w:r>
      <w:r w:rsidR="00C27531" w:rsidRPr="00C27531">
        <w:rPr>
          <w:rFonts w:cstheme="minorHAnsi"/>
          <w:bCs/>
          <w:color w:val="000000" w:themeColor="text1"/>
          <w:sz w:val="22"/>
        </w:rPr>
        <w:t>List of differentially expressed g</w:t>
      </w:r>
      <w:r w:rsidR="00C27531">
        <w:rPr>
          <w:rFonts w:cstheme="minorHAnsi"/>
          <w:bCs/>
          <w:color w:val="000000" w:themeColor="text1"/>
          <w:sz w:val="22"/>
        </w:rPr>
        <w:t>enes</w:t>
      </w:r>
      <w:r w:rsidR="00C27531" w:rsidRPr="00C27531">
        <w:rPr>
          <w:rFonts w:cstheme="minorHAnsi"/>
          <w:bCs/>
          <w:color w:val="000000" w:themeColor="text1"/>
          <w:sz w:val="22"/>
        </w:rPr>
        <w:t xml:space="preserve"> in HROG63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dinaciclib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treated cells c</w:t>
      </w:r>
      <w:r w:rsidR="00C27531">
        <w:rPr>
          <w:rFonts w:cstheme="minorHAnsi"/>
          <w:bCs/>
          <w:color w:val="000000" w:themeColor="text1"/>
          <w:sz w:val="22"/>
        </w:rPr>
        <w:t>ompared to HROG63 control cells</w:t>
      </w:r>
      <w:r w:rsidR="00BB264D">
        <w:rPr>
          <w:rFonts w:cstheme="minorHAnsi"/>
          <w:bCs/>
          <w:color w:val="000000" w:themeColor="text1"/>
          <w:sz w:val="22"/>
        </w:rPr>
        <w:t xml:space="preserve"> (Public Gene IDs; ID; </w:t>
      </w:r>
      <w:proofErr w:type="spellStart"/>
      <w:r w:rsidR="00BB264D" w:rsidRPr="00BB264D">
        <w:rPr>
          <w:rFonts w:cstheme="minorHAnsi"/>
          <w:bCs/>
          <w:color w:val="000000" w:themeColor="text1"/>
          <w:sz w:val="22"/>
        </w:rPr>
        <w:t>Entrez</w:t>
      </w:r>
      <w:proofErr w:type="spellEnd"/>
      <w:r w:rsidR="00BB264D" w:rsidRPr="00BB264D">
        <w:rPr>
          <w:rFonts w:cstheme="minorHAnsi"/>
          <w:bCs/>
          <w:color w:val="000000" w:themeColor="text1"/>
          <w:sz w:val="22"/>
        </w:rPr>
        <w:t xml:space="preserve"> ID</w:t>
      </w:r>
      <w:r w:rsidR="00BB264D">
        <w:rPr>
          <w:rFonts w:cstheme="minorHAnsi"/>
          <w:bCs/>
          <w:color w:val="000000" w:themeColor="text1"/>
          <w:sz w:val="22"/>
        </w:rPr>
        <w:t xml:space="preserve">; Dina </w:t>
      </w:r>
      <w:proofErr w:type="spellStart"/>
      <w:r w:rsidR="00BB264D">
        <w:rPr>
          <w:rFonts w:cstheme="minorHAnsi"/>
          <w:bCs/>
          <w:color w:val="000000" w:themeColor="text1"/>
          <w:sz w:val="22"/>
        </w:rPr>
        <w:t>Avg</w:t>
      </w:r>
      <w:proofErr w:type="spellEnd"/>
      <w:r w:rsidR="00BB264D">
        <w:rPr>
          <w:rFonts w:cstheme="minorHAnsi"/>
          <w:bCs/>
          <w:color w:val="000000" w:themeColor="text1"/>
          <w:sz w:val="22"/>
        </w:rPr>
        <w:t xml:space="preserve"> (log2); Con </w:t>
      </w:r>
      <w:proofErr w:type="spellStart"/>
      <w:r w:rsidR="00BB264D">
        <w:rPr>
          <w:rFonts w:cstheme="minorHAnsi"/>
          <w:bCs/>
          <w:color w:val="000000" w:themeColor="text1"/>
          <w:sz w:val="22"/>
        </w:rPr>
        <w:t>Avg</w:t>
      </w:r>
      <w:proofErr w:type="spellEnd"/>
      <w:r w:rsidR="00BB264D">
        <w:rPr>
          <w:rFonts w:cstheme="minorHAnsi"/>
          <w:bCs/>
          <w:color w:val="000000" w:themeColor="text1"/>
          <w:sz w:val="22"/>
        </w:rPr>
        <w:t xml:space="preserve"> (log2); Fold Change (FC); P-</w:t>
      </w:r>
      <w:proofErr w:type="spellStart"/>
      <w:r w:rsidR="00BB264D">
        <w:rPr>
          <w:rFonts w:cstheme="minorHAnsi"/>
          <w:bCs/>
          <w:color w:val="000000" w:themeColor="text1"/>
          <w:sz w:val="22"/>
        </w:rPr>
        <w:t>val</w:t>
      </w:r>
      <w:proofErr w:type="spellEnd"/>
      <w:r w:rsidR="00BB264D">
        <w:rPr>
          <w:rFonts w:cstheme="minorHAnsi"/>
          <w:bCs/>
          <w:color w:val="000000" w:themeColor="text1"/>
          <w:sz w:val="22"/>
        </w:rPr>
        <w:t>; gene symbol; chromosome</w:t>
      </w:r>
      <w:r w:rsidR="005E1CB7">
        <w:rPr>
          <w:rFonts w:cstheme="minorHAnsi"/>
          <w:bCs/>
          <w:color w:val="000000" w:themeColor="text1"/>
          <w:sz w:val="22"/>
        </w:rPr>
        <w:t xml:space="preserve"> and </w:t>
      </w:r>
      <w:r w:rsidR="00BB264D">
        <w:rPr>
          <w:rFonts w:cstheme="minorHAnsi"/>
          <w:bCs/>
          <w:color w:val="000000" w:themeColor="text1"/>
          <w:sz w:val="22"/>
        </w:rPr>
        <w:t>d</w:t>
      </w:r>
      <w:r w:rsidR="00BB264D" w:rsidRPr="00BB264D">
        <w:rPr>
          <w:rFonts w:cstheme="minorHAnsi"/>
          <w:bCs/>
          <w:color w:val="000000" w:themeColor="text1"/>
          <w:sz w:val="22"/>
        </w:rPr>
        <w:t>escription</w:t>
      </w:r>
      <w:r w:rsidR="00BB264D">
        <w:rPr>
          <w:rFonts w:cstheme="minorHAnsi"/>
          <w:bCs/>
          <w:color w:val="000000" w:themeColor="text1"/>
          <w:sz w:val="22"/>
        </w:rPr>
        <w:t>)</w:t>
      </w:r>
      <w:r w:rsidR="00C27531">
        <w:rPr>
          <w:rFonts w:cstheme="minorHAnsi"/>
          <w:bCs/>
          <w:color w:val="000000" w:themeColor="text1"/>
          <w:sz w:val="22"/>
        </w:rPr>
        <w:t xml:space="preserve">. </w:t>
      </w:r>
      <w:r w:rsidR="00C27531" w:rsidRPr="00C27531">
        <w:rPr>
          <w:rFonts w:cstheme="minorHAnsi"/>
          <w:bCs/>
          <w:color w:val="000000" w:themeColor="text1"/>
          <w:sz w:val="22"/>
        </w:rPr>
        <w:t xml:space="preserve">RNA expression level assessed by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Affymetrix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Human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Clariom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S Array. Primary data analysis was pe</w:t>
      </w:r>
      <w:bookmarkStart w:id="0" w:name="_GoBack"/>
      <w:bookmarkEnd w:id="0"/>
      <w:r w:rsidR="00C27531" w:rsidRPr="00C27531">
        <w:rPr>
          <w:rFonts w:cstheme="minorHAnsi"/>
          <w:bCs/>
          <w:color w:val="000000" w:themeColor="text1"/>
          <w:sz w:val="22"/>
        </w:rPr>
        <w:t xml:space="preserve">rformed with the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Affymetrix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TAC including the SST-RMA for normalization. Gene expression data were log-transformed.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Limma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was used here to calculate the p-value. A change was considered significant when the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Limma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</w:t>
      </w:r>
      <w:proofErr w:type="spellStart"/>
      <w:r w:rsidR="00C27531" w:rsidRPr="00C27531">
        <w:rPr>
          <w:rFonts w:cstheme="minorHAnsi"/>
          <w:bCs/>
          <w:color w:val="000000" w:themeColor="text1"/>
          <w:sz w:val="22"/>
        </w:rPr>
        <w:t>eBayes</w:t>
      </w:r>
      <w:proofErr w:type="spellEnd"/>
      <w:r w:rsidR="00C27531" w:rsidRPr="00C27531">
        <w:rPr>
          <w:rFonts w:cstheme="minorHAnsi"/>
          <w:bCs/>
          <w:color w:val="000000" w:themeColor="text1"/>
          <w:sz w:val="22"/>
        </w:rPr>
        <w:t xml:space="preserve"> P-value met the criterion P &lt; 0.05 at fold changes &gt;|2|, i.e., expression increments or declines larger than two. N = 3 independent experiments.</w:t>
      </w:r>
    </w:p>
    <w:p w14:paraId="6ECC28ED" w14:textId="77777777" w:rsidR="00C11D7A" w:rsidRPr="00E12091" w:rsidRDefault="00C11D7A" w:rsidP="005E1CB7">
      <w:pPr>
        <w:widowControl w:val="0"/>
        <w:spacing w:line="360" w:lineRule="auto"/>
        <w:jc w:val="both"/>
        <w:rPr>
          <w:rFonts w:cstheme="minorHAnsi"/>
          <w:b/>
          <w:bCs/>
          <w:color w:val="000000" w:themeColor="text1"/>
          <w:sz w:val="22"/>
        </w:rPr>
      </w:pPr>
    </w:p>
    <w:p w14:paraId="3CBB237F" w14:textId="0E52D705" w:rsidR="00BA77E5" w:rsidRPr="00E12091" w:rsidRDefault="00C11D7A" w:rsidP="000C5AE3">
      <w:pPr>
        <w:widowControl w:val="0"/>
        <w:spacing w:line="480" w:lineRule="auto"/>
        <w:jc w:val="both"/>
        <w:rPr>
          <w:rFonts w:cstheme="minorHAnsi"/>
          <w:b/>
          <w:bCs/>
          <w:color w:val="000000" w:themeColor="text1"/>
          <w:sz w:val="22"/>
        </w:rPr>
      </w:pPr>
      <w:r w:rsidRPr="00E12091">
        <w:rPr>
          <w:rFonts w:cstheme="minorHAnsi"/>
          <w:b/>
          <w:bCs/>
          <w:color w:val="000000" w:themeColor="text1"/>
          <w:sz w:val="22"/>
        </w:rPr>
        <w:t>Supplementary Table 3</w:t>
      </w:r>
      <w:r w:rsidR="00AA01A6">
        <w:rPr>
          <w:rFonts w:cstheme="minorHAnsi"/>
          <w:b/>
          <w:bCs/>
          <w:color w:val="000000" w:themeColor="text1"/>
          <w:sz w:val="22"/>
        </w:rPr>
        <w:t xml:space="preserve"> (</w:t>
      </w:r>
      <w:proofErr w:type="spellStart"/>
      <w:r w:rsidR="00AA01A6">
        <w:rPr>
          <w:rFonts w:cstheme="minorHAnsi"/>
          <w:b/>
          <w:bCs/>
          <w:color w:val="000000" w:themeColor="text1"/>
          <w:sz w:val="22"/>
        </w:rPr>
        <w:t>STable</w:t>
      </w:r>
      <w:proofErr w:type="spellEnd"/>
      <w:r w:rsidR="00AA01A6">
        <w:rPr>
          <w:rFonts w:cstheme="minorHAnsi"/>
          <w:b/>
          <w:bCs/>
          <w:color w:val="000000" w:themeColor="text1"/>
          <w:sz w:val="22"/>
        </w:rPr>
        <w:t xml:space="preserve"> 3)</w:t>
      </w:r>
      <w:r w:rsidRPr="00E12091">
        <w:rPr>
          <w:rFonts w:cstheme="minorHAnsi"/>
          <w:b/>
          <w:bCs/>
          <w:color w:val="000000" w:themeColor="text1"/>
          <w:sz w:val="22"/>
        </w:rPr>
        <w:t xml:space="preserve">. </w:t>
      </w:r>
      <w:r w:rsidR="00C27531">
        <w:rPr>
          <w:rFonts w:cstheme="minorHAnsi"/>
          <w:color w:val="000000" w:themeColor="text1"/>
          <w:sz w:val="22"/>
        </w:rPr>
        <w:t xml:space="preserve">List of antibodies </w:t>
      </w:r>
      <w:r w:rsidR="00AA01A6">
        <w:rPr>
          <w:rFonts w:cstheme="minorHAnsi"/>
          <w:color w:val="000000" w:themeColor="text1"/>
          <w:sz w:val="22"/>
        </w:rPr>
        <w:t>used in this study</w:t>
      </w:r>
      <w:r w:rsidR="00BB264D">
        <w:rPr>
          <w:rFonts w:cstheme="minorHAnsi"/>
          <w:color w:val="000000" w:themeColor="text1"/>
          <w:sz w:val="22"/>
        </w:rPr>
        <w:t xml:space="preserve"> (molecule, Cat number, company, species and dilution).</w:t>
      </w:r>
    </w:p>
    <w:sectPr w:rsidR="00BA77E5" w:rsidRPr="00E12091" w:rsidSect="00000AD2">
      <w:pgSz w:w="12240" w:h="15840" w:code="1"/>
      <w:pgMar w:top="1440" w:right="1701" w:bottom="1440" w:left="1701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7A"/>
    <w:rsid w:val="00000AD2"/>
    <w:rsid w:val="00052036"/>
    <w:rsid w:val="0007273E"/>
    <w:rsid w:val="000B14E6"/>
    <w:rsid w:val="000C5AE3"/>
    <w:rsid w:val="001056B5"/>
    <w:rsid w:val="0011346F"/>
    <w:rsid w:val="00370566"/>
    <w:rsid w:val="0043269C"/>
    <w:rsid w:val="004D1701"/>
    <w:rsid w:val="005A138C"/>
    <w:rsid w:val="005E1CB7"/>
    <w:rsid w:val="00633131"/>
    <w:rsid w:val="0073650D"/>
    <w:rsid w:val="00765B41"/>
    <w:rsid w:val="008C0CCA"/>
    <w:rsid w:val="00975FD0"/>
    <w:rsid w:val="00AA01A6"/>
    <w:rsid w:val="00AA3B4E"/>
    <w:rsid w:val="00B350C1"/>
    <w:rsid w:val="00B63451"/>
    <w:rsid w:val="00BA77E5"/>
    <w:rsid w:val="00BB264D"/>
    <w:rsid w:val="00C11D7A"/>
    <w:rsid w:val="00C27531"/>
    <w:rsid w:val="00C42A55"/>
    <w:rsid w:val="00CD048D"/>
    <w:rsid w:val="00E12091"/>
    <w:rsid w:val="00E53E92"/>
    <w:rsid w:val="00E7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0C73"/>
  <w15:docId w15:val="{22AB102A-6E07-48C3-BBDB-55C598B2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1D7A"/>
    <w:rPr>
      <w:rFonts w:asciiTheme="minorHAnsi" w:hAnsiTheme="minorHAnsi"/>
      <w:szCs w:val="24"/>
      <w:lang w:val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11D7A"/>
    <w:rPr>
      <w:rFonts w:asciiTheme="minorHAnsi" w:hAnsiTheme="minorHAnsi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C11D7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138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138C"/>
    <w:rPr>
      <w:rFonts w:cs="Times New Roman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MUHC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Cybulsky</dc:creator>
  <cp:lastModifiedBy>Riess Christin</cp:lastModifiedBy>
  <cp:revision>5</cp:revision>
  <cp:lastPrinted>2020-10-09T13:22:00Z</cp:lastPrinted>
  <dcterms:created xsi:type="dcterms:W3CDTF">2020-11-27T07:45:00Z</dcterms:created>
  <dcterms:modified xsi:type="dcterms:W3CDTF">2020-11-27T08:17:00Z</dcterms:modified>
</cp:coreProperties>
</file>