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5586F" w14:textId="77777777" w:rsidR="00897063" w:rsidRPr="00080999" w:rsidRDefault="00897063" w:rsidP="00897063">
      <w:pPr>
        <w:spacing w:line="480" w:lineRule="auto"/>
        <w:rPr>
          <w:rFonts w:eastAsia="Times New Roman"/>
          <w:b/>
          <w:bCs/>
          <w:kern w:val="28"/>
          <w:sz w:val="24"/>
          <w:szCs w:val="24"/>
        </w:rPr>
      </w:pPr>
      <w:r w:rsidRPr="00080999">
        <w:rPr>
          <w:b/>
          <w:bCs/>
          <w:sz w:val="24"/>
          <w:szCs w:val="24"/>
        </w:rPr>
        <w:t>Supplementary Figures</w:t>
      </w:r>
    </w:p>
    <w:p w14:paraId="167E6089" w14:textId="77777777" w:rsidR="00897063" w:rsidRPr="00E85D2D" w:rsidRDefault="00897063" w:rsidP="00897063">
      <w:pPr>
        <w:pStyle w:val="Paragraph"/>
        <w:spacing w:before="0" w:line="480" w:lineRule="auto"/>
        <w:ind w:firstLine="0"/>
        <w:jc w:val="both"/>
        <w:rPr>
          <w:b/>
          <w:bCs/>
        </w:rPr>
      </w:pPr>
      <w:r w:rsidRPr="00E85D2D">
        <w:rPr>
          <w:b/>
          <w:bCs/>
        </w:rPr>
        <w:t>Figure S1. Proteomics correlations and heatmaps.</w:t>
      </w:r>
    </w:p>
    <w:p w14:paraId="094A22D1" w14:textId="7BA2BB33" w:rsidR="00897063" w:rsidRPr="00E85D2D" w:rsidRDefault="00897063" w:rsidP="00897063">
      <w:pPr>
        <w:pStyle w:val="Paragraph"/>
        <w:spacing w:before="0" w:line="480" w:lineRule="auto"/>
        <w:ind w:firstLine="0"/>
        <w:jc w:val="both"/>
        <w:rPr>
          <w:lang w:val="en-AU"/>
        </w:rPr>
      </w:pPr>
      <w:r w:rsidRPr="00E85D2D">
        <w:rPr>
          <w:b/>
          <w:bCs/>
          <w:lang w:val="en-AU"/>
        </w:rPr>
        <w:t>(A)</w:t>
      </w:r>
      <w:r w:rsidRPr="00E85D2D">
        <w:rPr>
          <w:lang w:val="en-AU"/>
        </w:rPr>
        <w:t xml:space="preserve"> Dots plots showing the average Pearson correlation of the proteome be</w:t>
      </w:r>
      <w:r w:rsidR="007702FA">
        <w:rPr>
          <w:lang w:val="en-AU"/>
        </w:rPr>
        <w:t>t</w:t>
      </w:r>
      <w:r w:rsidRPr="00E85D2D">
        <w:rPr>
          <w:lang w:val="en-AU"/>
        </w:rPr>
        <w:t xml:space="preserve">ween all samples for DYRK1A pharmacological inhibition (left) and DYRK1A genetic knockdown (right). </w:t>
      </w:r>
      <w:r w:rsidRPr="00E85D2D">
        <w:rPr>
          <w:b/>
          <w:bCs/>
          <w:lang w:val="en-AU"/>
        </w:rPr>
        <w:t>(B)</w:t>
      </w:r>
      <w:r w:rsidRPr="00E85D2D">
        <w:rPr>
          <w:lang w:val="en-AU"/>
        </w:rPr>
        <w:t xml:space="preserve"> </w:t>
      </w:r>
      <w:proofErr w:type="spellStart"/>
      <w:r w:rsidRPr="00E85D2D">
        <w:rPr>
          <w:lang w:val="en-AU"/>
        </w:rPr>
        <w:t>Heapmat</w:t>
      </w:r>
      <w:proofErr w:type="spellEnd"/>
      <w:r w:rsidRPr="00E85D2D">
        <w:rPr>
          <w:lang w:val="en-AU"/>
        </w:rPr>
        <w:t xml:space="preserve"> of overall protein changes in U251 (median log2 fold change of protein LFQ intensities for treatments vs their respective controls) after DYRK1A pharmacological inhibition (left) and DYRK1A genetic knockdown (right) </w:t>
      </w:r>
    </w:p>
    <w:p w14:paraId="7C26647E" w14:textId="77777777" w:rsidR="00897063" w:rsidRPr="00E85D2D" w:rsidRDefault="00897063" w:rsidP="00897063">
      <w:pPr>
        <w:spacing w:line="480" w:lineRule="auto"/>
        <w:rPr>
          <w:b/>
          <w:bCs/>
          <w:sz w:val="24"/>
          <w:szCs w:val="24"/>
        </w:rPr>
      </w:pPr>
    </w:p>
    <w:p w14:paraId="67EA3B4B" w14:textId="77777777" w:rsidR="00897063" w:rsidRPr="00E85D2D" w:rsidRDefault="00897063" w:rsidP="00897063">
      <w:pPr>
        <w:spacing w:line="480" w:lineRule="auto"/>
        <w:rPr>
          <w:rFonts w:eastAsia="Times New Roman"/>
          <w:sz w:val="24"/>
          <w:szCs w:val="24"/>
        </w:rPr>
      </w:pPr>
      <w:r w:rsidRPr="00E85D2D">
        <w:rPr>
          <w:b/>
          <w:bCs/>
          <w:sz w:val="24"/>
          <w:szCs w:val="24"/>
        </w:rPr>
        <w:t xml:space="preserve">Figure S2. </w:t>
      </w:r>
      <w:proofErr w:type="spellStart"/>
      <w:r w:rsidRPr="00E85D2D">
        <w:rPr>
          <w:b/>
          <w:bCs/>
          <w:sz w:val="24"/>
          <w:szCs w:val="24"/>
        </w:rPr>
        <w:t>Phosphoproteomics</w:t>
      </w:r>
      <w:proofErr w:type="spellEnd"/>
      <w:r w:rsidRPr="00E85D2D">
        <w:rPr>
          <w:b/>
          <w:bCs/>
          <w:sz w:val="24"/>
          <w:szCs w:val="24"/>
        </w:rPr>
        <w:t xml:space="preserve"> correlations and heatmaps.</w:t>
      </w:r>
    </w:p>
    <w:p w14:paraId="1FF1A076" w14:textId="77777777" w:rsidR="00897063" w:rsidRPr="00E85D2D" w:rsidRDefault="00897063" w:rsidP="00897063">
      <w:pPr>
        <w:pStyle w:val="Paragraph"/>
        <w:spacing w:before="0" w:line="480" w:lineRule="auto"/>
        <w:ind w:firstLine="0"/>
        <w:jc w:val="both"/>
        <w:rPr>
          <w:lang w:val="en-AU"/>
        </w:rPr>
      </w:pPr>
      <w:r w:rsidRPr="00E85D2D">
        <w:rPr>
          <w:b/>
          <w:bCs/>
          <w:lang w:val="en-AU"/>
        </w:rPr>
        <w:t>(A)</w:t>
      </w:r>
      <w:r w:rsidRPr="00E85D2D">
        <w:rPr>
          <w:lang w:val="en-AU"/>
        </w:rPr>
        <w:t xml:space="preserve"> Dot plots showing the average Pearson correlation of the </w:t>
      </w:r>
      <w:proofErr w:type="spellStart"/>
      <w:r w:rsidRPr="00E85D2D">
        <w:rPr>
          <w:lang w:val="en-AU"/>
        </w:rPr>
        <w:t>phosphoproteome</w:t>
      </w:r>
      <w:proofErr w:type="spellEnd"/>
      <w:r w:rsidRPr="00E85D2D">
        <w:rPr>
          <w:lang w:val="en-AU"/>
        </w:rPr>
        <w:t xml:space="preserve"> between all samples for DYRK1A pharmacological inhibition (left) and DYRK1A genetic knockdown (right). </w:t>
      </w:r>
      <w:r w:rsidRPr="00E85D2D">
        <w:rPr>
          <w:b/>
          <w:bCs/>
          <w:lang w:val="en-AU"/>
        </w:rPr>
        <w:t>(B)</w:t>
      </w:r>
      <w:r w:rsidRPr="00E85D2D">
        <w:rPr>
          <w:lang w:val="en-AU"/>
        </w:rPr>
        <w:t xml:space="preserve"> Heatmap of overall phosphopeptides intensities in U251 (median log2 fold changes of protein LFQ intensities for treatments vs their respective controls) after DYRK1A pharmacological inhibition (left) and DYRK1A genetic knockdown (right). </w:t>
      </w:r>
      <w:r w:rsidRPr="00E85D2D">
        <w:rPr>
          <w:b/>
          <w:bCs/>
          <w:lang w:val="en-AU"/>
        </w:rPr>
        <w:t>(C)</w:t>
      </w:r>
      <w:r w:rsidRPr="00E85D2D">
        <w:rPr>
          <w:lang w:val="en-AU"/>
        </w:rPr>
        <w:t xml:space="preserve"> Analysis of the amino acid sequences surrounding phosphorylated residues, revealing a strong preference for Proline (P) in the +1 position </w:t>
      </w:r>
    </w:p>
    <w:p w14:paraId="13A59E25" w14:textId="77777777" w:rsidR="00897063" w:rsidRDefault="00897063" w:rsidP="00897063">
      <w:pPr>
        <w:spacing w:line="480" w:lineRule="auto"/>
        <w:rPr>
          <w:b/>
          <w:bCs/>
          <w:sz w:val="24"/>
          <w:szCs w:val="24"/>
        </w:rPr>
      </w:pPr>
    </w:p>
    <w:p w14:paraId="1FF1B980" w14:textId="77777777" w:rsidR="00155FD5" w:rsidRDefault="00897063" w:rsidP="00897063">
      <w:pPr>
        <w:spacing w:line="480" w:lineRule="auto"/>
        <w:rPr>
          <w:b/>
          <w:bCs/>
          <w:sz w:val="24"/>
          <w:szCs w:val="24"/>
        </w:rPr>
      </w:pPr>
      <w:r w:rsidRPr="00E85D2D">
        <w:rPr>
          <w:b/>
          <w:bCs/>
          <w:sz w:val="24"/>
          <w:szCs w:val="24"/>
        </w:rPr>
        <w:t xml:space="preserve">Figure S3. </w:t>
      </w:r>
      <w:r w:rsidR="00155FD5">
        <w:rPr>
          <w:b/>
          <w:bCs/>
          <w:sz w:val="24"/>
          <w:szCs w:val="24"/>
        </w:rPr>
        <w:t>DYRK1A in vitro kinase assay.</w:t>
      </w:r>
    </w:p>
    <w:p w14:paraId="53B0ABA9" w14:textId="47A1A989" w:rsidR="00897063" w:rsidRPr="00E85D2D" w:rsidRDefault="00897063" w:rsidP="00897063">
      <w:pPr>
        <w:spacing w:line="480" w:lineRule="auto"/>
        <w:rPr>
          <w:rFonts w:eastAsia="Times New Roman"/>
          <w:sz w:val="24"/>
          <w:szCs w:val="24"/>
        </w:rPr>
      </w:pPr>
      <w:r w:rsidRPr="00377072">
        <w:rPr>
          <w:sz w:val="24"/>
          <w:szCs w:val="24"/>
        </w:rPr>
        <w:t>Raw MS/MS data showing CDC23 phosphorylation by DYRK1A</w:t>
      </w:r>
      <w:r w:rsidRPr="00E85D2D">
        <w:rPr>
          <w:sz w:val="24"/>
          <w:szCs w:val="24"/>
        </w:rPr>
        <w:t xml:space="preserve"> in </w:t>
      </w:r>
      <w:r w:rsidRPr="00E85D2D">
        <w:rPr>
          <w:i/>
          <w:iCs/>
          <w:sz w:val="24"/>
          <w:szCs w:val="24"/>
        </w:rPr>
        <w:t>in vitro</w:t>
      </w:r>
      <w:r w:rsidRPr="00E85D2D">
        <w:rPr>
          <w:sz w:val="24"/>
          <w:szCs w:val="24"/>
        </w:rPr>
        <w:t xml:space="preserve"> kinase assays using recombinant proteins </w:t>
      </w:r>
      <w:r w:rsidRPr="00E85D2D">
        <w:rPr>
          <w:b/>
          <w:bCs/>
          <w:sz w:val="24"/>
          <w:szCs w:val="24"/>
        </w:rPr>
        <w:t>(A)</w:t>
      </w:r>
      <w:r w:rsidRPr="00E85D2D">
        <w:rPr>
          <w:sz w:val="24"/>
          <w:szCs w:val="24"/>
        </w:rPr>
        <w:t xml:space="preserve"> and in U251 </w:t>
      </w:r>
      <w:proofErr w:type="spellStart"/>
      <w:r w:rsidRPr="00E85D2D">
        <w:rPr>
          <w:sz w:val="24"/>
          <w:szCs w:val="24"/>
        </w:rPr>
        <w:t>phosphoproteomics</w:t>
      </w:r>
      <w:proofErr w:type="spellEnd"/>
      <w:r w:rsidRPr="00E85D2D">
        <w:rPr>
          <w:sz w:val="24"/>
          <w:szCs w:val="24"/>
        </w:rPr>
        <w:t xml:space="preserve"> experiments</w:t>
      </w:r>
      <w:r w:rsidRPr="00E85D2D">
        <w:rPr>
          <w:b/>
          <w:bCs/>
          <w:sz w:val="24"/>
          <w:szCs w:val="24"/>
        </w:rPr>
        <w:t xml:space="preserve"> (B).</w:t>
      </w:r>
    </w:p>
    <w:p w14:paraId="3BB65167" w14:textId="77777777" w:rsidR="00897063" w:rsidRDefault="00897063" w:rsidP="00897063">
      <w:pPr>
        <w:spacing w:line="480" w:lineRule="auto"/>
        <w:rPr>
          <w:b/>
          <w:bCs/>
          <w:sz w:val="24"/>
          <w:szCs w:val="24"/>
        </w:rPr>
      </w:pPr>
    </w:p>
    <w:p w14:paraId="5C5DC28B" w14:textId="77777777" w:rsidR="00897063" w:rsidRPr="00080999" w:rsidRDefault="00897063" w:rsidP="00897063">
      <w:pPr>
        <w:spacing w:line="480" w:lineRule="auto"/>
        <w:rPr>
          <w:rFonts w:eastAsia="Times New Roman"/>
          <w:sz w:val="24"/>
          <w:szCs w:val="24"/>
        </w:rPr>
      </w:pPr>
      <w:r w:rsidRPr="00E85D2D">
        <w:rPr>
          <w:b/>
          <w:bCs/>
          <w:sz w:val="24"/>
          <w:szCs w:val="24"/>
        </w:rPr>
        <w:t>Figure S4. Microscopic images illustrating reversibility of MMK1 cell dormancy.</w:t>
      </w:r>
      <w:r w:rsidRPr="00E85D2D">
        <w:rPr>
          <w:rFonts w:ascii="ArialMT*1" w:hAnsi="ArialMT*1"/>
          <w:sz w:val="24"/>
          <w:szCs w:val="24"/>
          <w:lang w:val="en-AU" w:eastAsia="en-GB"/>
        </w:rPr>
        <w:t xml:space="preserve"> </w:t>
      </w:r>
      <w:r w:rsidRPr="00E85D2D">
        <w:rPr>
          <w:sz w:val="24"/>
          <w:szCs w:val="24"/>
          <w:lang w:val="en-AU"/>
        </w:rPr>
        <w:t xml:space="preserve">Removal of colchicine from the media (drug holidays) allows MMK1 cells to recover their normal morphology and start proliferating again. </w:t>
      </w:r>
    </w:p>
    <w:p w14:paraId="675009BB" w14:textId="77777777" w:rsidR="001B72C9" w:rsidRDefault="001B72C9"/>
    <w:sectPr w:rsidR="001B72C9" w:rsidSect="0082091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1">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063"/>
    <w:rsid w:val="00004758"/>
    <w:rsid w:val="00007372"/>
    <w:rsid w:val="000145A6"/>
    <w:rsid w:val="00016EB0"/>
    <w:rsid w:val="000212FB"/>
    <w:rsid w:val="00032360"/>
    <w:rsid w:val="00043096"/>
    <w:rsid w:val="000527E8"/>
    <w:rsid w:val="00053A94"/>
    <w:rsid w:val="00070E62"/>
    <w:rsid w:val="000751E0"/>
    <w:rsid w:val="000755F3"/>
    <w:rsid w:val="00095D22"/>
    <w:rsid w:val="000C0238"/>
    <w:rsid w:val="00101AC8"/>
    <w:rsid w:val="0010399F"/>
    <w:rsid w:val="00130419"/>
    <w:rsid w:val="0013504E"/>
    <w:rsid w:val="001403AA"/>
    <w:rsid w:val="001412AB"/>
    <w:rsid w:val="001521A4"/>
    <w:rsid w:val="00153AC9"/>
    <w:rsid w:val="00155FD5"/>
    <w:rsid w:val="00162A58"/>
    <w:rsid w:val="00166911"/>
    <w:rsid w:val="001915DA"/>
    <w:rsid w:val="00192CD5"/>
    <w:rsid w:val="00193FC0"/>
    <w:rsid w:val="00197955"/>
    <w:rsid w:val="001B72C9"/>
    <w:rsid w:val="001C0D9C"/>
    <w:rsid w:val="001D62C7"/>
    <w:rsid w:val="001E1046"/>
    <w:rsid w:val="001E4819"/>
    <w:rsid w:val="001E6201"/>
    <w:rsid w:val="001E6210"/>
    <w:rsid w:val="001F1F1F"/>
    <w:rsid w:val="001F530C"/>
    <w:rsid w:val="00217639"/>
    <w:rsid w:val="00225C0E"/>
    <w:rsid w:val="00242E77"/>
    <w:rsid w:val="002460A8"/>
    <w:rsid w:val="002465EF"/>
    <w:rsid w:val="002569DE"/>
    <w:rsid w:val="00262087"/>
    <w:rsid w:val="00272E32"/>
    <w:rsid w:val="00285ED6"/>
    <w:rsid w:val="00296890"/>
    <w:rsid w:val="002C49A8"/>
    <w:rsid w:val="002C5813"/>
    <w:rsid w:val="002C6421"/>
    <w:rsid w:val="002E37DD"/>
    <w:rsid w:val="003050AC"/>
    <w:rsid w:val="0030648E"/>
    <w:rsid w:val="00315652"/>
    <w:rsid w:val="00350B92"/>
    <w:rsid w:val="00353127"/>
    <w:rsid w:val="00356672"/>
    <w:rsid w:val="00362FD4"/>
    <w:rsid w:val="00373AB1"/>
    <w:rsid w:val="00377072"/>
    <w:rsid w:val="00382A4F"/>
    <w:rsid w:val="0039322F"/>
    <w:rsid w:val="003A2772"/>
    <w:rsid w:val="003A4D3F"/>
    <w:rsid w:val="003A718C"/>
    <w:rsid w:val="003A760B"/>
    <w:rsid w:val="003B013C"/>
    <w:rsid w:val="003B1538"/>
    <w:rsid w:val="003B7083"/>
    <w:rsid w:val="003C69FC"/>
    <w:rsid w:val="003D74FA"/>
    <w:rsid w:val="003E0464"/>
    <w:rsid w:val="003E1124"/>
    <w:rsid w:val="003E775F"/>
    <w:rsid w:val="003F19E2"/>
    <w:rsid w:val="003F20D2"/>
    <w:rsid w:val="003F231A"/>
    <w:rsid w:val="003F3C6E"/>
    <w:rsid w:val="004013EB"/>
    <w:rsid w:val="00401661"/>
    <w:rsid w:val="00411341"/>
    <w:rsid w:val="004205D2"/>
    <w:rsid w:val="004209B3"/>
    <w:rsid w:val="004320B9"/>
    <w:rsid w:val="004453A0"/>
    <w:rsid w:val="00460F00"/>
    <w:rsid w:val="00465C4A"/>
    <w:rsid w:val="00472129"/>
    <w:rsid w:val="00476862"/>
    <w:rsid w:val="0048360D"/>
    <w:rsid w:val="00485019"/>
    <w:rsid w:val="00490A00"/>
    <w:rsid w:val="004B216D"/>
    <w:rsid w:val="004D3FD1"/>
    <w:rsid w:val="004F0376"/>
    <w:rsid w:val="0050000C"/>
    <w:rsid w:val="005030A6"/>
    <w:rsid w:val="00505597"/>
    <w:rsid w:val="00532FDB"/>
    <w:rsid w:val="00543607"/>
    <w:rsid w:val="00543833"/>
    <w:rsid w:val="00577F4D"/>
    <w:rsid w:val="0058530F"/>
    <w:rsid w:val="005906EB"/>
    <w:rsid w:val="00592104"/>
    <w:rsid w:val="0059683F"/>
    <w:rsid w:val="005A0847"/>
    <w:rsid w:val="005C26BB"/>
    <w:rsid w:val="005C26F0"/>
    <w:rsid w:val="005F30FD"/>
    <w:rsid w:val="0060013B"/>
    <w:rsid w:val="006173A9"/>
    <w:rsid w:val="0062721D"/>
    <w:rsid w:val="00642A43"/>
    <w:rsid w:val="00644C6A"/>
    <w:rsid w:val="00671475"/>
    <w:rsid w:val="00673A83"/>
    <w:rsid w:val="006A3748"/>
    <w:rsid w:val="006B0A18"/>
    <w:rsid w:val="006B58B7"/>
    <w:rsid w:val="006C6AC7"/>
    <w:rsid w:val="006F7426"/>
    <w:rsid w:val="0070178C"/>
    <w:rsid w:val="007065C2"/>
    <w:rsid w:val="00722920"/>
    <w:rsid w:val="00751251"/>
    <w:rsid w:val="00757B7E"/>
    <w:rsid w:val="007702FA"/>
    <w:rsid w:val="007B1735"/>
    <w:rsid w:val="007B7B70"/>
    <w:rsid w:val="007C2E9C"/>
    <w:rsid w:val="007C32C6"/>
    <w:rsid w:val="007D0B00"/>
    <w:rsid w:val="007E1C67"/>
    <w:rsid w:val="0082091C"/>
    <w:rsid w:val="008243D1"/>
    <w:rsid w:val="00831405"/>
    <w:rsid w:val="00843170"/>
    <w:rsid w:val="008443A7"/>
    <w:rsid w:val="00852613"/>
    <w:rsid w:val="00862B1F"/>
    <w:rsid w:val="008653EC"/>
    <w:rsid w:val="00874993"/>
    <w:rsid w:val="008809D0"/>
    <w:rsid w:val="008856CD"/>
    <w:rsid w:val="008949FE"/>
    <w:rsid w:val="00897063"/>
    <w:rsid w:val="008A44BA"/>
    <w:rsid w:val="008B6009"/>
    <w:rsid w:val="008C5764"/>
    <w:rsid w:val="008D2E4F"/>
    <w:rsid w:val="008D46E9"/>
    <w:rsid w:val="008E03AC"/>
    <w:rsid w:val="008E354B"/>
    <w:rsid w:val="009104B3"/>
    <w:rsid w:val="009216DB"/>
    <w:rsid w:val="00932E9C"/>
    <w:rsid w:val="0094123E"/>
    <w:rsid w:val="00942B05"/>
    <w:rsid w:val="009444DF"/>
    <w:rsid w:val="00987AAF"/>
    <w:rsid w:val="0099618E"/>
    <w:rsid w:val="009967B2"/>
    <w:rsid w:val="009A38A1"/>
    <w:rsid w:val="009A5E3D"/>
    <w:rsid w:val="009E1A67"/>
    <w:rsid w:val="009E32C8"/>
    <w:rsid w:val="00A002B6"/>
    <w:rsid w:val="00A12570"/>
    <w:rsid w:val="00A17BE7"/>
    <w:rsid w:val="00A2178A"/>
    <w:rsid w:val="00A247D3"/>
    <w:rsid w:val="00A2569F"/>
    <w:rsid w:val="00A32DD6"/>
    <w:rsid w:val="00A3436D"/>
    <w:rsid w:val="00A44E5F"/>
    <w:rsid w:val="00A46143"/>
    <w:rsid w:val="00A47446"/>
    <w:rsid w:val="00A54CA1"/>
    <w:rsid w:val="00A601BB"/>
    <w:rsid w:val="00A828B9"/>
    <w:rsid w:val="00AA4255"/>
    <w:rsid w:val="00AA4C55"/>
    <w:rsid w:val="00AC2348"/>
    <w:rsid w:val="00AC3C12"/>
    <w:rsid w:val="00AD2A28"/>
    <w:rsid w:val="00AD458D"/>
    <w:rsid w:val="00AE57A2"/>
    <w:rsid w:val="00B06152"/>
    <w:rsid w:val="00B11193"/>
    <w:rsid w:val="00B166B2"/>
    <w:rsid w:val="00B22027"/>
    <w:rsid w:val="00B27109"/>
    <w:rsid w:val="00B30BB6"/>
    <w:rsid w:val="00B338E3"/>
    <w:rsid w:val="00B3593C"/>
    <w:rsid w:val="00B402E1"/>
    <w:rsid w:val="00B4722B"/>
    <w:rsid w:val="00B55049"/>
    <w:rsid w:val="00B67B97"/>
    <w:rsid w:val="00B8176B"/>
    <w:rsid w:val="00B8322A"/>
    <w:rsid w:val="00B8765C"/>
    <w:rsid w:val="00BA1F84"/>
    <w:rsid w:val="00BA41D5"/>
    <w:rsid w:val="00BC2D76"/>
    <w:rsid w:val="00BC70C8"/>
    <w:rsid w:val="00BD3911"/>
    <w:rsid w:val="00BE2CAC"/>
    <w:rsid w:val="00BE4E1F"/>
    <w:rsid w:val="00C0245C"/>
    <w:rsid w:val="00C200F7"/>
    <w:rsid w:val="00C37F70"/>
    <w:rsid w:val="00C40E46"/>
    <w:rsid w:val="00C86AD2"/>
    <w:rsid w:val="00CA12C7"/>
    <w:rsid w:val="00CA3B42"/>
    <w:rsid w:val="00CB1B8D"/>
    <w:rsid w:val="00CE19CC"/>
    <w:rsid w:val="00CE4252"/>
    <w:rsid w:val="00CF19E0"/>
    <w:rsid w:val="00D05424"/>
    <w:rsid w:val="00D420F9"/>
    <w:rsid w:val="00D54B06"/>
    <w:rsid w:val="00D71637"/>
    <w:rsid w:val="00D778DA"/>
    <w:rsid w:val="00D81E47"/>
    <w:rsid w:val="00DA094A"/>
    <w:rsid w:val="00DA0993"/>
    <w:rsid w:val="00DA0C05"/>
    <w:rsid w:val="00DA12D0"/>
    <w:rsid w:val="00DA433D"/>
    <w:rsid w:val="00DB1F09"/>
    <w:rsid w:val="00DD0C01"/>
    <w:rsid w:val="00DD1CC1"/>
    <w:rsid w:val="00DD4A79"/>
    <w:rsid w:val="00DD7D79"/>
    <w:rsid w:val="00DE2468"/>
    <w:rsid w:val="00DE7658"/>
    <w:rsid w:val="00DF2803"/>
    <w:rsid w:val="00E2024F"/>
    <w:rsid w:val="00E21454"/>
    <w:rsid w:val="00E25639"/>
    <w:rsid w:val="00E33DB0"/>
    <w:rsid w:val="00E44DD8"/>
    <w:rsid w:val="00E64571"/>
    <w:rsid w:val="00E71DCA"/>
    <w:rsid w:val="00E75722"/>
    <w:rsid w:val="00E80669"/>
    <w:rsid w:val="00E817BB"/>
    <w:rsid w:val="00EB7ED0"/>
    <w:rsid w:val="00EC2AC9"/>
    <w:rsid w:val="00EE38F0"/>
    <w:rsid w:val="00EF3799"/>
    <w:rsid w:val="00F124B4"/>
    <w:rsid w:val="00F26E56"/>
    <w:rsid w:val="00F34D20"/>
    <w:rsid w:val="00F57F8F"/>
    <w:rsid w:val="00F61D7A"/>
    <w:rsid w:val="00F641CA"/>
    <w:rsid w:val="00F7019E"/>
    <w:rsid w:val="00F94AC8"/>
    <w:rsid w:val="00F952F3"/>
    <w:rsid w:val="00FA0CD0"/>
    <w:rsid w:val="00FB7B16"/>
    <w:rsid w:val="00FC2FC6"/>
    <w:rsid w:val="00FD0D8D"/>
    <w:rsid w:val="00FD2CD4"/>
    <w:rsid w:val="00FD59B5"/>
    <w:rsid w:val="00FE1529"/>
    <w:rsid w:val="00FE4CA3"/>
    <w:rsid w:val="00FF1DDE"/>
    <w:rsid w:val="00FF35B9"/>
    <w:rsid w:val="00FF51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64609D7"/>
  <w15:chartTrackingRefBased/>
  <w15:docId w15:val="{77ADA03E-C9B6-5E4F-BB90-6D4563EC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063"/>
    <w:rPr>
      <w:rFonts w:ascii="Times New Roman" w:eastAsia="Calibri"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97063"/>
    <w:pPr>
      <w:spacing w:before="120"/>
      <w:ind w:firstLine="72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01B632F3436F44B23FC5CD93B71781" ma:contentTypeVersion="11" ma:contentTypeDescription="Create a new document." ma:contentTypeScope="" ma:versionID="7526ebf39da6d32dc31c776616ca2e08">
  <xsd:schema xmlns:xsd="http://www.w3.org/2001/XMLSchema" xmlns:xs="http://www.w3.org/2001/XMLSchema" xmlns:p="http://schemas.microsoft.com/office/2006/metadata/properties" xmlns:ns2="6f0b7703-ad38-4a4d-8047-6bad22271598" xmlns:ns3="d498d875-1382-4052-b93d-989264df7f5d" targetNamespace="http://schemas.microsoft.com/office/2006/metadata/properties" ma:root="true" ma:fieldsID="e62c96f6ffea8c53fc1e1c7086ae13da" ns2:_="" ns3:_="">
    <xsd:import namespace="6f0b7703-ad38-4a4d-8047-6bad22271598"/>
    <xsd:import namespace="d498d875-1382-4052-b93d-989264df7f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7703-ad38-4a4d-8047-6bad22271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98d875-1382-4052-b93d-989264df7f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50B38-CF0E-4B0C-8BC3-7D1200A07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7703-ad38-4a4d-8047-6bad22271598"/>
    <ds:schemaRef ds:uri="d498d875-1382-4052-b93d-989264df7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5F4A67-81D6-4AA5-9B7C-FC03CDC78A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46A1FD-7CD2-4913-83F0-571D74E8F1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Munoz</dc:creator>
  <cp:keywords/>
  <dc:description/>
  <cp:lastModifiedBy>Lenka Munoz</cp:lastModifiedBy>
  <cp:revision>4</cp:revision>
  <dcterms:created xsi:type="dcterms:W3CDTF">2020-11-09T23:47:00Z</dcterms:created>
  <dcterms:modified xsi:type="dcterms:W3CDTF">2021-01-27T04:03:00Z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0x010100B001B632F3436F44B23FC5CD93B71781</vt:lpwstr>
  </property>
</Properties>
</file>