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Supplement Table 1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The primer sequence of qRT-PCR.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</w:p>
    <w:tbl>
      <w:tblPr>
        <w:tblStyle w:val="2"/>
        <w:tblW w:w="0" w:type="auto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2937"/>
        <w:gridCol w:w="290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Upstream Primer Sequence </w:t>
            </w:r>
          </w:p>
        </w:tc>
        <w:tc>
          <w:tcPr>
            <w:tcW w:w="29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Downstream Primer Sequence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04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MMP2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TGATGGCATCGCTCAGATCC</w:t>
            </w:r>
          </w:p>
        </w:tc>
        <w:tc>
          <w:tcPr>
            <w:tcW w:w="29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GGCCTCGTATACCGCATCAA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MMP3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TGAGGACACCAGCATGAACC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ATCACCTCCAGAGTGTCGGA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MMP9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ACCTTCACTCGCGTGTACAG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GGACCACAACTCGTCATCGT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MMP11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CTGGGTGTACGACGGTGAAA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CTTGTTCTTCTCGGGACCCC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MMP14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GGCTGCCTACCGACAAGATT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GGGAGACTCAGGGATCCCTT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β-actin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AGACCTGTACGCCAACACAG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CGGACTCGTCATACTCCTGC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miR-942-3p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CACAUGGCCGAAACAGAGAAGU</w:t>
            </w:r>
          </w:p>
        </w:tc>
      </w:tr>
    </w:tbl>
    <w:p>
      <w:pPr>
        <w:rPr>
          <w:rFonts w:hint="default" w:ascii="Times New Roman" w:hAnsi="Times New Roman" w:eastAsia="微软雅黑" w:cs="Times New Roman"/>
          <w:i w:val="0"/>
          <w:color w:val="auto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微软雅黑" w:cs="Times New Roman"/>
          <w:i w:val="0"/>
          <w:color w:val="auto"/>
          <w:kern w:val="0"/>
          <w:sz w:val="21"/>
          <w:szCs w:val="21"/>
          <w:u w:val="none"/>
          <w:lang w:val="en-US" w:eastAsia="zh-CN" w:bidi="ar"/>
        </w:rPr>
        <w:t>β-actin was considered as the internal reference.</w:t>
      </w:r>
    </w:p>
    <w:p>
      <w:pPr>
        <w:rPr>
          <w:rFonts w:hint="default" w:ascii="Times New Roman" w:hAnsi="Times New Roman" w:eastAsia="微软雅黑" w:cs="Times New Roman"/>
          <w:i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p>
      <w:pP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bookmarkStart w:id="0" w:name="OLE_LINK1"/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Supplement Table 2 Details of first and second antibodies in IHC and IF</w:t>
      </w:r>
    </w:p>
    <w:bookmarkEnd w:id="0"/>
    <w:tbl>
      <w:tblPr>
        <w:tblStyle w:val="2"/>
        <w:tblW w:w="0" w:type="auto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5"/>
        <w:gridCol w:w="1461"/>
        <w:gridCol w:w="1152"/>
        <w:gridCol w:w="1082"/>
        <w:gridCol w:w="721"/>
        <w:gridCol w:w="70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Antibody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Species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Number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Company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Dilution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Country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MMP2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Rabbit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GB111507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Servicebio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MMP3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Rabbit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GB11131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Servicebio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MMP9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GB12132-1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Servicebio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MMP11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Rabbit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YT2794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Immunoway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UK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MMP14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Rabbit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13130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CST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Bax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Mouse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2772S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PTG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leaved</w:t>
            </w: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caspase-3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Rabbit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9661S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CST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UK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CD34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Rabbit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AB81289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Franklin Gothic Boo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UK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CD117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Mouse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GB11073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Franklin Gothic Boo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UK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PDGFR-</w:t>
            </w:r>
            <w:r>
              <w:rPr>
                <w:rFonts w:hint="default" w:ascii="Arial" w:hAnsi="Arial" w:eastAsia="Cambria" w:cs="Arial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Rabbit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GB11261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Franklin Gothic Boo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Franklin Gothic Boo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UK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GAPDH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Mouse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60004-1-Ig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PTG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UK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Second-antibody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Anti-Rabbit IgG/</w:t>
            </w: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Anti-Mouse IgG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S0001/S0002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strike w:val="0"/>
                <w:dstrike w:val="0"/>
                <w:color w:val="auto"/>
                <w:kern w:val="0"/>
                <w:sz w:val="21"/>
                <w:szCs w:val="21"/>
                <w:lang w:val="en-US" w:eastAsia="zh-CN" w:bidi="ar"/>
              </w:rPr>
              <w:t>Affinity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1/</w:t>
            </w: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  <w:r>
              <w:rPr>
                <w:rFonts w:hint="eastAsia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231F2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231F2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</w:tr>
    </w:tbl>
    <w:p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Franklin Gothic Book">
    <w:panose1 w:val="020B050302010202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915329"/>
    <w:rsid w:val="0C2B68DE"/>
    <w:rsid w:val="0E083E02"/>
    <w:rsid w:val="1953126E"/>
    <w:rsid w:val="1CAA3AF0"/>
    <w:rsid w:val="2B6B5AB3"/>
    <w:rsid w:val="38CC17E6"/>
    <w:rsid w:val="428176AB"/>
    <w:rsid w:val="4C667C0E"/>
    <w:rsid w:val="590E74BB"/>
    <w:rsid w:val="5AE46584"/>
    <w:rsid w:val="5F6E599E"/>
    <w:rsid w:val="5FB7115D"/>
    <w:rsid w:val="6C915329"/>
    <w:rsid w:val="7F41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2021-06-07T07:47:00Z</dcterms:created>
  <dc:creator>^O^</dc:creator>
  <cp:lastModifiedBy>^O^</cp:lastModifiedBy>
  <dcterms:modified xsi:type="dcterms:W3CDTF">2021-06-17T13:09:30Z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BF58AEB48DC0452C90C25B3B90221CC5</vt:lpwstr>
  </property>
</Properties>
</file>