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cs="Times New Roman"/>
          <w:highlight w:val="none"/>
        </w:rPr>
      </w:pPr>
      <w:r>
        <w:rPr>
          <w:rFonts w:eastAsia="宋体" w:cs="Times New Roman"/>
          <w:b/>
          <w:bCs/>
          <w:color w:val="auto"/>
          <w:highlight w:val="none"/>
        </w:rPr>
        <w:t>Supplementary Figure 1</w:t>
      </w:r>
      <w:r>
        <w:rPr>
          <w:rFonts w:cs="Times New Roman"/>
          <w:highlight w:val="none"/>
        </w:rPr>
        <w:t xml:space="preserve"> The effect of up-regulation or down-regulation of miR-149 or miR-758-3p on the expression of HIF-1α. A. The effect of up-regulation or down-regulation of miR-149 on the expression of HIF-1α; B. The effect of up-regulation or down-regulation of miR-758-3p on the expression of HIF-1α.</w:t>
      </w: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2021-10-22T13:47:47Z</dcterms:created>
  <dc:creator>asus</dc:creator>
  <cp:lastModifiedBy>asus</cp:lastModifiedBy>
  <dcterms:modified xsi:type="dcterms:W3CDTF">2021-10-22T13:48:08Z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54394193C81042F9A0EAA53735A8CE05</vt:lpwstr>
  </property>
</Properties>
</file>