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utoSpaceDE w:val="0"/>
        <w:autoSpaceDN w:val="0"/>
        <w:adjustRightInd w:val="0"/>
        <w:snapToGrid w:val="0"/>
        <w:spacing w:after="0" w:line="480" w:lineRule="auto"/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upplementary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F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igure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and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T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able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legends</w:t>
      </w:r>
    </w:p>
    <w:p>
      <w:pPr>
        <w:widowControl w:val="0"/>
        <w:autoSpaceDE w:val="0"/>
        <w:autoSpaceDN w:val="0"/>
        <w:adjustRightInd w:val="0"/>
        <w:snapToGrid w:val="0"/>
        <w:spacing w:after="0" w:line="480" w:lineRule="auto"/>
        <w:rPr>
          <w:rFonts w:hint="eastAsia" w:ascii="Times New Roman" w:hAnsi="Times New Roman" w:cs="Times New Roman"/>
          <w:sz w:val="24"/>
          <w:highlight w:val="none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Fig. S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Verification of knockdown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efficienc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ies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MTHFD2 from different siRNAs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A, B 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A549 and H1299 cells were transfected with siRNA scramble and four different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MTHFD2 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siRNAs for 72 h. </w:t>
      </w:r>
      <w:bookmarkStart w:id="0" w:name="OLE_LINK2"/>
      <w:r>
        <w:rPr>
          <w:rFonts w:hint="eastAsia" w:ascii="Times New Roman" w:hAnsi="Times New Roman" w:cs="Times New Roman"/>
          <w:sz w:val="24"/>
          <w:highlight w:val="none"/>
        </w:rPr>
        <w:t>Western blot analysis</w:t>
      </w:r>
      <w:bookmarkEnd w:id="0"/>
      <w:r>
        <w:rPr>
          <w:rFonts w:hint="eastAsia" w:ascii="Times New Roman" w:hAnsi="Times New Roman" w:cs="Times New Roman"/>
          <w:sz w:val="24"/>
          <w:highlight w:val="none"/>
        </w:rPr>
        <w:t xml:space="preserve"> was conducted to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validate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the knockdown efficiencies of</w:t>
      </w:r>
      <w:r>
        <w:rPr>
          <w:rFonts w:ascii="Times New Roman" w:hAnsi="Times New Roman" w:cs="Times New Roman"/>
          <w:sz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MTHFD2 in A549 and H1299 cells.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The quantification of MTHFD2 band density relative to </w:t>
      </w:r>
      <w:r>
        <w:rPr>
          <w:rFonts w:hint="default" w:ascii="Times New Roman" w:hAnsi="Times New Roman" w:cs="Times New Roman"/>
          <w:sz w:val="24"/>
          <w:highlight w:val="none"/>
          <w:lang w:val="en-US" w:eastAsia="zh-CN"/>
        </w:rPr>
        <w:t>β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-actin was shown below. </w:t>
      </w:r>
      <w:r>
        <w:rPr>
          <w:rFonts w:hint="eastAsia" w:ascii="Times New Roman" w:hAnsi="Times New Roman" w:cs="Times New Roman"/>
          <w:sz w:val="24"/>
          <w:highlight w:val="none"/>
        </w:rPr>
        <w:t>**</w:t>
      </w:r>
      <w:r>
        <w:rPr>
          <w:rFonts w:hint="eastAsia" w:ascii="Times New Roman" w:hAnsi="Times New Roman" w:cs="Times New Roman"/>
          <w:i/>
          <w:iCs/>
          <w:sz w:val="24"/>
          <w:highlight w:val="none"/>
        </w:rPr>
        <w:t>P</w:t>
      </w:r>
      <w:r>
        <w:rPr>
          <w:rFonts w:ascii="Times New Roman" w:hAnsi="Times New Roman" w:cs="Times New Roman"/>
          <w:i/>
          <w:iCs/>
          <w:sz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sz w:val="24"/>
          <w:highlight w:val="none"/>
        </w:rPr>
        <w:t>&lt; 0.01, ***</w:t>
      </w:r>
      <w:r>
        <w:rPr>
          <w:rFonts w:hint="eastAsia" w:ascii="Times New Roman" w:hAnsi="Times New Roman" w:cs="Times New Roman"/>
          <w:i/>
          <w:iCs/>
          <w:sz w:val="24"/>
          <w:highlight w:val="none"/>
        </w:rPr>
        <w:t>P</w:t>
      </w:r>
      <w:r>
        <w:rPr>
          <w:rFonts w:ascii="Times New Roman" w:hAnsi="Times New Roman" w:cs="Times New Roman"/>
          <w:i/>
          <w:iCs/>
          <w:sz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sz w:val="24"/>
          <w:highlight w:val="none"/>
        </w:rPr>
        <w:t>&lt; 0.001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 vs. si-NC group.</w:t>
      </w:r>
    </w:p>
    <w:p>
      <w:pPr>
        <w:widowControl w:val="0"/>
        <w:autoSpaceDE w:val="0"/>
        <w:autoSpaceDN w:val="0"/>
        <w:adjustRightInd w:val="0"/>
        <w:snapToGrid w:val="0"/>
        <w:spacing w:after="0" w:line="480" w:lineRule="auto"/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widowControl w:val="0"/>
        <w:autoSpaceDE w:val="0"/>
        <w:autoSpaceDN w:val="0"/>
        <w:adjustRightInd w:val="0"/>
        <w:snapToGrid w:val="0"/>
        <w:spacing w:after="0" w:line="480" w:lineRule="auto"/>
        <w:rPr>
          <w:rFonts w:hint="eastAsia" w:ascii="Times New Roman" w:hAnsi="Times New Roman" w:cs="Times New Roman"/>
          <w:sz w:val="24"/>
          <w:highlight w:val="none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Fig. S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Selection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successful MTHFD2-knockout clone by </w:t>
      </w:r>
      <w:r>
        <w:rPr>
          <w:rFonts w:hint="eastAsia" w:ascii="Times New Roman" w:hAnsi="Times New Roman" w:cs="Times New Roman"/>
          <w:b/>
          <w:color w:val="000000"/>
          <w:kern w:val="0"/>
          <w:sz w:val="24"/>
          <w:highlight w:val="none"/>
        </w:rPr>
        <w:t>CRISPR/Cas9</w:t>
      </w:r>
      <w:r>
        <w:rPr>
          <w:rFonts w:hint="eastAsia" w:ascii="Times New Roman" w:hAnsi="Times New Roman" w:cs="Times New Roman"/>
          <w:b/>
          <w:color w:val="000000"/>
          <w:kern w:val="0"/>
          <w:sz w:val="24"/>
          <w:highlight w:val="none"/>
          <w:lang w:val="en-US" w:eastAsia="zh-CN"/>
        </w:rPr>
        <w:t xml:space="preserve"> system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bookmarkStart w:id="1" w:name="OLE_LINK1"/>
      <w:r>
        <w:rPr>
          <w:rFonts w:hint="eastAsia" w:ascii="Times New Roman" w:hAnsi="Times New Roman" w:cs="Times New Roman"/>
          <w:sz w:val="24"/>
          <w:highlight w:val="none"/>
        </w:rPr>
        <w:t>A549 cells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 were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transfected with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virus derived from 293T cell </w:t>
      </w:r>
      <w:r>
        <w:rPr>
          <w:rFonts w:ascii="Times New Roman" w:hAnsi="Times New Roman" w:cs="Times New Roman"/>
          <w:color w:val="000000"/>
          <w:kern w:val="0"/>
          <w:sz w:val="24"/>
          <w:highlight w:val="none"/>
        </w:rPr>
        <w:t>supernatant</w:t>
      </w:r>
      <w:r>
        <w:rPr>
          <w:rFonts w:hint="eastAsia" w:ascii="Times New Roman" w:hAnsi="Times New Roman" w:cs="Times New Roman"/>
          <w:color w:val="000000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containing 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sgRNA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scramble 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and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three 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different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MTHFD2 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sgRNAs</w:t>
      </w:r>
      <w:bookmarkEnd w:id="1"/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. Stable express cells were obtained by adding </w:t>
      </w:r>
      <w:r>
        <w:rPr>
          <w:rFonts w:ascii="Times New Roman" w:hAnsi="Times New Roman" w:cs="Times New Roman"/>
          <w:color w:val="000000"/>
          <w:kern w:val="0"/>
          <w:sz w:val="24"/>
          <w:highlight w:val="none"/>
        </w:rPr>
        <w:t>400 ng/mL</w:t>
      </w:r>
      <w:r>
        <w:rPr>
          <w:rFonts w:hint="eastAsia" w:ascii="Times New Roman" w:hAnsi="Times New Roman" w:cs="Times New Roman"/>
          <w:color w:val="000000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puromycin. </w:t>
      </w:r>
      <w:r>
        <w:rPr>
          <w:rFonts w:hint="eastAsia" w:ascii="Times New Roman" w:hAnsi="Times New Roman" w:cs="Times New Roman"/>
          <w:color w:val="000000"/>
          <w:kern w:val="0"/>
          <w:sz w:val="24"/>
          <w:highlight w:val="none"/>
        </w:rPr>
        <w:t>Cells</w:t>
      </w:r>
      <w:r>
        <w:rPr>
          <w:rFonts w:ascii="Times New Roman" w:hAnsi="Times New Roman" w:cs="Times New Roman"/>
          <w:color w:val="000000"/>
          <w:kern w:val="0"/>
          <w:sz w:val="24"/>
          <w:highlight w:val="none"/>
        </w:rPr>
        <w:t xml:space="preserve"> were sorted and transferred to ninety-six well plates</w:t>
      </w:r>
      <w:r>
        <w:rPr>
          <w:rFonts w:hint="eastAsia" w:ascii="Times New Roman" w:hAnsi="Times New Roman" w:cs="Times New Roman"/>
          <w:color w:val="000000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000000"/>
          <w:kern w:val="0"/>
          <w:sz w:val="24"/>
          <w:highlight w:val="none"/>
        </w:rPr>
        <w:t>at the density of</w:t>
      </w:r>
      <w:r>
        <w:rPr>
          <w:rFonts w:hint="eastAsia" w:ascii="Times New Roman" w:hAnsi="Times New Roman" w:cs="Times New Roman"/>
          <w:color w:val="000000"/>
          <w:kern w:val="0"/>
          <w:sz w:val="24"/>
          <w:highlight w:val="none"/>
          <w:lang w:val="en-US" w:eastAsia="zh-CN"/>
        </w:rPr>
        <w:t xml:space="preserve"> one </w:t>
      </w:r>
      <w:r>
        <w:rPr>
          <w:rFonts w:hint="eastAsia" w:ascii="Times New Roman" w:hAnsi="Times New Roman" w:cs="Times New Roman"/>
          <w:color w:val="000000"/>
          <w:kern w:val="0"/>
          <w:sz w:val="24"/>
          <w:highlight w:val="none"/>
        </w:rPr>
        <w:t xml:space="preserve">single cell per well. 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Western blot analysis was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performed to select the </w:t>
      </w:r>
      <w:r>
        <w:rPr>
          <w:rFonts w:hint="eastAsia" w:ascii="Times New Roman" w:hAnsi="Times New Roman" w:cs="Times New Roman"/>
          <w:color w:val="000000"/>
          <w:kern w:val="0"/>
          <w:sz w:val="24"/>
          <w:highlight w:val="none"/>
        </w:rPr>
        <w:t>successful MTHFD2-</w:t>
      </w:r>
      <w:r>
        <w:rPr>
          <w:rFonts w:hint="eastAsia" w:ascii="Times New Roman" w:hAnsi="Times New Roman" w:cs="Times New Roman"/>
          <w:color w:val="000000"/>
          <w:kern w:val="0"/>
          <w:sz w:val="24"/>
          <w:highlight w:val="none"/>
          <w:lang w:val="en-US" w:eastAsia="zh-CN"/>
        </w:rPr>
        <w:t>knockout</w:t>
      </w:r>
      <w:r>
        <w:rPr>
          <w:rFonts w:hint="eastAsia" w:ascii="Times New Roman" w:hAnsi="Times New Roman" w:cs="Times New Roman"/>
          <w:color w:val="000000"/>
          <w:kern w:val="0"/>
          <w:sz w:val="24"/>
          <w:highlight w:val="none"/>
        </w:rPr>
        <w:t xml:space="preserve"> cell clone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. The quantification of MTHFD2 band density relative to </w:t>
      </w:r>
      <w:r>
        <w:rPr>
          <w:rFonts w:hint="default" w:ascii="Times New Roman" w:hAnsi="Times New Roman" w:cs="Times New Roman"/>
          <w:sz w:val="24"/>
          <w:highlight w:val="none"/>
          <w:lang w:val="en-US" w:eastAsia="zh-CN"/>
        </w:rPr>
        <w:t>α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-tubulin was shown below. </w:t>
      </w:r>
      <w:r>
        <w:rPr>
          <w:rFonts w:hint="eastAsia" w:ascii="Times New Roman" w:hAnsi="Times New Roman" w:cs="Times New Roman"/>
          <w:sz w:val="24"/>
          <w:highlight w:val="none"/>
        </w:rPr>
        <w:t>*</w:t>
      </w:r>
      <w:r>
        <w:rPr>
          <w:rFonts w:hint="eastAsia" w:ascii="Times New Roman" w:hAnsi="Times New Roman" w:cs="Times New Roman"/>
          <w:i/>
          <w:iCs/>
          <w:sz w:val="24"/>
          <w:highlight w:val="none"/>
        </w:rPr>
        <w:t>P</w:t>
      </w:r>
      <w:r>
        <w:rPr>
          <w:rFonts w:ascii="Times New Roman" w:hAnsi="Times New Roman" w:cs="Times New Roman"/>
          <w:i/>
          <w:iCs/>
          <w:sz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sz w:val="24"/>
          <w:highlight w:val="none"/>
        </w:rPr>
        <w:t>&lt; 0.0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5</w:t>
      </w:r>
      <w:r>
        <w:rPr>
          <w:rFonts w:hint="eastAsia" w:ascii="Times New Roman" w:hAnsi="Times New Roman" w:cs="Times New Roman"/>
          <w:sz w:val="24"/>
          <w:highlight w:val="none"/>
        </w:rPr>
        <w:t>, **</w:t>
      </w:r>
      <w:r>
        <w:rPr>
          <w:rFonts w:hint="eastAsia" w:ascii="Times New Roman" w:hAnsi="Times New Roman" w:cs="Times New Roman"/>
          <w:i/>
          <w:iCs/>
          <w:sz w:val="24"/>
          <w:highlight w:val="none"/>
        </w:rPr>
        <w:t>P</w:t>
      </w:r>
      <w:r>
        <w:rPr>
          <w:rFonts w:ascii="Times New Roman" w:hAnsi="Times New Roman" w:cs="Times New Roman"/>
          <w:i/>
          <w:iCs/>
          <w:sz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sz w:val="24"/>
          <w:highlight w:val="none"/>
        </w:rPr>
        <w:t>&lt; 0.01, ***</w:t>
      </w:r>
      <w:r>
        <w:rPr>
          <w:rFonts w:hint="eastAsia" w:ascii="Times New Roman" w:hAnsi="Times New Roman" w:cs="Times New Roman"/>
          <w:i/>
          <w:iCs/>
          <w:sz w:val="24"/>
          <w:highlight w:val="none"/>
        </w:rPr>
        <w:t>P</w:t>
      </w:r>
      <w:r>
        <w:rPr>
          <w:rFonts w:ascii="Times New Roman" w:hAnsi="Times New Roman" w:cs="Times New Roman"/>
          <w:i/>
          <w:iCs/>
          <w:sz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sz w:val="24"/>
          <w:highlight w:val="none"/>
        </w:rPr>
        <w:t>&lt; 0.001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 </w:t>
      </w:r>
      <w:r>
        <w:rPr>
          <w:rFonts w:ascii="Times New Roman" w:hAnsi="Times New Roman" w:eastAsia="黑体" w:cs="Times New Roman"/>
          <w:sz w:val="24"/>
          <w:highlight w:val="none"/>
        </w:rPr>
        <w:t>vs.</w:t>
      </w:r>
      <w:r>
        <w:rPr>
          <w:rFonts w:hint="default" w:ascii="Times New Roman" w:hAnsi="Times New Roman" w:cs="Times New Roman"/>
          <w:bCs/>
          <w:color w:val="000000"/>
          <w:sz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bCs/>
          <w:color w:val="000000"/>
          <w:sz w:val="24"/>
          <w:highlight w:val="none"/>
          <w:lang w:eastAsia="zh-CN"/>
        </w:rPr>
        <w:t>s</w:t>
      </w:r>
      <w:r>
        <w:rPr>
          <w:rFonts w:hint="eastAsia" w:ascii="Times New Roman" w:hAnsi="Times New Roman" w:cs="Times New Roman"/>
          <w:bCs/>
          <w:color w:val="000000"/>
          <w:sz w:val="24"/>
          <w:highlight w:val="none"/>
          <w:lang w:val="en-US" w:eastAsia="zh-CN"/>
        </w:rPr>
        <w:t>gNC clone 1</w:t>
      </w:r>
      <w:r>
        <w:rPr>
          <w:rFonts w:hint="default" w:ascii="Times New Roman" w:hAnsi="Times New Roman" w:cs="Times New Roman"/>
          <w:bCs/>
          <w:color w:val="000000"/>
          <w:sz w:val="24"/>
          <w:highlight w:val="none"/>
          <w:lang w:val="en-US" w:eastAsia="zh-CN"/>
        </w:rPr>
        <w:t xml:space="preserve"> group</w:t>
      </w:r>
      <w:r>
        <w:rPr>
          <w:rFonts w:hint="eastAsia" w:ascii="Times New Roman" w:hAnsi="Times New Roman" w:cs="Times New Roman"/>
          <w:bCs/>
          <w:color w:val="000000"/>
          <w:sz w:val="24"/>
          <w:highlight w:val="none"/>
          <w:lang w:val="en-US" w:eastAsia="zh-CN"/>
        </w:rPr>
        <w:t>.</w:t>
      </w:r>
    </w:p>
    <w:p>
      <w:pPr>
        <w:widowControl w:val="0"/>
        <w:autoSpaceDE w:val="0"/>
        <w:autoSpaceDN w:val="0"/>
        <w:adjustRightInd w:val="0"/>
        <w:snapToGrid w:val="0"/>
        <w:spacing w:after="0" w:line="480" w:lineRule="auto"/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widowControl/>
        <w:spacing w:after="0" w:line="480" w:lineRule="auto"/>
        <w:jc w:val="left"/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</w:rPr>
        <w:t xml:space="preserve">Table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  <w:t>S</w:t>
      </w:r>
      <w:r>
        <w:rPr>
          <w:rFonts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</w:rPr>
        <w:t>1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  <w:t>siRNA s</w:t>
      </w:r>
      <w:r>
        <w:rPr>
          <w:rFonts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</w:rPr>
        <w:t>equences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  <w:t xml:space="preserve"> against </w:t>
      </w:r>
      <w:r>
        <w:rPr>
          <w:rFonts w:hint="eastAsia" w:ascii="Times New Roman" w:hAnsi="Times New Roman" w:cs="Times New Roman"/>
          <w:b/>
          <w:bCs w:val="0"/>
          <w:i/>
          <w:iCs/>
          <w:color w:val="000000"/>
          <w:kern w:val="0"/>
          <w:sz w:val="24"/>
          <w:szCs w:val="24"/>
          <w:highlight w:val="none"/>
          <w:lang w:val="en-US" w:eastAsia="zh-CN"/>
        </w:rPr>
        <w:t>MTHFD2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  <w:t>.</w:t>
      </w:r>
    </w:p>
    <w:p>
      <w:pPr>
        <w:widowControl/>
        <w:spacing w:after="0" w:line="480" w:lineRule="auto"/>
        <w:jc w:val="left"/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</w:pPr>
    </w:p>
    <w:p>
      <w:pPr>
        <w:widowControl/>
        <w:spacing w:after="0" w:line="480" w:lineRule="auto"/>
        <w:jc w:val="left"/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</w:rPr>
        <w:t xml:space="preserve">Table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  <w:t>S2.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  <w:t>sgRNA</w:t>
      </w:r>
      <w:r>
        <w:rPr>
          <w:rFonts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</w:rPr>
        <w:t xml:space="preserve"> sequences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  <w:t xml:space="preserve">targeting </w:t>
      </w:r>
      <w:r>
        <w:rPr>
          <w:rFonts w:hint="eastAsia" w:ascii="Times New Roman" w:hAnsi="Times New Roman" w:cs="Times New Roman"/>
          <w:b/>
          <w:bCs w:val="0"/>
          <w:i/>
          <w:iCs/>
          <w:color w:val="000000"/>
          <w:kern w:val="0"/>
          <w:sz w:val="24"/>
          <w:szCs w:val="24"/>
          <w:highlight w:val="none"/>
          <w:lang w:val="en-US" w:eastAsia="zh-CN"/>
        </w:rPr>
        <w:t>MTHFD2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  <w:t>.</w:t>
      </w:r>
    </w:p>
    <w:p>
      <w:pPr>
        <w:widowControl/>
        <w:spacing w:after="0" w:line="480" w:lineRule="auto"/>
        <w:jc w:val="left"/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</w:pPr>
    </w:p>
    <w:p>
      <w:pPr>
        <w:widowControl/>
        <w:spacing w:after="0" w:line="480" w:lineRule="auto"/>
        <w:jc w:val="left"/>
        <w:rPr>
          <w:rFonts w:hint="eastAsia" w:ascii="Times New Roman" w:hAnsi="Times New Roman" w:cs="Times New Roman" w:eastAsiaTheme="minorEastAsia"/>
          <w:b/>
          <w:bCs w:val="0"/>
          <w:sz w:val="24"/>
          <w:szCs w:val="24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</w:rPr>
        <w:t xml:space="preserve">Table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  <w:t>S3. P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</w:rPr>
        <w:t>rimer</w:t>
      </w:r>
      <w:r>
        <w:rPr>
          <w:rFonts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</w:rPr>
        <w:t xml:space="preserve"> sequences for </w:t>
      </w:r>
      <w:bookmarkStart w:id="2" w:name="OLE_LINK3"/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  <w:t>qRT-</w:t>
      </w:r>
      <w:bookmarkEnd w:id="2"/>
      <w:r>
        <w:rPr>
          <w:rFonts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</w:rPr>
        <w:t>PCR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  <w:t>.</w:t>
      </w:r>
    </w:p>
    <w:p>
      <w:pPr>
        <w:widowControl/>
        <w:spacing w:after="0" w:line="480" w:lineRule="auto"/>
        <w:jc w:val="left"/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</w:pPr>
    </w:p>
    <w:p>
      <w:pPr>
        <w:widowControl/>
        <w:spacing w:after="0" w:line="480" w:lineRule="auto"/>
        <w:jc w:val="left"/>
        <w:rPr>
          <w:rFonts w:hint="eastAsia" w:ascii="Times New Roman" w:hAnsi="Times New Roman" w:cs="Times New Roman"/>
          <w:sz w:val="24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</w:rPr>
        <w:t xml:space="preserve">Table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  <w:t>S4.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  <w:t>Detailed information of the antibodies.</w:t>
      </w:r>
      <w:bookmarkStart w:id="3" w:name="_GoBack"/>
      <w:bookmarkEnd w:id="3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7B3559"/>
    <w:rsid w:val="0EBB2ECC"/>
    <w:rsid w:val="0F1A5AB0"/>
    <w:rsid w:val="0F972E20"/>
    <w:rsid w:val="169A34B0"/>
    <w:rsid w:val="18FD6DEE"/>
    <w:rsid w:val="43347074"/>
    <w:rsid w:val="434610FB"/>
    <w:rsid w:val="4FC74FEC"/>
    <w:rsid w:val="54D83B71"/>
    <w:rsid w:val="575F3B30"/>
    <w:rsid w:val="58952A96"/>
    <w:rsid w:val="5D5A03CE"/>
    <w:rsid w:val="69D911D2"/>
    <w:rsid w:val="6B210486"/>
    <w:rsid w:val="6D071ACE"/>
    <w:rsid w:val="73763F2C"/>
    <w:rsid w:val="753F7BF0"/>
    <w:rsid w:val="761B3C6C"/>
    <w:rsid w:val="7CB6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2022-04-30T02:24:43Z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