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0C977" w14:textId="77777777" w:rsidR="00CB45B3" w:rsidRPr="00CB45B3" w:rsidRDefault="00CB45B3" w:rsidP="00CB45B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45B3">
        <w:rPr>
          <w:rFonts w:ascii="Times New Roman" w:hAnsi="Times New Roman" w:cs="Times New Roman"/>
          <w:b/>
          <w:sz w:val="24"/>
          <w:szCs w:val="24"/>
        </w:rPr>
        <w:t>Nucleosome Remodeling and Deacetylation Complex and MBD3 Influence Mouse Naïve Embryonic Stem Cell Pluripotency under Inhibition of Protein Kinase C</w:t>
      </w:r>
    </w:p>
    <w:p w14:paraId="240DC023" w14:textId="77777777" w:rsidR="00CB45B3" w:rsidRPr="00CB45B3" w:rsidRDefault="00CB45B3" w:rsidP="00CB45B3">
      <w:pPr>
        <w:widowControl/>
        <w:spacing w:line="480" w:lineRule="auto"/>
        <w:jc w:val="left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Supplementary Data</w:t>
      </w:r>
    </w:p>
    <w:p w14:paraId="3E90BEDB" w14:textId="77777777" w:rsidR="00CB45B3" w:rsidRPr="00CB45B3" w:rsidRDefault="00CB45B3" w:rsidP="00CB45B3">
      <w:pPr>
        <w:pStyle w:val="EndNoteBibliography"/>
        <w:spacing w:line="480" w:lineRule="auto"/>
        <w:rPr>
          <w:rFonts w:ascii="Times New Roman" w:eastAsia="宋体" w:hAnsi="Times New Roman" w:cs="Times New Roman"/>
          <w:sz w:val="21"/>
          <w:szCs w:val="21"/>
        </w:rPr>
      </w:pPr>
      <w:r w:rsidRPr="00CB45B3">
        <w:rPr>
          <w:rFonts w:ascii="Times New Roman" w:hAnsi="Times New Roman" w:cs="Times New Roman"/>
          <w:b/>
          <w:sz w:val="24"/>
          <w:szCs w:val="24"/>
        </w:rPr>
        <w:t xml:space="preserve">Figure S1. PKCi-derived mES expressed pluripotency and naïve-state markers but not primed-state markers. </w:t>
      </w:r>
      <w:r w:rsidRPr="00CB45B3">
        <w:rPr>
          <w:rFonts w:ascii="Times New Roman" w:hAnsi="Times New Roman" w:cs="Times New Roman"/>
          <w:sz w:val="24"/>
          <w:szCs w:val="24"/>
        </w:rPr>
        <w:t>(</w:t>
      </w:r>
      <w:r w:rsidRPr="00CB45B3">
        <w:rPr>
          <w:rFonts w:ascii="Times New Roman" w:hAnsi="Times New Roman" w:cs="Times New Roman"/>
          <w:b/>
          <w:sz w:val="24"/>
          <w:szCs w:val="24"/>
        </w:rPr>
        <w:t>A</w:t>
      </w:r>
      <w:r w:rsidRPr="00CB45B3">
        <w:rPr>
          <w:rFonts w:ascii="Times New Roman" w:hAnsi="Times New Roman" w:cs="Times New Roman"/>
          <w:sz w:val="24"/>
          <w:szCs w:val="24"/>
        </w:rPr>
        <w:t xml:space="preserve">) qPCR showed that compared with the mouse embryonic fibroblast (MEF) control group, mRNA levels of pluripotency markers </w:t>
      </w:r>
      <w:r w:rsidRPr="00CB45B3">
        <w:rPr>
          <w:rFonts w:ascii="Times New Roman" w:hAnsi="Times New Roman" w:cs="Times New Roman"/>
          <w:i/>
          <w:sz w:val="24"/>
          <w:szCs w:val="24"/>
        </w:rPr>
        <w:t>NANOG</w:t>
      </w:r>
      <w:r w:rsidRPr="00CB45B3">
        <w:rPr>
          <w:rFonts w:ascii="Times New Roman" w:hAnsi="Times New Roman" w:cs="Times New Roman"/>
          <w:sz w:val="24"/>
          <w:szCs w:val="24"/>
        </w:rPr>
        <w:t xml:space="preserve">, </w:t>
      </w:r>
      <w:r w:rsidRPr="00CB45B3">
        <w:rPr>
          <w:rFonts w:ascii="Times New Roman" w:hAnsi="Times New Roman" w:cs="Times New Roman"/>
          <w:i/>
          <w:sz w:val="24"/>
          <w:szCs w:val="24"/>
        </w:rPr>
        <w:t>OCT4</w:t>
      </w:r>
      <w:r w:rsidRPr="00CB45B3">
        <w:rPr>
          <w:rFonts w:ascii="Times New Roman" w:hAnsi="Times New Roman" w:cs="Times New Roman"/>
          <w:sz w:val="24"/>
          <w:szCs w:val="24"/>
        </w:rPr>
        <w:t xml:space="preserve">, </w:t>
      </w:r>
      <w:r w:rsidRPr="00CB45B3">
        <w:rPr>
          <w:rFonts w:ascii="Times New Roman" w:hAnsi="Times New Roman" w:cs="Times New Roman"/>
          <w:i/>
          <w:sz w:val="24"/>
          <w:szCs w:val="24"/>
        </w:rPr>
        <w:t>C-MYC,</w:t>
      </w:r>
      <w:r w:rsidRPr="00CB45B3">
        <w:rPr>
          <w:rFonts w:ascii="Times New Roman" w:hAnsi="Times New Roman" w:cs="Times New Roman"/>
          <w:sz w:val="24"/>
          <w:szCs w:val="24"/>
        </w:rPr>
        <w:t xml:space="preserve"> and </w:t>
      </w:r>
      <w:r w:rsidRPr="00CB45B3">
        <w:rPr>
          <w:rFonts w:ascii="Times New Roman" w:hAnsi="Times New Roman" w:cs="Times New Roman"/>
          <w:i/>
          <w:sz w:val="24"/>
          <w:szCs w:val="24"/>
        </w:rPr>
        <w:t>SOX2</w:t>
      </w:r>
      <w:r w:rsidRPr="00CB45B3">
        <w:rPr>
          <w:rFonts w:ascii="Times New Roman" w:hAnsi="Times New Roman" w:cs="Times New Roman"/>
          <w:sz w:val="24"/>
          <w:szCs w:val="24"/>
        </w:rPr>
        <w:t xml:space="preserve"> were highly expressed in PKCi-derived mES at passage 3, with 2iL-derived mES used as a positive control. (</w:t>
      </w:r>
      <w:r w:rsidRPr="00CB45B3">
        <w:rPr>
          <w:rFonts w:ascii="Times New Roman" w:hAnsi="Times New Roman" w:cs="Times New Roman"/>
          <w:b/>
          <w:sz w:val="24"/>
          <w:szCs w:val="24"/>
        </w:rPr>
        <w:t>B</w:t>
      </w:r>
      <w:r w:rsidRPr="00CB45B3">
        <w:rPr>
          <w:rFonts w:ascii="Times New Roman" w:hAnsi="Times New Roman" w:cs="Times New Roman"/>
          <w:sz w:val="24"/>
          <w:szCs w:val="24"/>
        </w:rPr>
        <w:t xml:space="preserve">) 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qPCR showed that compared with MEF control, mRNA levels of naïve-state markers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FGF4, NROB1, REX1,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and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 xml:space="preserve"> KLF4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were highly expressed. (</w:t>
      </w:r>
      <w:r w:rsidRPr="00CB45B3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Pr="00CB45B3">
        <w:rPr>
          <w:rFonts w:ascii="Times New Roman" w:eastAsia="宋体" w:hAnsi="Times New Roman" w:cs="Times New Roman"/>
          <w:bCs/>
          <w:sz w:val="24"/>
          <w:szCs w:val="24"/>
        </w:rPr>
        <w:t xml:space="preserve">) </w:t>
      </w:r>
      <w:r w:rsidRPr="00CB45B3">
        <w:rPr>
          <w:rFonts w:ascii="Times New Roman" w:eastAsia="宋体" w:hAnsi="Times New Roman" w:cs="Times New Roman"/>
          <w:sz w:val="24"/>
          <w:szCs w:val="24"/>
        </w:rPr>
        <w:t>qPCR showed that compared with the MEF group, mRNA levels of primed-state markers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 xml:space="preserve"> FGF5 </w:t>
      </w:r>
      <w:r w:rsidRPr="00CB45B3">
        <w:rPr>
          <w:rFonts w:ascii="Times New Roman" w:eastAsia="宋体" w:hAnsi="Times New Roman" w:cs="Times New Roman"/>
          <w:sz w:val="24"/>
          <w:szCs w:val="24"/>
        </w:rPr>
        <w:t>and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 xml:space="preserve"> T</w:t>
      </w:r>
      <w:r w:rsidRPr="00CB45B3" w:rsidDel="00F11DCE">
        <w:rPr>
          <w:rFonts w:ascii="Times New Roman" w:eastAsia="宋体" w:hAnsi="Times New Roman" w:cs="Times New Roman"/>
          <w:i/>
          <w:sz w:val="24"/>
          <w:szCs w:val="24"/>
        </w:rPr>
        <w:t xml:space="preserve"> </w:t>
      </w:r>
      <w:r w:rsidRPr="00CB45B3">
        <w:rPr>
          <w:rFonts w:ascii="Times New Roman" w:eastAsia="宋体" w:hAnsi="Times New Roman" w:cs="Times New Roman"/>
          <w:sz w:val="24"/>
          <w:szCs w:val="24"/>
        </w:rPr>
        <w:t>were minimally expressed. (</w:t>
      </w:r>
      <w:r w:rsidRPr="00CB45B3">
        <w:rPr>
          <w:rFonts w:ascii="Times New Roman" w:eastAsia="宋体" w:hAnsi="Times New Roman" w:cs="Times New Roman"/>
          <w:b/>
          <w:sz w:val="24"/>
          <w:szCs w:val="24"/>
        </w:rPr>
        <w:t>D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) Immunostaining showed that shMBD3 did not affect the morphology of PKCi-derived mES at passage 5, which expressed NANOG, with PKCi and shNC groups used as controls. Scale bar, 200 μm. </w:t>
      </w:r>
      <w:r w:rsidRPr="00CB45B3">
        <w:rPr>
          <w:rFonts w:ascii="Times New Roman" w:hAnsi="Times New Roman" w:cs="Times New Roman"/>
          <w:color w:val="000000" w:themeColor="text1"/>
          <w:sz w:val="24"/>
          <w:szCs w:val="24"/>
        </w:rPr>
        <w:t>Data were shown as mean ± SD (n=3). The letters a and b indicated significant differences among groups (</w:t>
      </w:r>
      <w:r w:rsidRPr="00CB45B3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</w:t>
      </w:r>
      <w:r w:rsidRPr="00CB45B3">
        <w:rPr>
          <w:rFonts w:ascii="Times New Roman" w:hAnsi="Times New Roman" w:cs="Times New Roman"/>
          <w:color w:val="000000" w:themeColor="text1"/>
          <w:sz w:val="24"/>
          <w:szCs w:val="24"/>
        </w:rPr>
        <w:t>&lt;0.05).</w:t>
      </w:r>
    </w:p>
    <w:p w14:paraId="51F69D9E" w14:textId="77777777" w:rsidR="00CB45B3" w:rsidRPr="00CB45B3" w:rsidRDefault="00CB45B3" w:rsidP="00CB45B3">
      <w:pPr>
        <w:spacing w:line="480" w:lineRule="auto"/>
        <w:rPr>
          <w:rFonts w:ascii="Times New Roman" w:eastAsia="宋体" w:hAnsi="Times New Roman" w:cs="Times New Roman"/>
          <w:szCs w:val="21"/>
        </w:rPr>
      </w:pP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Figure S2. Knockdown of PKC</w:t>
      </w: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l-GR"/>
        </w:rPr>
        <w:t xml:space="preserve">ζ was sufficient to maintain mES self-renewal. </w:t>
      </w:r>
      <w:r w:rsidRPr="00CB45B3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el-GR"/>
        </w:rPr>
        <w:t>(</w:t>
      </w: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l-GR"/>
        </w:rPr>
        <w:t>A</w:t>
      </w:r>
      <w:r w:rsidRPr="00CB45B3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  <w:lang w:val="el-GR"/>
        </w:rPr>
        <w:t>)</w:t>
      </w: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val="el-GR"/>
        </w:rPr>
        <w:t xml:space="preserve">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PKC inhibitor removal for 48 h induced passage 5 mES differentiation, which was reversed by knockdown of PKC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>ζ with KD1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or KD2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 xml:space="preserve">,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with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>PKCi used as a positive control (upper panel). Few mES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 showed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 xml:space="preserve"> AP staining after PKC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i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 xml:space="preserve"> remov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al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 xml:space="preserve">.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Scale 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bar, 200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>. (</w:t>
      </w:r>
      <w:r w:rsidRPr="00CB45B3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) Compared with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removal decreased the percentage of AP-positive colonies, which was partially reversed by knockdown of PKC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l-GR"/>
        </w:rPr>
        <w:t>ζ with KD1 or KD2.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</w:t>
      </w: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C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) 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Immunostaining showed that MBD3 overexpression induced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-derived </w:t>
      </w:r>
      <w:r w:rsidRPr="00CB45B3">
        <w:rPr>
          <w:rFonts w:ascii="Times New Roman" w:eastAsia="宋体" w:hAnsi="Times New Roman" w:cs="Times New Roman"/>
          <w:sz w:val="24"/>
          <w:szCs w:val="24"/>
        </w:rPr>
        <w:lastRenderedPageBreak/>
        <w:t xml:space="preserve">differentiation of passage 5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mES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which did not express NANOG. Scale bar, 200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>.</w:t>
      </w:r>
      <w:r w:rsidRPr="00CB4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Data were shown as mean ± SD (n=3).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The letters a, b, c, and d indicated significant differences among groups (</w:t>
      </w:r>
      <w:r w:rsidRPr="00CB45B3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>P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&lt;0.05).</w:t>
      </w:r>
    </w:p>
    <w:p w14:paraId="7D0989DD" w14:textId="77777777" w:rsidR="00CB45B3" w:rsidRPr="004E4306" w:rsidRDefault="00CB45B3" w:rsidP="00CB45B3">
      <w:pPr>
        <w:spacing w:line="480" w:lineRule="auto"/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</w:pP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Figure S3. MBD3 knockdown partially reversed the upregulation of differentiation genes induced by removal of PKC inhibitor.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</w:t>
      </w: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>A–D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 xml:space="preserve">) 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Immunostaining showed that PKC inhibitor removal for 48 h induced differentiation of passage 5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mES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which did not express NANOG. MBD3 knockdown partially reversed this differentiation and loss of NANOG expression, with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used as a positive control and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shNC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with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removal used as a knockdown control. Scale bar, 200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>.</w:t>
      </w:r>
      <w:r w:rsidRPr="00CB45B3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</w:rPr>
        <w:t xml:space="preserve"> </w:t>
      </w:r>
      <w:r w:rsidRPr="00CB45B3">
        <w:rPr>
          <w:rFonts w:ascii="Times New Roman" w:eastAsia="宋体" w:hAnsi="Times New Roman" w:cs="Times New Roman"/>
          <w:sz w:val="24"/>
          <w:szCs w:val="24"/>
        </w:rPr>
        <w:t>(</w:t>
      </w:r>
      <w:r w:rsidRPr="00CB45B3">
        <w:rPr>
          <w:rFonts w:ascii="Times New Roman" w:eastAsia="宋体" w:hAnsi="Times New Roman" w:cs="Times New Roman"/>
          <w:b/>
          <w:sz w:val="24"/>
          <w:szCs w:val="24"/>
        </w:rPr>
        <w:t>E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) qPCR showed that compared with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removal of </w:t>
      </w:r>
      <w:proofErr w:type="spellStart"/>
      <w:r w:rsidRPr="00CB45B3">
        <w:rPr>
          <w:rFonts w:ascii="Times New Roman" w:eastAsia="宋体" w:hAnsi="Times New Roman" w:cs="Times New Roman"/>
          <w:sz w:val="24"/>
          <w:szCs w:val="24"/>
        </w:rPr>
        <w:t>PKCi</w:t>
      </w:r>
      <w:proofErr w:type="spellEnd"/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increased mRNA levels of differentiation genes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CK8</w:t>
      </w:r>
      <w:r w:rsidRPr="00CB45B3">
        <w:rPr>
          <w:rFonts w:ascii="Times New Roman" w:eastAsia="宋体" w:hAnsi="Times New Roman" w:cs="Times New Roman"/>
          <w:sz w:val="24"/>
          <w:szCs w:val="24"/>
        </w:rPr>
        <w:t>,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 xml:space="preserve"> BMP4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DESMIN</w:t>
      </w:r>
      <w:r w:rsidRPr="00CB45B3">
        <w:rPr>
          <w:rFonts w:ascii="Times New Roman" w:eastAsia="宋体" w:hAnsi="Times New Roman" w:cs="Times New Roman"/>
          <w:sz w:val="24"/>
          <w:szCs w:val="24"/>
        </w:rPr>
        <w:t>,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 xml:space="preserve"> PAX6,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SOX17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whereas MBD3 knockdown partially decreased levels of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BMP4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,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PAX6,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r w:rsidRPr="00CB45B3">
        <w:rPr>
          <w:rFonts w:ascii="Times New Roman" w:eastAsia="宋体" w:hAnsi="Times New Roman" w:cs="Times New Roman"/>
          <w:i/>
          <w:sz w:val="24"/>
          <w:szCs w:val="24"/>
        </w:rPr>
        <w:t>SOX17</w:t>
      </w:r>
      <w:r w:rsidRPr="00CB45B3">
        <w:rPr>
          <w:rFonts w:ascii="Times New Roman" w:eastAsia="宋体" w:hAnsi="Times New Roman" w:cs="Times New Roman"/>
          <w:sz w:val="24"/>
          <w:szCs w:val="24"/>
        </w:rPr>
        <w:t xml:space="preserve">. </w:t>
      </w:r>
      <w:r w:rsidRPr="00CB45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were shown as mean ± SD (n=3). 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The letters a, b, and c indicated significant differences among groups (</w:t>
      </w:r>
      <w:r w:rsidRPr="00CB45B3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t>P</w:t>
      </w:r>
      <w:r w:rsidRPr="00CB45B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&lt;0.05).</w:t>
      </w:r>
    </w:p>
    <w:p w14:paraId="41B3B69B" w14:textId="705082B4" w:rsidR="00F24074" w:rsidRDefault="00F24074" w:rsidP="00342B92">
      <w:pPr>
        <w:widowControl/>
        <w:spacing w:after="160" w:line="259" w:lineRule="auto"/>
        <w:jc w:val="left"/>
        <w:rPr>
          <w:rFonts w:hint="eastAsia"/>
        </w:rPr>
      </w:pPr>
    </w:p>
    <w:sectPr w:rsidR="00F240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93F3E" w14:textId="77777777" w:rsidR="009C2218" w:rsidRDefault="009C2218" w:rsidP="00B4359F">
      <w:r>
        <w:separator/>
      </w:r>
    </w:p>
  </w:endnote>
  <w:endnote w:type="continuationSeparator" w:id="0">
    <w:p w14:paraId="5EF524EA" w14:textId="77777777" w:rsidR="009C2218" w:rsidRDefault="009C2218" w:rsidP="00B43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237EE" w14:textId="77777777" w:rsidR="009C2218" w:rsidRDefault="009C2218" w:rsidP="00B4359F">
      <w:r>
        <w:separator/>
      </w:r>
    </w:p>
  </w:footnote>
  <w:footnote w:type="continuationSeparator" w:id="0">
    <w:p w14:paraId="7BB2381E" w14:textId="77777777" w:rsidR="009C2218" w:rsidRDefault="009C2218" w:rsidP="00B43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5B3"/>
    <w:rsid w:val="000A067C"/>
    <w:rsid w:val="00234679"/>
    <w:rsid w:val="00342B92"/>
    <w:rsid w:val="00452548"/>
    <w:rsid w:val="00462AA0"/>
    <w:rsid w:val="0070678E"/>
    <w:rsid w:val="00835287"/>
    <w:rsid w:val="009C2218"/>
    <w:rsid w:val="00A41373"/>
    <w:rsid w:val="00B17567"/>
    <w:rsid w:val="00B4359F"/>
    <w:rsid w:val="00B85B9D"/>
    <w:rsid w:val="00B9100A"/>
    <w:rsid w:val="00BC1588"/>
    <w:rsid w:val="00CB45B3"/>
    <w:rsid w:val="00CF250F"/>
    <w:rsid w:val="00EE005A"/>
    <w:rsid w:val="00F2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705B5F"/>
  <w15:chartTrackingRefBased/>
  <w15:docId w15:val="{5FD7F183-21BE-4021-9AD2-19E7EF91F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5B3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Char"/>
    <w:rsid w:val="00CB45B3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CB45B3"/>
    <w:rPr>
      <w:rFonts w:ascii="Calibri" w:hAnsi="Calibri" w:cs="Calibri"/>
      <w:noProof/>
      <w:kern w:val="2"/>
      <w:sz w:val="20"/>
    </w:rPr>
  </w:style>
  <w:style w:type="character" w:styleId="a3">
    <w:name w:val="annotation reference"/>
    <w:basedOn w:val="a0"/>
    <w:uiPriority w:val="99"/>
    <w:semiHidden/>
    <w:unhideWhenUsed/>
    <w:rsid w:val="00CB45B3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CB45B3"/>
    <w:rPr>
      <w:sz w:val="20"/>
      <w:szCs w:val="20"/>
    </w:rPr>
  </w:style>
  <w:style w:type="character" w:customStyle="1" w:styleId="a5">
    <w:name w:val="批注文字 字符"/>
    <w:basedOn w:val="a0"/>
    <w:link w:val="a4"/>
    <w:uiPriority w:val="99"/>
    <w:rsid w:val="00CB45B3"/>
    <w:rPr>
      <w:kern w:val="2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CB45B3"/>
    <w:rPr>
      <w:rFonts w:ascii="Segoe UI" w:hAnsi="Segoe UI" w:cs="Segoe UI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CB45B3"/>
    <w:rPr>
      <w:rFonts w:ascii="Segoe UI" w:hAnsi="Segoe UI" w:cs="Segoe UI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43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B4359F"/>
    <w:rPr>
      <w:kern w:val="2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B43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B4359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Fuliang Du</dc:creator>
  <cp:keywords/>
  <dc:description/>
  <cp:lastModifiedBy>刘 智辉</cp:lastModifiedBy>
  <cp:revision>3</cp:revision>
  <dcterms:created xsi:type="dcterms:W3CDTF">2022-05-26T14:42:00Z</dcterms:created>
  <dcterms:modified xsi:type="dcterms:W3CDTF">2022-07-13T14:32:00Z</dcterms:modified>
</cp:coreProperties>
</file>