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480" w:lineRule="auto"/>
        <w:ind w:firstLine="0" w:firstLineChars="0"/>
        <w:jc w:val="left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Legen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ds:</w:t>
      </w:r>
    </w:p>
    <w:p>
      <w:pPr>
        <w:pStyle w:val="6"/>
        <w:spacing w:line="480" w:lineRule="auto"/>
        <w:ind w:firstLine="0" w:firstLineChars="0"/>
        <w:jc w:val="left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 xml:space="preserve">Supplementary figure 1: Fundus photography and OCT examination of III-8, IV-7, V-1, III-4, and IV-5 in this family. </w:t>
      </w:r>
      <w:r>
        <w:rPr>
          <w:rFonts w:ascii="Times New Roman" w:hAnsi="Times New Roman"/>
          <w:sz w:val="24"/>
          <w:shd w:val="clear" w:color="auto" w:fill="FFFFFF"/>
        </w:rPr>
        <w:t xml:space="preserve">The fundus examination of III-8 showed no abnormality and the thickness of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RNFL</w:t>
      </w:r>
      <w:r>
        <w:rPr>
          <w:rFonts w:ascii="Times New Roman" w:hAnsi="Times New Roman"/>
          <w:sz w:val="24"/>
          <w:shd w:val="clear" w:color="auto" w:fill="FFFFFF"/>
        </w:rPr>
        <w:t xml:space="preserve"> was normal. Other DOA patients showed varying degrees of temporal optic disc pallor and thinning of the RNFL. (III-4 had severe nystagmus in her right eye and failed to undergo OCT examination. IV-5 had severe nystagmus in both eyes, and OCT examination could not be performed.)</w:t>
      </w:r>
    </w:p>
    <w:p>
      <w:pPr>
        <w:pStyle w:val="6"/>
        <w:spacing w:line="480" w:lineRule="auto"/>
        <w:ind w:firstLine="0" w:firstLineChars="0"/>
        <w:jc w:val="left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</w:rPr>
        <w:t xml:space="preserve">Supplementary figure 2: Sanger sequencing of family numbers III-8, IV-7, V-1, III-4, and IV-5. </w:t>
      </w:r>
      <w:r>
        <w:rPr>
          <w:rFonts w:ascii="Times New Roman" w:hAnsi="Times New Roman" w:eastAsia="宋体" w:cs="Times New Roman"/>
          <w:color w:val="000000"/>
          <w:kern w:val="0"/>
          <w:sz w:val="24"/>
        </w:rPr>
        <w:t>III-8</w:t>
      </w:r>
      <w:r>
        <w:rPr>
          <w:rFonts w:ascii="Times New Roman" w:hAnsi="Times New Roman"/>
          <w:sz w:val="24"/>
          <w:shd w:val="clear" w:color="auto" w:fill="FFFFFF"/>
        </w:rPr>
        <w:t xml:space="preserve"> did not carry the c.524T&gt;C, p.F175S mutation in </w:t>
      </w:r>
      <w:r>
        <w:rPr>
          <w:rFonts w:ascii="Times New Roman" w:hAnsi="Times New Roman"/>
          <w:i/>
          <w:iCs/>
          <w:sz w:val="24"/>
          <w:shd w:val="clear" w:color="auto" w:fill="FFFFFF"/>
        </w:rPr>
        <w:t xml:space="preserve">AFG3L2 </w:t>
      </w:r>
      <w:r>
        <w:rPr>
          <w:rFonts w:ascii="Times New Roman" w:hAnsi="Times New Roman"/>
          <w:sz w:val="24"/>
          <w:shd w:val="clear" w:color="auto" w:fill="FFFFFF"/>
        </w:rPr>
        <w:t>gene, others carried the mutation.</w:t>
      </w:r>
    </w:p>
    <w:p>
      <w:pPr>
        <w:pStyle w:val="6"/>
        <w:spacing w:line="480" w:lineRule="auto"/>
        <w:ind w:firstLine="0" w:firstLineChars="0"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Supplementary figure 3: Bright field images of fibroblasts and HEK293T cells in DCFH-DA experiment.</w:t>
      </w:r>
    </w:p>
    <w:p>
      <w:pPr>
        <w:spacing w:line="480" w:lineRule="auto"/>
        <w:jc w:val="left"/>
        <w:rPr>
          <w:rFonts w:ascii="Calibri" w:hAnsi="Calibri" w:eastAsia="宋体" w:cs="Times New Roman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>Supplementary figure 4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ascii="Times New Roman" w:hAnsi="Times New Roman" w:eastAsia="Verdana"/>
          <w:b/>
          <w:bCs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Cell transfection efficiency in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DCFH-DA, Mito-SOX and JC-1 experiments. A. </w:t>
      </w:r>
      <w:r>
        <w:rPr>
          <w:rFonts w:ascii="Times New Roman" w:hAnsi="Times New Roman" w:eastAsia="Verdana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Cell transfection efficiency in 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DCFH-DA experiment.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B. </w:t>
      </w:r>
      <w:r>
        <w:rPr>
          <w:rFonts w:ascii="Times New Roman" w:hAnsi="Times New Roman" w:eastAsia="Verdana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Cell transfection efficiency in 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Mito-SOX experiment. 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 xml:space="preserve">C. </w:t>
      </w:r>
      <w:r>
        <w:rPr>
          <w:rFonts w:ascii="Times New Roman" w:hAnsi="Times New Roman" w:eastAsia="Verdana"/>
          <w:color w:val="000000" w:themeColor="text1"/>
          <w:sz w:val="24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Cell transfection efficiency in </w:t>
      </w:r>
      <w:r>
        <w:rPr>
          <w:rFonts w:ascii="Times New Roman" w:hAnsi="Times New Roman" w:eastAsia="宋体" w:cs="Times New Roman"/>
          <w:color w:val="000000" w:themeColor="text1"/>
          <w:kern w:val="0"/>
          <w:sz w:val="24"/>
          <w:highlight w:val="none"/>
          <w14:textFill>
            <w14:solidFill>
              <w14:schemeClr w14:val="tx1"/>
            </w14:solidFill>
          </w14:textFill>
        </w:rPr>
        <w:t>JC-1 experiment.</w:t>
      </w:r>
    </w:p>
    <w:p>
      <w:pPr>
        <w:pStyle w:val="3"/>
        <w:widowControl/>
        <w:spacing w:line="480" w:lineRule="auto"/>
        <w:rPr>
          <w:rFonts w:ascii="Times New Roman" w:hAnsi="Times New Roman" w:eastAsia="宋体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Supplementary figure 5: </w:t>
      </w:r>
      <w:bookmarkStart w:id="0" w:name="_Hlk102153298"/>
      <w:r>
        <w:rPr>
          <w:rFonts w:ascii="Times New Roman" w:hAnsi="Times New Roman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he capability of </w:t>
      </w:r>
      <w:r>
        <w:rPr>
          <w:rFonts w:ascii="Times New Roman" w:hAnsi="Times New Roman" w:eastAsia="Verdana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the mutant protein </w:t>
      </w:r>
      <w:r>
        <w:rPr>
          <w:rFonts w:hint="eastAsia" w:ascii="Times New Roman" w:hAnsi="Times New Roman" w:eastAsia="Verdana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entering the</w:t>
      </w:r>
      <w:r>
        <w:rPr>
          <w:rFonts w:ascii="Times New Roman" w:hAnsi="Times New Roman" w:eastAsia="Verdana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mitochondrial</w:t>
      </w:r>
      <w:r>
        <w:rPr>
          <w:rFonts w:hint="eastAsia" w:ascii="Times New Roman" w:hAnsi="Times New Roman" w:eastAsia="Verdana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decreased</w:t>
      </w:r>
      <w:r>
        <w:rPr>
          <w:rFonts w:ascii="Times New Roman" w:hAnsi="Times New Roman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bookmarkEnd w:id="0"/>
      <w:r>
        <w:rPr>
          <w:rFonts w:ascii="Times New Roman" w:hAnsi="Times New Roman"/>
          <w:b/>
          <w:bCs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/>
          <w:color w:val="000000" w:themeColor="text1"/>
          <w:kern w:val="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COXIV and flag were applied to mark mitochondria and transfected AFG3L2 protein, respectively. </w:t>
      </w:r>
      <w:r>
        <w:rPr>
          <w:rFonts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While 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lmost all the wild-type AFG3L2 co-localized with mitochondria, 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there was 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mutant AFG3L2 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that did not 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co-localize with mitochondria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 xml:space="preserve"> (green in the merged figure)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cale bar 20</w:t>
      </w:r>
      <w:r>
        <w:rPr>
          <w:rFonts w:hint="eastAsia" w:ascii="Times New Roman" w:hAnsi="Times New Roman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楷体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μ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m, magnification ×</w:t>
      </w:r>
      <w:r>
        <w:rPr>
          <w:rFonts w:hint="eastAsia" w:ascii="Times New Roman" w:hAnsi="Times New Roman" w:eastAsia="Verdana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Verdana"/>
          <w:color w:val="000000" w:themeColor="text1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400.</w:t>
      </w:r>
    </w:p>
    <w:p>
      <w:pPr>
        <w:pStyle w:val="6"/>
        <w:spacing w:line="480" w:lineRule="auto"/>
        <w:ind w:firstLine="0" w:firstLineChars="0"/>
        <w:jc w:val="left"/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highlight w:val="none"/>
        </w:rPr>
        <w:t xml:space="preserve">Supplementary figure 6: </w:t>
      </w:r>
      <w:r>
        <w:rPr>
          <w:rFonts w:ascii="Times New Roman" w:hAnsi="Times New Roman" w:eastAsia="宋体" w:cs="Times New Roman"/>
          <w:b/>
          <w:bCs/>
          <w:sz w:val="24"/>
          <w:highlight w:val="none"/>
          <w:shd w:val="clear" w:color="auto" w:fill="FFFFFF"/>
        </w:rPr>
        <w:t xml:space="preserve">Identification of normal and patients’ </w:t>
      </w:r>
      <w:r>
        <w:rPr>
          <w:rFonts w:ascii="Times New Roman" w:hAnsi="Times New Roman" w:eastAsia="Franklin Gothic Book" w:cs="Times New Roman"/>
          <w:b/>
          <w:bCs/>
          <w:color w:val="231F20"/>
          <w:kern w:val="0"/>
          <w:sz w:val="24"/>
          <w:highlight w:val="none"/>
          <w:lang w:bidi="ar"/>
        </w:rPr>
        <w:t>fibroblasts</w:t>
      </w:r>
      <w:r>
        <w:rPr>
          <w:rFonts w:ascii="Times New Roman" w:hAnsi="Times New Roman"/>
          <w:b/>
          <w:bCs/>
          <w:sz w:val="24"/>
          <w:highlight w:val="none"/>
          <w:shd w:val="clear" w:color="auto" w:fill="FFFFFF"/>
        </w:rPr>
        <w:t>.</w:t>
      </w:r>
      <w:r>
        <w:rPr>
          <w:rFonts w:ascii="Times New Roman" w:hAnsi="Times New Roman" w:eastAsia="宋体" w:cs="Times New Roman"/>
          <w:sz w:val="24"/>
          <w:highlight w:val="none"/>
          <w:shd w:val="clear" w:color="auto" w:fill="FFFFFF"/>
        </w:rPr>
        <w:t xml:space="preserve"> The vimentin, a typical fibroblast marker, was localized in the cytoplasm of the fibroblasts.</w:t>
      </w:r>
      <w:r>
        <w:rPr>
          <w:rFonts w:hint="eastAsia" w:ascii="Times New Roman" w:hAnsi="Times New Roman" w:eastAsia="宋体" w:cs="Times New Roman"/>
          <w:sz w:val="2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  <w:shd w:val="clear" w:color="auto" w:fill="FFFFFF"/>
        </w:rPr>
        <w:t xml:space="preserve">The scale bar 100 </w:t>
      </w:r>
      <w:r>
        <w:rPr>
          <w:rFonts w:ascii="Times New Roman" w:hAnsi="Times New Roman"/>
          <w:sz w:val="24"/>
          <w:highlight w:val="none"/>
          <w:shd w:val="clear" w:color="auto" w:fill="FFFFFF"/>
        </w:rPr>
        <w:t>μ</w:t>
      </w:r>
      <w:r>
        <w:rPr>
          <w:rFonts w:ascii="Times New Roman" w:hAnsi="Times New Roman" w:eastAsia="宋体" w:cs="Times New Roman"/>
          <w:sz w:val="24"/>
          <w:highlight w:val="none"/>
          <w:shd w:val="clear" w:color="auto" w:fill="FFFFFF"/>
        </w:rPr>
        <w:t xml:space="preserve">m, magnification </w:t>
      </w:r>
      <w:r>
        <w:rPr>
          <w:rFonts w:hint="eastAsia" w:ascii="Times New Roman" w:hAnsi="Times New Roman" w:eastAsia="宋体" w:cs="Times New Roman"/>
          <w:sz w:val="24"/>
          <w:highlight w:val="none"/>
          <w:shd w:val="clear" w:color="auto" w:fill="FFFFFF"/>
        </w:rPr>
        <w:t>×</w:t>
      </w:r>
      <w:r>
        <w:rPr>
          <w:rFonts w:ascii="Times New Roman" w:hAnsi="Times New Roman" w:eastAsia="宋体" w:cs="Times New Roman"/>
          <w:sz w:val="24"/>
          <w:highlight w:val="none"/>
          <w:shd w:val="clear" w:color="auto" w:fill="FFFFFF"/>
        </w:rPr>
        <w:t>200.</w:t>
      </w: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ranklin Gothic Book">
    <w:altName w:val="Segoe Print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857743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Zjg0N2NlMjlhNWE0OWFlZGNmNDBmMjQ5MjE1ZjMifQ=="/>
  </w:docVars>
  <w:rsids>
    <w:rsidRoot w:val="00000000"/>
    <w:rsid w:val="1A5336C5"/>
    <w:rsid w:val="50D1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2022-08-03T09:27:00Z</dcterms:created>
  <dc:creator>YL</dc:creator>
  <cp:lastModifiedBy>漫步的鱼</cp:lastModifiedBy>
  <dcterms:modified xsi:type="dcterms:W3CDTF">2022-08-03T12:37:40Z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BDDBFE7788094DCC82A7B9B393F78F22</vt:lpwstr>
  </property>
</Properties>
</file>