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527A" w14:textId="56D9855B" w:rsidR="00EB4060" w:rsidRDefault="00EB4060" w:rsidP="00A402FF">
      <w:pPr>
        <w:pStyle w:val="1"/>
        <w:spacing w:before="76" w:line="564" w:lineRule="auto"/>
      </w:pPr>
      <w:bookmarkStart w:id="0" w:name="Article_File"/>
      <w:bookmarkStart w:id="1" w:name="Figure_8"/>
      <w:bookmarkEnd w:id="0"/>
      <w:bookmarkEnd w:id="1"/>
      <w:r>
        <w:t>Supplementary Figure</w:t>
      </w:r>
      <w:r>
        <w:t xml:space="preserve"> Legends</w:t>
      </w:r>
    </w:p>
    <w:p w14:paraId="5C25161F" w14:textId="5EF825C8" w:rsidR="00E4264C" w:rsidRDefault="00A402FF" w:rsidP="00A402FF">
      <w:pPr>
        <w:pStyle w:val="1"/>
        <w:spacing w:before="76" w:line="564" w:lineRule="auto"/>
      </w:pPr>
      <w:r>
        <w:t xml:space="preserve">Supplementary Figure 1. CLP was used to construct mice models of </w:t>
      </w:r>
      <w:r>
        <w:rPr>
          <w:spacing w:val="-2"/>
        </w:rPr>
        <w:t>SI-ALI.</w:t>
      </w:r>
    </w:p>
    <w:p w14:paraId="15CE8FC3" w14:textId="77777777" w:rsidR="00E4264C" w:rsidRDefault="00A402FF">
      <w:pPr>
        <w:pStyle w:val="a3"/>
        <w:spacing w:line="566" w:lineRule="auto"/>
        <w:ind w:left="492" w:right="489" w:hanging="1"/>
        <w:jc w:val="both"/>
      </w:pPr>
      <w:r>
        <w:rPr>
          <w:b/>
        </w:rPr>
        <w:t xml:space="preserve">(A) </w:t>
      </w:r>
      <w:r>
        <w:t xml:space="preserve">H&amp;E staining of the lung tissues. Scale bar: 50 µm. </w:t>
      </w:r>
      <w:r>
        <w:rPr>
          <w:b/>
        </w:rPr>
        <w:t>(B)</w:t>
      </w:r>
      <w:r>
        <w:rPr>
          <w:b/>
          <w:spacing w:val="40"/>
        </w:rPr>
        <w:t xml:space="preserve"> </w:t>
      </w:r>
      <w:r>
        <w:t>Semiquantitative histological</w:t>
      </w:r>
      <w:r>
        <w:rPr>
          <w:spacing w:val="3"/>
        </w:rPr>
        <w:t xml:space="preserve"> </w:t>
      </w:r>
      <w:r>
        <w:t>scores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lung</w:t>
      </w:r>
      <w:r>
        <w:rPr>
          <w:spacing w:val="-1"/>
        </w:rPr>
        <w:t xml:space="preserve"> </w:t>
      </w:r>
      <w:r>
        <w:t>injury</w:t>
      </w:r>
      <w:r>
        <w:rPr>
          <w:spacing w:val="1"/>
        </w:rPr>
        <w:t xml:space="preserve"> </w:t>
      </w:r>
      <w:r>
        <w:t>in groups</w:t>
      </w:r>
      <w:r>
        <w:rPr>
          <w:spacing w:val="1"/>
        </w:rPr>
        <w:t xml:space="preserve"> </w:t>
      </w:r>
      <w:r>
        <w:t>(n</w:t>
      </w:r>
      <w:r>
        <w:rPr>
          <w:spacing w:val="77"/>
        </w:rPr>
        <w:t xml:space="preserve"> </w:t>
      </w:r>
      <w:r>
        <w:t>=</w:t>
      </w:r>
      <w:r>
        <w:rPr>
          <w:spacing w:val="60"/>
        </w:rPr>
        <w:t xml:space="preserve"> </w:t>
      </w:r>
      <w:r>
        <w:t>6).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error</w:t>
      </w:r>
      <w:r>
        <w:rPr>
          <w:spacing w:val="2"/>
        </w:rPr>
        <w:t xml:space="preserve"> </w:t>
      </w:r>
      <w:r>
        <w:t>bar</w:t>
      </w:r>
      <w:r>
        <w:rPr>
          <w:spacing w:val="1"/>
        </w:rPr>
        <w:t xml:space="preserve"> </w:t>
      </w:r>
      <w:r>
        <w:t>shows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means</w:t>
      </w:r>
      <w:proofErr w:type="gramEnd"/>
    </w:p>
    <w:p w14:paraId="306DDFEB" w14:textId="77777777" w:rsidR="00E4264C" w:rsidRDefault="00A402FF">
      <w:pPr>
        <w:pStyle w:val="a3"/>
        <w:spacing w:line="561" w:lineRule="auto"/>
        <w:ind w:left="492" w:right="492" w:firstLine="112"/>
        <w:jc w:val="both"/>
      </w:pPr>
      <w:r>
        <w:t>±</w:t>
      </w:r>
      <w:r>
        <w:rPr>
          <w:spacing w:val="80"/>
        </w:rPr>
        <w:t xml:space="preserve"> </w:t>
      </w:r>
      <w:r>
        <w:t>SEM. Data comparison between two groups was performed using unpaired</w:t>
      </w:r>
      <w:r>
        <w:rPr>
          <w:spacing w:val="40"/>
        </w:rPr>
        <w:t xml:space="preserve"> </w:t>
      </w:r>
      <w:r>
        <w:t>t-test. ** p &lt; 0.01 versus the sham group.</w:t>
      </w:r>
    </w:p>
    <w:p w14:paraId="0233F711" w14:textId="77777777" w:rsidR="00E4264C" w:rsidRDefault="00E4264C">
      <w:pPr>
        <w:pStyle w:val="a3"/>
        <w:rPr>
          <w:sz w:val="26"/>
        </w:rPr>
      </w:pPr>
    </w:p>
    <w:p w14:paraId="1E99FF99" w14:textId="77777777" w:rsidR="00E4264C" w:rsidRDefault="00E4264C">
      <w:pPr>
        <w:pStyle w:val="a3"/>
        <w:spacing w:before="5"/>
        <w:rPr>
          <w:sz w:val="25"/>
        </w:rPr>
      </w:pPr>
    </w:p>
    <w:p w14:paraId="14EF61CF" w14:textId="77777777" w:rsidR="00E4264C" w:rsidRDefault="00A402FF">
      <w:pPr>
        <w:pStyle w:val="1"/>
        <w:spacing w:line="564" w:lineRule="auto"/>
        <w:ind w:right="490"/>
      </w:pPr>
      <w:r>
        <w:t>Supplementary Figure 2. Autophagy activation ameliorates inflammatory in sepsis mice.</w:t>
      </w:r>
    </w:p>
    <w:p w14:paraId="3E8808C8" w14:textId="77777777" w:rsidR="00E4264C" w:rsidRDefault="00A402FF">
      <w:pPr>
        <w:pStyle w:val="a3"/>
        <w:spacing w:line="564" w:lineRule="auto"/>
        <w:ind w:left="492" w:right="489"/>
        <w:jc w:val="both"/>
      </w:pPr>
      <w:r>
        <w:rPr>
          <w:b/>
        </w:rPr>
        <w:t xml:space="preserve">(A) </w:t>
      </w:r>
      <w:r>
        <w:t xml:space="preserve">H&amp;E staining of the lung tissues. Scale bar: 50 µm. </w:t>
      </w:r>
      <w:r>
        <w:rPr>
          <w:b/>
        </w:rPr>
        <w:t>(B)</w:t>
      </w:r>
      <w:r>
        <w:rPr>
          <w:b/>
          <w:spacing w:val="40"/>
        </w:rPr>
        <w:t xml:space="preserve"> </w:t>
      </w:r>
      <w:r>
        <w:t>Semiquantitative histological scores of lung injury in groups (n</w:t>
      </w:r>
      <w:r>
        <w:rPr>
          <w:spacing w:val="8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 xml:space="preserve">6). </w:t>
      </w:r>
      <w:r>
        <w:rPr>
          <w:b/>
        </w:rPr>
        <w:t>(C)</w:t>
      </w:r>
      <w:r>
        <w:rPr>
          <w:b/>
          <w:spacing w:val="40"/>
        </w:rPr>
        <w:t xml:space="preserve"> </w:t>
      </w:r>
      <w:r>
        <w:t>The lung wet/dry ratio (n</w:t>
      </w:r>
      <w:r>
        <w:rPr>
          <w:spacing w:val="68"/>
        </w:rPr>
        <w:t xml:space="preserve"> </w:t>
      </w:r>
      <w:r>
        <w:t>=</w:t>
      </w:r>
      <w:r>
        <w:rPr>
          <w:spacing w:val="77"/>
        </w:rPr>
        <w:t xml:space="preserve"> </w:t>
      </w:r>
      <w:r>
        <w:t>6).</w:t>
      </w:r>
      <w:r>
        <w:rPr>
          <w:spacing w:val="9"/>
        </w:rPr>
        <w:t xml:space="preserve"> </w:t>
      </w:r>
      <w:r>
        <w:rPr>
          <w:b/>
        </w:rPr>
        <w:t>(D)</w:t>
      </w:r>
      <w:r>
        <w:rPr>
          <w:b/>
          <w:spacing w:val="5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levels</w:t>
      </w:r>
      <w:r>
        <w:rPr>
          <w:spacing w:val="9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TNF-α,</w:t>
      </w:r>
      <w:r>
        <w:rPr>
          <w:spacing w:val="9"/>
        </w:rPr>
        <w:t xml:space="preserve"> </w:t>
      </w:r>
      <w:r>
        <w:t>IL-1β,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IL-6</w:t>
      </w:r>
      <w:r>
        <w:rPr>
          <w:spacing w:val="9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plasma</w:t>
      </w:r>
      <w:r>
        <w:rPr>
          <w:spacing w:val="9"/>
        </w:rPr>
        <w:t xml:space="preserve"> </w:t>
      </w:r>
      <w:r>
        <w:t>(n</w:t>
      </w:r>
      <w:r>
        <w:rPr>
          <w:spacing w:val="69"/>
        </w:rPr>
        <w:t xml:space="preserve"> </w:t>
      </w:r>
      <w:r>
        <w:t>=</w:t>
      </w:r>
      <w:r>
        <w:rPr>
          <w:spacing w:val="75"/>
        </w:rPr>
        <w:t xml:space="preserve"> </w:t>
      </w:r>
      <w:r>
        <w:t>6).</w:t>
      </w:r>
      <w:r>
        <w:rPr>
          <w:spacing w:val="10"/>
        </w:rPr>
        <w:t xml:space="preserve"> </w:t>
      </w:r>
      <w:r>
        <w:rPr>
          <w:b/>
        </w:rPr>
        <w:t>(E)</w:t>
      </w:r>
      <w:r>
        <w:rPr>
          <w:b/>
          <w:spacing w:val="11"/>
        </w:rPr>
        <w:t xml:space="preserve"> </w:t>
      </w:r>
      <w:r>
        <w:rPr>
          <w:spacing w:val="-5"/>
        </w:rPr>
        <w:t>The</w:t>
      </w:r>
    </w:p>
    <w:p w14:paraId="03C5BE8C" w14:textId="77777777" w:rsidR="00E4264C" w:rsidRDefault="00A402FF">
      <w:pPr>
        <w:pStyle w:val="a3"/>
        <w:spacing w:before="42" w:line="561" w:lineRule="auto"/>
        <w:ind w:left="452" w:right="519"/>
      </w:pPr>
      <w:r>
        <w:t>levels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TNF-α,</w:t>
      </w:r>
      <w:r>
        <w:rPr>
          <w:spacing w:val="27"/>
        </w:rPr>
        <w:t xml:space="preserve"> </w:t>
      </w:r>
      <w:r>
        <w:t>IL-1β,</w:t>
      </w:r>
      <w:r>
        <w:rPr>
          <w:spacing w:val="28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IL-6</w:t>
      </w:r>
      <w:r>
        <w:rPr>
          <w:spacing w:val="2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BALF</w:t>
      </w:r>
      <w:r>
        <w:rPr>
          <w:spacing w:val="28"/>
        </w:rPr>
        <w:t xml:space="preserve"> </w:t>
      </w:r>
      <w:r>
        <w:t>(n</w:t>
      </w:r>
      <w:r>
        <w:rPr>
          <w:spacing w:val="80"/>
        </w:rPr>
        <w:t xml:space="preserve"> </w:t>
      </w:r>
      <w:r>
        <w:t>=</w:t>
      </w:r>
      <w:r>
        <w:rPr>
          <w:spacing w:val="80"/>
        </w:rPr>
        <w:t xml:space="preserve"> </w:t>
      </w:r>
      <w:r>
        <w:t>6).</w:t>
      </w:r>
      <w:r>
        <w:rPr>
          <w:spacing w:val="25"/>
        </w:rPr>
        <w:t xml:space="preserve"> </w:t>
      </w:r>
      <w:r>
        <w:t>Each</w:t>
      </w:r>
      <w:r>
        <w:rPr>
          <w:spacing w:val="27"/>
        </w:rPr>
        <w:t xml:space="preserve"> </w:t>
      </w:r>
      <w:r>
        <w:t>bar</w:t>
      </w:r>
      <w:r>
        <w:rPr>
          <w:spacing w:val="27"/>
        </w:rPr>
        <w:t xml:space="preserve"> </w:t>
      </w:r>
      <w:r>
        <w:t>shows</w:t>
      </w:r>
      <w:r>
        <w:rPr>
          <w:spacing w:val="25"/>
        </w:rPr>
        <w:t xml:space="preserve"> </w:t>
      </w:r>
      <w:r>
        <w:t>means</w:t>
      </w:r>
      <w:r>
        <w:rPr>
          <w:spacing w:val="80"/>
        </w:rPr>
        <w:t xml:space="preserve"> </w:t>
      </w:r>
      <w:r>
        <w:t>± SEM.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comparison</w:t>
      </w:r>
      <w:r>
        <w:rPr>
          <w:spacing w:val="19"/>
        </w:rPr>
        <w:t xml:space="preserve"> </w:t>
      </w:r>
      <w:r>
        <w:t>between</w:t>
      </w:r>
      <w:r>
        <w:rPr>
          <w:spacing w:val="17"/>
        </w:rPr>
        <w:t xml:space="preserve"> </w:t>
      </w:r>
      <w:r>
        <w:t>two groups</w:t>
      </w:r>
      <w:r>
        <w:rPr>
          <w:spacing w:val="19"/>
        </w:rPr>
        <w:t xml:space="preserve"> </w:t>
      </w:r>
      <w:r>
        <w:t>was analyzed</w:t>
      </w:r>
      <w:r>
        <w:rPr>
          <w:spacing w:val="17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unpaired t-test.</w:t>
      </w:r>
      <w:r>
        <w:rPr>
          <w:spacing w:val="17"/>
        </w:rPr>
        <w:t xml:space="preserve"> </w:t>
      </w:r>
      <w:r>
        <w:t xml:space="preserve">** p &lt; 0.01 versus the sham group; </w:t>
      </w:r>
      <w:r>
        <w:rPr>
          <w:position w:val="6"/>
          <w:sz w:val="15"/>
        </w:rPr>
        <w:t xml:space="preserve">## </w:t>
      </w:r>
      <w:r>
        <w:t>p &lt; 0.01 versus the saline group.</w:t>
      </w:r>
    </w:p>
    <w:p w14:paraId="542BA4D3" w14:textId="77777777" w:rsidR="00E4264C" w:rsidRDefault="00E4264C">
      <w:pPr>
        <w:pStyle w:val="a3"/>
        <w:rPr>
          <w:sz w:val="26"/>
        </w:rPr>
      </w:pPr>
    </w:p>
    <w:p w14:paraId="295F13B0" w14:textId="77777777" w:rsidR="00E4264C" w:rsidRDefault="00E4264C">
      <w:pPr>
        <w:pStyle w:val="a3"/>
        <w:rPr>
          <w:sz w:val="26"/>
        </w:rPr>
      </w:pPr>
    </w:p>
    <w:p w14:paraId="3F830308" w14:textId="77777777" w:rsidR="00E4264C" w:rsidRDefault="00A402FF">
      <w:pPr>
        <w:pStyle w:val="1"/>
        <w:spacing w:line="564" w:lineRule="auto"/>
        <w:ind w:left="452" w:right="531"/>
      </w:pPr>
      <w:r>
        <w:t>Supplementary Figure 3. METTL3 mediated m</w:t>
      </w:r>
      <w:r>
        <w:rPr>
          <w:position w:val="6"/>
          <w:sz w:val="15"/>
        </w:rPr>
        <w:t>6</w:t>
      </w:r>
      <w:r>
        <w:t>A modification is involved in NETs-induced cell damage.</w:t>
      </w:r>
    </w:p>
    <w:p w14:paraId="2018174F" w14:textId="77777777" w:rsidR="00E4264C" w:rsidRDefault="00A402FF">
      <w:pPr>
        <w:pStyle w:val="a3"/>
        <w:spacing w:line="564" w:lineRule="auto"/>
        <w:ind w:left="452" w:right="527"/>
        <w:jc w:val="both"/>
      </w:pPr>
      <w:r>
        <w:rPr>
          <w:b/>
        </w:rPr>
        <w:t xml:space="preserve">(A) </w:t>
      </w:r>
      <w:r>
        <w:t xml:space="preserve">Representative images of immunohistochemical staining for METTL3 in lung tissues. Scale bar: 50 µm. </w:t>
      </w:r>
      <w:r>
        <w:rPr>
          <w:b/>
        </w:rPr>
        <w:t xml:space="preserve">(B) </w:t>
      </w:r>
      <w:r>
        <w:t>The mRNA levels of Mettl3 expression in alveolar epithelial cells. Each bar shows means</w:t>
      </w:r>
      <w:r>
        <w:rPr>
          <w:spacing w:val="40"/>
        </w:rPr>
        <w:t xml:space="preserve"> </w:t>
      </w:r>
      <w:r>
        <w:t>±</w:t>
      </w:r>
      <w:r>
        <w:rPr>
          <w:spacing w:val="40"/>
        </w:rPr>
        <w:t xml:space="preserve"> </w:t>
      </w:r>
      <w:r>
        <w:t xml:space="preserve">SEM. The comparison between two groups was conducted by unpaired t-test. ** p &lt; 0.01 versus the </w:t>
      </w:r>
      <w:proofErr w:type="spellStart"/>
      <w:r>
        <w:t>si</w:t>
      </w:r>
      <w:proofErr w:type="spellEnd"/>
      <w:r>
        <w:t>- Control group.</w:t>
      </w:r>
    </w:p>
    <w:sectPr w:rsidR="00E4264C">
      <w:type w:val="continuous"/>
      <w:pgSz w:w="12240" w:h="15840"/>
      <w:pgMar w:top="5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264C"/>
    <w:rsid w:val="00A402FF"/>
    <w:rsid w:val="00E4264C"/>
    <w:rsid w:val="00EB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04F6FD"/>
  <w15:docId w15:val="{07934AF4-6875-1A4F-8249-F1EEB11C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eastAsia="Georgia" w:hAnsi="Georgia" w:cs="Georgia"/>
    </w:rPr>
  </w:style>
  <w:style w:type="paragraph" w:styleId="1">
    <w:name w:val="heading 1"/>
    <w:basedOn w:val="a"/>
    <w:uiPriority w:val="9"/>
    <w:qFormat/>
    <w:pPr>
      <w:ind w:left="492" w:right="48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1129</Characters>
  <Application>Microsoft Office Word</Application>
  <DocSecurity>0</DocSecurity>
  <Lines>26</Lines>
  <Paragraphs>8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 Yang</cp:lastModifiedBy>
  <cp:revision>3</cp:revision>
  <dcterms:created xsi:type="dcterms:W3CDTF">2022-08-10T15:20:00Z</dcterms:created>
  <dcterms:modified xsi:type="dcterms:W3CDTF">2022-08-10T15:56:00Z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LastSaved">
    <vt:filetime>2022-08-10T00:00:00Z</vt:filetime>
  </property>
</Properties>
</file>