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B35D4" w14:textId="7A41F5B7" w:rsidR="00CB3C7E" w:rsidRDefault="00CB3C7E" w:rsidP="00CB3C7E">
      <w:pPr>
        <w:widowControl w:val="0"/>
        <w:spacing w:after="0" w:line="480" w:lineRule="auto"/>
        <w:jc w:val="both"/>
        <w:rPr>
          <w:rFonts w:ascii="Arial" w:hAnsi="Arial"/>
          <w:kern w:val="2"/>
          <w:lang w:val="en-US"/>
        </w:rPr>
      </w:pPr>
      <w:r w:rsidRPr="002C5C1A">
        <w:rPr>
          <w:rFonts w:ascii="Arial" w:hAnsi="Arial"/>
          <w:b/>
          <w:color w:val="2A2A2A"/>
          <w:kern w:val="2"/>
          <w:shd w:val="clear" w:color="auto" w:fill="FFFFFF"/>
          <w:lang w:val="en-US"/>
        </w:rPr>
        <w:t xml:space="preserve">Figure </w:t>
      </w:r>
      <w:r>
        <w:rPr>
          <w:rFonts w:ascii="Arial" w:hAnsi="Arial"/>
          <w:b/>
          <w:color w:val="2A2A2A"/>
          <w:kern w:val="2"/>
          <w:shd w:val="clear" w:color="auto" w:fill="FFFFFF"/>
          <w:lang w:val="en-US"/>
        </w:rPr>
        <w:t>S1</w:t>
      </w:r>
      <w:r w:rsidRPr="002C5C1A">
        <w:rPr>
          <w:rFonts w:ascii="Arial" w:hAnsi="Arial"/>
          <w:b/>
          <w:color w:val="2A2A2A"/>
          <w:kern w:val="2"/>
          <w:shd w:val="clear" w:color="auto" w:fill="FFFFFF"/>
          <w:lang w:val="en-US"/>
        </w:rPr>
        <w:t xml:space="preserve">. </w:t>
      </w:r>
      <w:r w:rsidRPr="002C5C1A">
        <w:rPr>
          <w:rFonts w:ascii="Arial" w:hAnsi="Arial"/>
          <w:kern w:val="2"/>
          <w:lang w:val="en-US"/>
        </w:rPr>
        <w:t xml:space="preserve">The </w:t>
      </w:r>
      <w:r>
        <w:rPr>
          <w:rFonts w:ascii="Arial" w:hAnsi="Arial"/>
          <w:kern w:val="2"/>
          <w:lang w:val="en-US"/>
        </w:rPr>
        <w:t>clinical value</w:t>
      </w:r>
      <w:r w:rsidRPr="002C5C1A">
        <w:rPr>
          <w:rFonts w:ascii="Arial" w:hAnsi="Arial"/>
          <w:kern w:val="2"/>
          <w:lang w:val="en-US"/>
        </w:rPr>
        <w:t xml:space="preserve"> of </w:t>
      </w:r>
      <w:r>
        <w:rPr>
          <w:rFonts w:ascii="Arial" w:hAnsi="Arial"/>
          <w:kern w:val="2"/>
          <w:lang w:val="en-US"/>
        </w:rPr>
        <w:t>FGF2</w:t>
      </w:r>
      <w:r w:rsidRPr="002C5C1A">
        <w:rPr>
          <w:rFonts w:ascii="Arial" w:hAnsi="Arial"/>
          <w:kern w:val="2"/>
          <w:lang w:val="en-US"/>
        </w:rPr>
        <w:t xml:space="preserve"> was analyzed in </w:t>
      </w:r>
      <w:r>
        <w:rPr>
          <w:rFonts w:ascii="Arial" w:hAnsi="Arial"/>
          <w:kern w:val="2"/>
          <w:lang w:val="en-US"/>
        </w:rPr>
        <w:t>ACRG</w:t>
      </w:r>
      <w:r w:rsidRPr="002C5C1A">
        <w:rPr>
          <w:rFonts w:ascii="Arial" w:hAnsi="Arial"/>
          <w:kern w:val="2"/>
          <w:lang w:val="en-US"/>
        </w:rPr>
        <w:t xml:space="preserve"> cohort.</w:t>
      </w:r>
      <w:r w:rsidRPr="002C5C1A">
        <w:rPr>
          <w:rFonts w:ascii="Arial" w:hAnsi="Arial"/>
          <w:color w:val="2A2A2A"/>
          <w:kern w:val="2"/>
          <w:shd w:val="clear" w:color="auto" w:fill="FFFFFF"/>
          <w:lang w:val="en-US"/>
        </w:rPr>
        <w:t xml:space="preserve"> </w:t>
      </w:r>
      <w:r w:rsidRPr="002C5C1A">
        <w:rPr>
          <w:rFonts w:ascii="Arial" w:hAnsi="Arial"/>
          <w:b/>
          <w:color w:val="2A2A2A"/>
          <w:kern w:val="2"/>
          <w:shd w:val="clear" w:color="auto" w:fill="FFFFFF"/>
          <w:lang w:val="en-US"/>
        </w:rPr>
        <w:t>(A)</w:t>
      </w:r>
      <w:r w:rsidRPr="002C5C1A">
        <w:rPr>
          <w:rFonts w:ascii="Arial" w:hAnsi="Arial"/>
          <w:color w:val="2A2A2A"/>
          <w:kern w:val="2"/>
          <w:shd w:val="clear" w:color="auto" w:fill="FFFFFF"/>
          <w:lang w:val="en-US"/>
        </w:rPr>
        <w:t xml:space="preserve"> </w:t>
      </w:r>
      <w:r>
        <w:rPr>
          <w:rFonts w:ascii="Arial" w:hAnsi="Arial"/>
          <w:kern w:val="2"/>
          <w:lang w:val="en-US"/>
        </w:rPr>
        <w:t>The expression difference of IGFBP7 in intestinal and diffuse GC</w:t>
      </w:r>
      <w:r w:rsidRPr="002C5C1A">
        <w:rPr>
          <w:rFonts w:ascii="Arial" w:hAnsi="Arial"/>
          <w:kern w:val="2"/>
          <w:lang w:val="en-US"/>
        </w:rPr>
        <w:t>.</w:t>
      </w:r>
      <w:r w:rsidRPr="002C5C1A">
        <w:rPr>
          <w:rFonts w:ascii="Arial" w:hAnsi="Arial"/>
          <w:color w:val="2A2A2A"/>
          <w:kern w:val="2"/>
          <w:shd w:val="clear" w:color="auto" w:fill="FFFFFF"/>
          <w:lang w:val="en-US"/>
        </w:rPr>
        <w:t xml:space="preserve"> </w:t>
      </w:r>
      <w:r w:rsidRPr="002C5C1A">
        <w:rPr>
          <w:rFonts w:ascii="Arial" w:hAnsi="Arial"/>
          <w:b/>
          <w:color w:val="2A2A2A"/>
          <w:kern w:val="2"/>
          <w:shd w:val="clear" w:color="auto" w:fill="FFFFFF"/>
          <w:lang w:val="en-US"/>
        </w:rPr>
        <w:t>(</w:t>
      </w:r>
      <w:r>
        <w:rPr>
          <w:rFonts w:ascii="Arial" w:hAnsi="Arial"/>
          <w:b/>
          <w:color w:val="2A2A2A"/>
          <w:kern w:val="2"/>
          <w:shd w:val="clear" w:color="auto" w:fill="FFFFFF"/>
          <w:lang w:val="en-US"/>
        </w:rPr>
        <w:t>B</w:t>
      </w:r>
      <w:r w:rsidRPr="002C5C1A">
        <w:rPr>
          <w:rFonts w:ascii="Arial" w:hAnsi="Arial"/>
          <w:b/>
          <w:color w:val="2A2A2A"/>
          <w:kern w:val="2"/>
          <w:shd w:val="clear" w:color="auto" w:fill="FFFFFF"/>
          <w:lang w:val="en-US"/>
        </w:rPr>
        <w:t>)</w:t>
      </w:r>
      <w:r w:rsidRPr="002C5C1A">
        <w:rPr>
          <w:rFonts w:ascii="Arial" w:hAnsi="Arial"/>
          <w:color w:val="2A2A2A"/>
          <w:kern w:val="2"/>
          <w:shd w:val="clear" w:color="auto" w:fill="FFFFFF"/>
          <w:lang w:val="en-US"/>
        </w:rPr>
        <w:t xml:space="preserve"> </w:t>
      </w:r>
      <w:bookmarkStart w:id="0" w:name="_Hlk106786827"/>
      <w:r w:rsidRPr="00EE2307">
        <w:rPr>
          <w:rFonts w:ascii="Arial" w:hAnsi="Arial"/>
          <w:kern w:val="2"/>
          <w:lang w:val="en-US"/>
        </w:rPr>
        <w:t xml:space="preserve">The expression difference of </w:t>
      </w:r>
      <w:r>
        <w:rPr>
          <w:rFonts w:ascii="Arial" w:hAnsi="Arial"/>
          <w:kern w:val="2"/>
          <w:lang w:val="en-US"/>
        </w:rPr>
        <w:t>FGF2</w:t>
      </w:r>
      <w:r w:rsidRPr="00EE2307">
        <w:rPr>
          <w:rFonts w:ascii="Arial" w:hAnsi="Arial"/>
          <w:kern w:val="2"/>
          <w:lang w:val="en-US"/>
        </w:rPr>
        <w:t xml:space="preserve"> between </w:t>
      </w:r>
      <w:r>
        <w:rPr>
          <w:rFonts w:ascii="Arial" w:hAnsi="Arial"/>
          <w:kern w:val="2"/>
          <w:lang w:val="en-US"/>
        </w:rPr>
        <w:t>GC</w:t>
      </w:r>
      <w:r w:rsidRPr="00EE2307">
        <w:rPr>
          <w:rFonts w:ascii="Arial" w:hAnsi="Arial"/>
          <w:kern w:val="2"/>
          <w:lang w:val="en-US"/>
        </w:rPr>
        <w:t xml:space="preserve"> patients with</w:t>
      </w:r>
      <w:r>
        <w:rPr>
          <w:rFonts w:ascii="Arial" w:hAnsi="Arial"/>
          <w:kern w:val="2"/>
          <w:lang w:val="en-US"/>
        </w:rPr>
        <w:t>/without MLH1 expression</w:t>
      </w:r>
      <w:r w:rsidRPr="002C5C1A">
        <w:rPr>
          <w:rFonts w:ascii="Arial" w:hAnsi="Arial"/>
          <w:kern w:val="2"/>
          <w:lang w:val="en-US"/>
        </w:rPr>
        <w:t>.</w:t>
      </w:r>
      <w:r>
        <w:rPr>
          <w:rFonts w:ascii="Arial" w:hAnsi="Arial"/>
          <w:kern w:val="2"/>
          <w:lang w:val="en-US"/>
        </w:rPr>
        <w:t xml:space="preserve"> </w:t>
      </w:r>
      <w:r w:rsidRPr="00CB3C7E">
        <w:rPr>
          <w:rFonts w:ascii="Arial" w:hAnsi="Arial"/>
          <w:b/>
          <w:bCs/>
          <w:kern w:val="2"/>
          <w:lang w:val="en-US"/>
        </w:rPr>
        <w:t>(C)</w:t>
      </w:r>
      <w:r>
        <w:rPr>
          <w:rFonts w:ascii="Arial" w:hAnsi="Arial"/>
          <w:kern w:val="2"/>
          <w:lang w:val="en-US"/>
        </w:rPr>
        <w:t xml:space="preserve"> </w:t>
      </w:r>
      <w:r>
        <w:rPr>
          <w:rFonts w:ascii="Arial" w:hAnsi="Arial"/>
          <w:kern w:val="2"/>
          <w:lang w:val="en-US"/>
        </w:rPr>
        <w:t>The expression difference of FGF2</w:t>
      </w:r>
      <w:r w:rsidRPr="002C5C1A">
        <w:rPr>
          <w:rFonts w:ascii="Arial" w:hAnsi="Arial"/>
          <w:kern w:val="2"/>
          <w:lang w:val="en-US"/>
        </w:rPr>
        <w:t xml:space="preserve"> </w:t>
      </w:r>
      <w:r w:rsidRPr="005969F5">
        <w:rPr>
          <w:rFonts w:ascii="Arial" w:hAnsi="Arial"/>
          <w:kern w:val="2"/>
          <w:lang w:val="en-US"/>
        </w:rPr>
        <w:t xml:space="preserve">between </w:t>
      </w:r>
      <w:r>
        <w:rPr>
          <w:rFonts w:ascii="Arial" w:hAnsi="Arial"/>
          <w:kern w:val="2"/>
          <w:lang w:val="en-US"/>
        </w:rPr>
        <w:t>GC</w:t>
      </w:r>
      <w:r w:rsidRPr="005969F5">
        <w:rPr>
          <w:rFonts w:ascii="Arial" w:hAnsi="Arial"/>
          <w:kern w:val="2"/>
          <w:lang w:val="en-US"/>
        </w:rPr>
        <w:t xml:space="preserve"> patients over 55 years old and patients under 55 years old</w:t>
      </w:r>
      <w:r>
        <w:rPr>
          <w:rFonts w:ascii="Arial" w:hAnsi="Arial"/>
          <w:kern w:val="2"/>
          <w:lang w:val="en-US"/>
        </w:rPr>
        <w:t>.</w:t>
      </w:r>
      <w:r>
        <w:rPr>
          <w:rFonts w:ascii="Arial" w:hAnsi="Arial"/>
          <w:kern w:val="2"/>
          <w:lang w:val="en-US"/>
        </w:rPr>
        <w:t xml:space="preserve"> </w:t>
      </w:r>
      <w:r w:rsidRPr="00CB3C7E">
        <w:rPr>
          <w:rFonts w:ascii="Arial" w:hAnsi="Arial"/>
          <w:b/>
          <w:bCs/>
          <w:kern w:val="2"/>
          <w:lang w:val="en-US"/>
        </w:rPr>
        <w:t>(D)</w:t>
      </w:r>
      <w:r>
        <w:rPr>
          <w:rFonts w:ascii="Arial" w:hAnsi="Arial"/>
          <w:kern w:val="2"/>
          <w:lang w:val="en-US"/>
        </w:rPr>
        <w:t xml:space="preserve"> </w:t>
      </w:r>
      <w:r>
        <w:rPr>
          <w:rFonts w:ascii="Arial" w:hAnsi="Arial"/>
          <w:kern w:val="2"/>
          <w:lang w:val="en-US"/>
        </w:rPr>
        <w:t>The expression difference of FGF2</w:t>
      </w:r>
      <w:r w:rsidRPr="002C5C1A">
        <w:rPr>
          <w:rFonts w:ascii="Arial" w:hAnsi="Arial"/>
          <w:kern w:val="2"/>
          <w:lang w:val="en-US"/>
        </w:rPr>
        <w:t xml:space="preserve"> </w:t>
      </w:r>
      <w:r w:rsidRPr="005969F5">
        <w:rPr>
          <w:rFonts w:ascii="Arial" w:hAnsi="Arial"/>
          <w:kern w:val="2"/>
          <w:lang w:val="en-US"/>
        </w:rPr>
        <w:t xml:space="preserve">between </w:t>
      </w:r>
      <w:r>
        <w:rPr>
          <w:rFonts w:ascii="Arial" w:hAnsi="Arial"/>
          <w:kern w:val="2"/>
          <w:lang w:val="en-US"/>
        </w:rPr>
        <w:t>GC</w:t>
      </w:r>
      <w:r w:rsidRPr="005969F5">
        <w:rPr>
          <w:rFonts w:ascii="Arial" w:hAnsi="Arial"/>
          <w:kern w:val="2"/>
          <w:lang w:val="en-US"/>
        </w:rPr>
        <w:t xml:space="preserve"> patients</w:t>
      </w:r>
      <w:r>
        <w:rPr>
          <w:rFonts w:ascii="Arial" w:hAnsi="Arial"/>
          <w:kern w:val="2"/>
          <w:lang w:val="en-US"/>
        </w:rPr>
        <w:t xml:space="preserve"> with</w:t>
      </w:r>
      <w:bookmarkEnd w:id="0"/>
      <w:r>
        <w:rPr>
          <w:rFonts w:ascii="Arial" w:hAnsi="Arial"/>
          <w:kern w:val="2"/>
          <w:lang w:val="en-US"/>
        </w:rPr>
        <w:t xml:space="preserve">/without </w:t>
      </w:r>
      <w:r>
        <w:rPr>
          <w:rFonts w:ascii="Arial" w:hAnsi="Arial"/>
          <w:szCs w:val="21"/>
          <w:lang w:val="en-US"/>
        </w:rPr>
        <w:t>perineural invasion</w:t>
      </w:r>
      <w:r>
        <w:rPr>
          <w:rFonts w:ascii="Arial" w:hAnsi="Arial"/>
          <w:kern w:val="2"/>
          <w:lang w:val="en-US"/>
        </w:rPr>
        <w:t>.</w:t>
      </w:r>
      <w:r w:rsidRPr="002C5C1A">
        <w:rPr>
          <w:rFonts w:ascii="Arial" w:hAnsi="Arial"/>
          <w:color w:val="2A2A2A"/>
          <w:kern w:val="2"/>
          <w:shd w:val="clear" w:color="auto" w:fill="FFFFFF"/>
          <w:lang w:val="en-US"/>
        </w:rPr>
        <w:t xml:space="preserve"> </w:t>
      </w:r>
      <w:r w:rsidRPr="002C5C1A">
        <w:rPr>
          <w:rFonts w:ascii="Arial" w:hAnsi="Arial"/>
          <w:b/>
          <w:bCs/>
          <w:color w:val="2A2A2A"/>
          <w:kern w:val="2"/>
          <w:shd w:val="clear" w:color="auto" w:fill="FFFFFF"/>
          <w:lang w:val="en-US"/>
        </w:rPr>
        <w:t>(</w:t>
      </w:r>
      <w:r>
        <w:rPr>
          <w:rFonts w:ascii="Arial" w:hAnsi="Arial"/>
          <w:b/>
          <w:bCs/>
          <w:color w:val="2A2A2A"/>
          <w:kern w:val="2"/>
          <w:shd w:val="clear" w:color="auto" w:fill="FFFFFF"/>
          <w:lang w:val="en-US"/>
        </w:rPr>
        <w:t>E-I</w:t>
      </w:r>
      <w:r w:rsidRPr="002C5C1A">
        <w:rPr>
          <w:rFonts w:ascii="Arial" w:hAnsi="Arial"/>
          <w:b/>
          <w:bCs/>
          <w:color w:val="2A2A2A"/>
          <w:kern w:val="2"/>
          <w:shd w:val="clear" w:color="auto" w:fill="FFFFFF"/>
          <w:lang w:val="en-US"/>
        </w:rPr>
        <w:t>)</w:t>
      </w:r>
      <w:r w:rsidRPr="002C5C1A">
        <w:rPr>
          <w:rFonts w:ascii="Arial" w:hAnsi="Arial"/>
          <w:color w:val="2A2A2A"/>
          <w:kern w:val="2"/>
          <w:shd w:val="clear" w:color="auto" w:fill="FFFFFF"/>
          <w:lang w:val="en-US"/>
        </w:rPr>
        <w:t xml:space="preserve"> </w:t>
      </w:r>
      <w:r w:rsidRPr="00EE2307">
        <w:rPr>
          <w:rFonts w:ascii="Arial" w:hAnsi="Arial"/>
          <w:kern w:val="2"/>
          <w:lang w:val="en-US"/>
        </w:rPr>
        <w:t xml:space="preserve">The expression difference of </w:t>
      </w:r>
      <w:r>
        <w:rPr>
          <w:rFonts w:ascii="Arial" w:hAnsi="Arial"/>
          <w:kern w:val="2"/>
          <w:lang w:val="en-US"/>
        </w:rPr>
        <w:t>FGF2</w:t>
      </w:r>
      <w:r>
        <w:rPr>
          <w:rFonts w:ascii="Arial" w:hAnsi="Arial"/>
          <w:kern w:val="2"/>
          <w:lang w:val="en-US"/>
        </w:rPr>
        <w:t xml:space="preserve"> in GC patients with different </w:t>
      </w:r>
      <w:r>
        <w:rPr>
          <w:rFonts w:ascii="Arial" w:hAnsi="Arial"/>
          <w:kern w:val="2"/>
          <w:lang w:val="en-US"/>
        </w:rPr>
        <w:t xml:space="preserve">TNM stages, </w:t>
      </w:r>
      <w:r>
        <w:rPr>
          <w:rFonts w:ascii="Arial" w:hAnsi="Arial"/>
          <w:kern w:val="2"/>
          <w:lang w:val="en-US"/>
        </w:rPr>
        <w:t>pathologic stages or Borrmann stages</w:t>
      </w:r>
      <w:r w:rsidRPr="002C5C1A">
        <w:rPr>
          <w:rFonts w:ascii="Arial" w:hAnsi="Arial"/>
          <w:color w:val="2A2A2A"/>
          <w:kern w:val="2"/>
          <w:shd w:val="clear" w:color="auto" w:fill="FFFFFF"/>
          <w:lang w:val="en-US"/>
        </w:rPr>
        <w:t xml:space="preserve">. </w:t>
      </w:r>
      <w:r w:rsidRPr="002C5C1A">
        <w:rPr>
          <w:rFonts w:ascii="Arial" w:hAnsi="Arial"/>
          <w:b/>
          <w:kern w:val="2"/>
          <w:lang w:val="en-US"/>
        </w:rPr>
        <w:t>(</w:t>
      </w:r>
      <w:r>
        <w:rPr>
          <w:rFonts w:ascii="Arial" w:hAnsi="Arial"/>
          <w:b/>
          <w:kern w:val="2"/>
          <w:lang w:val="en-US"/>
        </w:rPr>
        <w:t>K</w:t>
      </w:r>
      <w:r w:rsidRPr="002C5C1A">
        <w:rPr>
          <w:rFonts w:ascii="Arial" w:hAnsi="Arial"/>
          <w:b/>
          <w:kern w:val="2"/>
          <w:lang w:val="en-US"/>
        </w:rPr>
        <w:t>)</w:t>
      </w:r>
      <w:r w:rsidRPr="002C5C1A">
        <w:rPr>
          <w:rFonts w:ascii="Arial" w:hAnsi="Arial"/>
          <w:kern w:val="2"/>
          <w:lang w:val="en-US"/>
        </w:rPr>
        <w:t xml:space="preserve"> </w:t>
      </w:r>
      <w:r w:rsidRPr="00454FC0">
        <w:rPr>
          <w:rFonts w:ascii="Arial" w:hAnsi="Arial"/>
          <w:kern w:val="2"/>
          <w:lang w:val="en-US"/>
        </w:rPr>
        <w:t xml:space="preserve">The expression difference of </w:t>
      </w:r>
      <w:r>
        <w:rPr>
          <w:rFonts w:ascii="Arial" w:hAnsi="Arial"/>
          <w:kern w:val="2"/>
          <w:lang w:val="en-US"/>
        </w:rPr>
        <w:t>FGF2</w:t>
      </w:r>
      <w:r w:rsidRPr="00454FC0">
        <w:rPr>
          <w:rFonts w:ascii="Arial" w:hAnsi="Arial"/>
          <w:kern w:val="2"/>
          <w:lang w:val="en-US"/>
        </w:rPr>
        <w:t xml:space="preserve"> between </w:t>
      </w:r>
      <w:r>
        <w:rPr>
          <w:rFonts w:ascii="Arial" w:hAnsi="Arial"/>
          <w:kern w:val="2"/>
          <w:lang w:val="en-US"/>
        </w:rPr>
        <w:t>GC</w:t>
      </w:r>
      <w:r w:rsidRPr="00454FC0">
        <w:rPr>
          <w:rFonts w:ascii="Arial" w:hAnsi="Arial"/>
          <w:kern w:val="2"/>
          <w:lang w:val="en-US"/>
        </w:rPr>
        <w:t xml:space="preserve"> patients with pylorus-sparing radical gastrectomy (STG) operation or total gastrectomy (TG) operation.</w:t>
      </w:r>
      <w:r>
        <w:rPr>
          <w:rFonts w:ascii="Arial" w:hAnsi="Arial"/>
          <w:kern w:val="2"/>
          <w:lang w:val="en-US"/>
        </w:rPr>
        <w:t xml:space="preserve"> </w:t>
      </w:r>
      <w:r w:rsidRPr="00955BD7">
        <w:rPr>
          <w:rFonts w:ascii="Arial" w:hAnsi="Arial"/>
          <w:b/>
          <w:bCs/>
          <w:kern w:val="2"/>
          <w:lang w:val="en-US"/>
        </w:rPr>
        <w:t>(I, J)</w:t>
      </w:r>
      <w:r>
        <w:rPr>
          <w:rFonts w:ascii="Arial" w:hAnsi="Arial"/>
          <w:kern w:val="2"/>
          <w:lang w:val="en-US"/>
        </w:rPr>
        <w:t xml:space="preserve"> The overall-survival and disease-free survival analysis of FGF2</w:t>
      </w:r>
      <w:r w:rsidRPr="002C5C1A">
        <w:rPr>
          <w:rFonts w:ascii="Arial" w:hAnsi="Arial"/>
          <w:kern w:val="2"/>
          <w:lang w:val="en-US"/>
        </w:rPr>
        <w:t xml:space="preserve"> </w:t>
      </w:r>
      <w:r>
        <w:rPr>
          <w:rFonts w:ascii="Arial" w:hAnsi="Arial"/>
          <w:kern w:val="2"/>
          <w:lang w:val="en-US"/>
        </w:rPr>
        <w:t>in GC</w:t>
      </w:r>
      <w:r w:rsidRPr="002C5C1A">
        <w:rPr>
          <w:rFonts w:ascii="Arial" w:hAnsi="Arial"/>
          <w:color w:val="2A2A2A"/>
          <w:kern w:val="2"/>
          <w:shd w:val="clear" w:color="auto" w:fill="FFFFFF"/>
          <w:lang w:val="en-US"/>
        </w:rPr>
        <w:t>.</w:t>
      </w:r>
    </w:p>
    <w:p w14:paraId="3424EAFC" w14:textId="77777777" w:rsidR="00464890" w:rsidRDefault="00464890"/>
    <w:sectPr w:rsidR="004648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7E"/>
    <w:rsid w:val="00464890"/>
    <w:rsid w:val="00B77EB5"/>
    <w:rsid w:val="00CB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A9C4C"/>
  <w15:chartTrackingRefBased/>
  <w15:docId w15:val="{A739F8B5-8B5C-446D-9CF7-2CCBFE1E5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7E"/>
    <w:pPr>
      <w:spacing w:after="200" w:line="276" w:lineRule="auto"/>
    </w:pPr>
    <w:rPr>
      <w:rFonts w:ascii="Calibri" w:eastAsia="宋体" w:hAnsi="Calibri" w:cs="Arial"/>
      <w:kern w:val="0"/>
      <w:sz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mz6772</dc:creator>
  <cp:keywords/>
  <dc:description/>
  <cp:lastModifiedBy>mz6772</cp:lastModifiedBy>
  <cp:revision>2</cp:revision>
  <dcterms:created xsi:type="dcterms:W3CDTF">2022-06-29T11:53:00Z</dcterms:created>
  <dcterms:modified xsi:type="dcterms:W3CDTF">2022-06-29T11:56:00Z</dcterms:modified>
</cp:coreProperties>
</file>