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8E293" w14:textId="38EF7D8F" w:rsidR="00416703" w:rsidRPr="00AF1F44" w:rsidRDefault="00416703" w:rsidP="00AF1F44">
      <w:pPr>
        <w:rPr>
          <w:rFonts w:asciiTheme="majorBidi" w:hAnsiTheme="majorBidi" w:cstheme="majorBidi"/>
          <w:sz w:val="24"/>
          <w:szCs w:val="24"/>
          <w:lang w:val="en-US"/>
        </w:rPr>
      </w:pPr>
      <w:r w:rsidRP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1</w:t>
      </w:r>
      <w:r w:rsidR="00AF1F44" w:rsidRPr="00AF1F44">
        <w:rPr>
          <w:rFonts w:asciiTheme="majorBidi" w:hAnsiTheme="majorBidi" w:cstheme="majorBidi"/>
          <w:sz w:val="24"/>
          <w:szCs w:val="24"/>
          <w:lang w:val="en-US"/>
        </w:rPr>
        <w:t>.</w:t>
      </w:r>
      <w:r w:rsidR="00AF1F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CD71 expression in MOLM-14 or OCI-AML2 cell lines after 24h exposure of indicated treatments and corresponding MFI (n=3)</w:t>
      </w:r>
      <w:r w:rsidR="00F0265B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01F406FF" w14:textId="09BD18F1" w:rsidR="00416703" w:rsidRPr="00176EF5" w:rsidRDefault="00416703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8EBB8B0" w14:textId="02C7DB28" w:rsidR="00A42270" w:rsidRPr="00AF1F44" w:rsidRDefault="00416703" w:rsidP="00AF1F44">
      <w:pPr>
        <w:rPr>
          <w:rStyle w:val="notes"/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2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="007967F9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A)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Immunoblotting analysis of 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NRF2, NCOA4, </w:t>
      </w:r>
      <w:proofErr w:type="spellStart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xCT</w:t>
      </w:r>
      <w:proofErr w:type="spellEnd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and FTH1 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after DHA exposure (5 µM) for 6 hours, alone or with the NRF2 inhibitor </w:t>
      </w:r>
      <w:proofErr w:type="spellStart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brusatol</w:t>
      </w:r>
      <w:proofErr w:type="spellEnd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(10 </w:t>
      </w:r>
      <w:proofErr w:type="spellStart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nM</w:t>
      </w:r>
      <w:proofErr w:type="spellEnd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)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(n=3). </w:t>
      </w:r>
      <w:r w:rsidR="007967F9" w:rsidRPr="00176EF5">
        <w:rPr>
          <w:rStyle w:val="notes"/>
          <w:rFonts w:asciiTheme="majorBidi" w:hAnsiTheme="majorBidi" w:cstheme="majorBidi"/>
          <w:sz w:val="24"/>
          <w:szCs w:val="24"/>
          <w:lang w:val="en-US"/>
        </w:rPr>
        <w:t xml:space="preserve">B)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Immunoblotting analysis of NCOA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4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and FTH1 after DHA exposure (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10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µM) for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24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hours, alone or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in association with FAC (50µM), VPS34-in1 (5µM) or </w:t>
      </w:r>
      <w:proofErr w:type="spellStart"/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bafilomycine</w:t>
      </w:r>
      <w:proofErr w:type="spellEnd"/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(1µM)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(n=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3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)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.</w:t>
      </w:r>
      <w:r w:rsidR="007967F9" w:rsidRPr="00176EF5">
        <w:rPr>
          <w:rStyle w:val="notes"/>
          <w:rFonts w:asciiTheme="majorBidi" w:hAnsiTheme="majorBidi" w:cstheme="majorBidi"/>
          <w:sz w:val="24"/>
          <w:szCs w:val="24"/>
          <w:lang w:val="en-US"/>
        </w:rPr>
        <w:t xml:space="preserve"> C)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Immunoblotting analysis of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CD71,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NCOA4  and FTH1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in MOLM-14 and OCI-AML2 cells transduced with </w:t>
      </w:r>
      <w:proofErr w:type="spellStart"/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shScramble</w:t>
      </w:r>
      <w:proofErr w:type="spellEnd"/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, sh1 or sh2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</w:t>
      </w:r>
      <w:r w:rsidR="00A42270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NCOA4 and induced with doxycycline for 48h</w:t>
      </w:r>
      <w:r w:rsidR="007967F9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(n=3).</w:t>
      </w:r>
    </w:p>
    <w:p w14:paraId="2A727451" w14:textId="56B0B85B" w:rsidR="007967F9" w:rsidRPr="00AF1F44" w:rsidRDefault="007967F9" w:rsidP="00AF1F44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3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proofErr w:type="spellStart"/>
      <w:r w:rsidRPr="00176EF5">
        <w:rPr>
          <w:rFonts w:asciiTheme="majorBidi" w:hAnsiTheme="majorBidi" w:cstheme="majorBidi"/>
          <w:sz w:val="24"/>
          <w:szCs w:val="24"/>
          <w:lang w:val="en-US"/>
        </w:rPr>
        <w:t>Fireplot</w:t>
      </w:r>
      <w:proofErr w:type="spellEnd"/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showing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the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top-ten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most up- and downregulated genes in the MOLM-14 </w:t>
      </w:r>
      <w:proofErr w:type="spellStart"/>
      <w:r w:rsidRPr="00176EF5">
        <w:rPr>
          <w:rFonts w:asciiTheme="majorBidi" w:hAnsiTheme="majorBidi" w:cstheme="majorBidi"/>
          <w:sz w:val="24"/>
          <w:szCs w:val="24"/>
          <w:lang w:val="en-US"/>
        </w:rPr>
        <w:t>shSCR</w:t>
      </w:r>
      <w:proofErr w:type="spellEnd"/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and OCI-AML2 </w:t>
      </w:r>
      <w:proofErr w:type="spellStart"/>
      <w:r w:rsidRPr="00176EF5">
        <w:rPr>
          <w:rFonts w:asciiTheme="majorBidi" w:hAnsiTheme="majorBidi" w:cstheme="majorBidi"/>
          <w:sz w:val="24"/>
          <w:szCs w:val="24"/>
          <w:lang w:val="en-US"/>
        </w:rPr>
        <w:t>shSCR</w:t>
      </w:r>
      <w:proofErr w:type="spellEnd"/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after 24 exposure with DHA (5µM) or without treatment, in transcriptomic analysis by </w:t>
      </w:r>
      <w:proofErr w:type="spellStart"/>
      <w:r w:rsidRPr="00176EF5">
        <w:rPr>
          <w:rFonts w:asciiTheme="majorBidi" w:hAnsiTheme="majorBidi" w:cstheme="majorBidi"/>
          <w:sz w:val="24"/>
          <w:szCs w:val="24"/>
          <w:lang w:val="en-US"/>
        </w:rPr>
        <w:t>RNAseq</w:t>
      </w:r>
      <w:proofErr w:type="spellEnd"/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(Log2 FC&gt;1,5; p&lt;0,05)</w:t>
      </w:r>
      <w:r w:rsidR="00F0265B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032B594A" w14:textId="310D0B47" w:rsidR="007967F9" w:rsidRPr="00176EF5" w:rsidRDefault="007967F9" w:rsidP="007967F9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70678F23" w14:textId="028E021B" w:rsidR="00416703" w:rsidRPr="00AF1F44" w:rsidRDefault="007967F9" w:rsidP="00AF1F44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4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>D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>ifferential expression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 xml:space="preserve"> according to KEGG pathway 2021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 xml:space="preserve"> of the main proteins between cells treated with DHA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 xml:space="preserve"> (5µM) for 24h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>, and control cells, for ferroptosis, iron metabolism and NRF2 pathways</w:t>
      </w:r>
      <w:r w:rsidR="00540E3A" w:rsidRPr="00176EF5">
        <w:rPr>
          <w:rFonts w:asciiTheme="majorBidi" w:hAnsiTheme="majorBidi" w:cstheme="majorBidi"/>
          <w:sz w:val="24"/>
          <w:szCs w:val="24"/>
          <w:lang w:val="en-US"/>
        </w:rPr>
        <w:t>. *p&lt;0,05; ** p&lt;0,01;  ***p&lt; 0,001;  ****p&lt; 0,0001.</w:t>
      </w:r>
    </w:p>
    <w:p w14:paraId="09FDA9BA" w14:textId="636501DD" w:rsidR="00D16A47" w:rsidRPr="00176EF5" w:rsidRDefault="00D16A47" w:rsidP="00540E3A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F031594" w14:textId="1A061417" w:rsidR="00D16A47" w:rsidRPr="00AF1F44" w:rsidRDefault="00D16A47" w:rsidP="00AF1F44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5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S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ix-top score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enriched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pathways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according to GSEA analysis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in either MOLM-14 SCR or OCI-AML2 SCR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treated with DHA (5µM) for 24h versus control, p&lt;0,05.</w:t>
      </w:r>
    </w:p>
    <w:p w14:paraId="1D17EDA0" w14:textId="77777777" w:rsidR="00D16A47" w:rsidRPr="00176EF5" w:rsidRDefault="00D16A47" w:rsidP="00540E3A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04A2CF2F" w14:textId="549D59FE" w:rsidR="00560D26" w:rsidRPr="00AF1F44" w:rsidRDefault="00D16A47" w:rsidP="00AF1F44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6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a)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qPCR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analysis of the six MT isoforms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in MOLM-14 and OCI-AML2 after DHA treatment (5 µM) for 24 hours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versus control (n=3). B) q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PCR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analysis of MT isoforms 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in THP-1 and K562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cell lines after 24h exposure with DHA (10µM) versus control (n=2).</w:t>
      </w:r>
      <w:r w:rsidR="00560D26" w:rsidRPr="00176EF5">
        <w:rPr>
          <w:rFonts w:asciiTheme="majorBidi" w:hAnsiTheme="majorBidi" w:cstheme="majorBidi"/>
          <w:sz w:val="24"/>
          <w:szCs w:val="24"/>
          <w:lang w:val="en-US"/>
        </w:rPr>
        <w:t xml:space="preserve"> C)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C11-BODIPY staining of 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THP-1 and K562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cells treated DHA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(5µM)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</w:t>
      </w:r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alone or in association with PPG (2mM). </w:t>
      </w:r>
      <w:proofErr w:type="spellStart"/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Datas</w:t>
      </w:r>
      <w:proofErr w:type="spellEnd"/>
      <w:r w:rsidR="00560D26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are expressed in mean fluorescence intensity (MFI) (fold/ DMSO treated cells) (n=3)</w:t>
      </w:r>
      <w:r w:rsidR="00F0265B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.</w:t>
      </w:r>
    </w:p>
    <w:p w14:paraId="5D720A87" w14:textId="77777777" w:rsidR="00176EF5" w:rsidRPr="00176EF5" w:rsidRDefault="00176EF5" w:rsidP="00540E3A">
      <w:pPr>
        <w:rPr>
          <w:rFonts w:asciiTheme="majorBidi" w:hAnsiTheme="majorBidi" w:cstheme="majorBidi"/>
          <w:lang w:val="en-US"/>
        </w:rPr>
      </w:pPr>
    </w:p>
    <w:p w14:paraId="7F37048B" w14:textId="30A6396C" w:rsidR="00802947" w:rsidRPr="00AF1F44" w:rsidRDefault="00560D26" w:rsidP="00AF1F44">
      <w:pPr>
        <w:rPr>
          <w:rStyle w:val="notes"/>
          <w:rFonts w:asciiTheme="majorBidi" w:hAnsiTheme="majorBidi" w:cstheme="majorBidi"/>
          <w:b/>
          <w:bCs/>
          <w:lang w:val="en-US"/>
        </w:rPr>
      </w:pPr>
      <w:r w:rsidRPr="00176EF5">
        <w:rPr>
          <w:rFonts w:asciiTheme="majorBidi" w:hAnsiTheme="majorBidi" w:cstheme="majorBidi"/>
          <w:b/>
          <w:bCs/>
          <w:lang w:val="en-US"/>
        </w:rPr>
        <w:t>Supplemental 7</w:t>
      </w:r>
      <w:r w:rsidR="00AF1F44">
        <w:rPr>
          <w:rFonts w:asciiTheme="majorBidi" w:hAnsiTheme="majorBidi" w:cstheme="majorBidi"/>
          <w:b/>
          <w:bCs/>
          <w:lang w:val="en-US"/>
        </w:rPr>
        <w:t xml:space="preserve">. 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Immunoblotting analysis of 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NRF2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xCT</w:t>
      </w:r>
      <w:proofErr w:type="spellEnd"/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, NQO1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 and FTH1 in MOLM-14 and OCI-AML2 cells transduced with </w:t>
      </w:r>
      <w:proofErr w:type="spellStart"/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shScramble</w:t>
      </w:r>
      <w:proofErr w:type="spellEnd"/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, sh1 or sh2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N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RF2</w:t>
      </w:r>
      <w:r w:rsidR="00802947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and induced with doxycycline for 48h (n=3).</w:t>
      </w:r>
    </w:p>
    <w:p w14:paraId="0A743251" w14:textId="51B7C42F" w:rsidR="00416703" w:rsidRPr="00176EF5" w:rsidRDefault="00416703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602F1AB9" w14:textId="77B94A3B" w:rsidR="00802947" w:rsidRPr="00AF1F44" w:rsidRDefault="00802947" w:rsidP="00AF1F44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8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qPCR analysis of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four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MT isoforms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, NRF2 (NFE2L2) and NRF2 downstream target genes NQO1 and FTH1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in MOLM-14 and OCI-AML2 </w:t>
      </w:r>
      <w:proofErr w:type="spellStart"/>
      <w:r w:rsidRPr="00176EF5">
        <w:rPr>
          <w:rFonts w:asciiTheme="majorBidi" w:hAnsiTheme="majorBidi" w:cstheme="majorBidi"/>
          <w:sz w:val="24"/>
          <w:szCs w:val="24"/>
          <w:lang w:val="en-US"/>
        </w:rPr>
        <w:t>shScramble</w:t>
      </w:r>
      <w:proofErr w:type="spellEnd"/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or sh2 NRF2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after 48h induction with doxycycline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(n=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2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)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.</w:t>
      </w:r>
    </w:p>
    <w:p w14:paraId="795A6FF8" w14:textId="1D8679DA" w:rsidR="00802947" w:rsidRPr="00176EF5" w:rsidRDefault="00802947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14:paraId="79EC7155" w14:textId="4099AA1E" w:rsidR="00802947" w:rsidRPr="00AF1F44" w:rsidRDefault="00802947" w:rsidP="00AF1F44">
      <w:pPr>
        <w:rPr>
          <w:rStyle w:val="notes"/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9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Viability curves for the indicated cells at 24 h post treatment. Error bars ± standard deviation are shown (n=6). (B) Heat maps showing IC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vertAlign w:val="subscript"/>
          <w:lang w:val="en-US"/>
        </w:rPr>
        <w:t>50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% of the indicated 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lastRenderedPageBreak/>
        <w:t xml:space="preserve">compounds after 24h of exposure in MOLM-14 and OCI-AML2 cells transduced 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with 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shMT2A</w:t>
      </w:r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vs </w:t>
      </w:r>
      <w:proofErr w:type="spellStart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shScramble</w:t>
      </w:r>
      <w:proofErr w:type="spellEnd"/>
      <w:r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(n=6).</w:t>
      </w:r>
    </w:p>
    <w:p w14:paraId="5BEE726B" w14:textId="65A85C71" w:rsidR="00802947" w:rsidRPr="00176EF5" w:rsidRDefault="00802947">
      <w:pPr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</w:pPr>
    </w:p>
    <w:p w14:paraId="1E0AF743" w14:textId="6DF40F28" w:rsidR="00802947" w:rsidRPr="00AF1F44" w:rsidRDefault="00802947" w:rsidP="00AF1F44">
      <w:pPr>
        <w:rPr>
          <w:rFonts w:asciiTheme="majorBidi" w:hAnsiTheme="majorBidi" w:cstheme="majorBidi"/>
          <w:b/>
          <w:bCs/>
          <w:color w:val="000000"/>
          <w:spacing w:val="3"/>
          <w:sz w:val="24"/>
          <w:szCs w:val="24"/>
          <w:shd w:val="clear" w:color="auto" w:fill="FFFFFF"/>
          <w:lang w:val="en-US"/>
        </w:rPr>
      </w:pPr>
      <w:r w:rsidRPr="00176EF5">
        <w:rPr>
          <w:rStyle w:val="notes"/>
          <w:rFonts w:asciiTheme="majorBidi" w:hAnsiTheme="majorBidi" w:cstheme="majorBidi"/>
          <w:b/>
          <w:bCs/>
          <w:color w:val="000000"/>
          <w:spacing w:val="3"/>
          <w:sz w:val="24"/>
          <w:szCs w:val="24"/>
          <w:shd w:val="clear" w:color="auto" w:fill="FFFFFF"/>
          <w:lang w:val="en-US"/>
        </w:rPr>
        <w:t>Supplemental 10</w:t>
      </w:r>
      <w:r w:rsidR="00AF1F44">
        <w:rPr>
          <w:rStyle w:val="notes"/>
          <w:rFonts w:asciiTheme="majorBidi" w:hAnsiTheme="majorBidi" w:cstheme="majorBidi"/>
          <w:b/>
          <w:bCs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. 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>qPCR analysis of the six MT isoforms in MOLM-14 and OCI-AML2</w:t>
      </w:r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transduced with </w:t>
      </w:r>
      <w:proofErr w:type="spellStart"/>
      <w:r w:rsidRPr="00176EF5">
        <w:rPr>
          <w:rFonts w:asciiTheme="majorBidi" w:hAnsiTheme="majorBidi" w:cstheme="majorBidi"/>
          <w:sz w:val="24"/>
          <w:szCs w:val="24"/>
          <w:lang w:val="en-US"/>
        </w:rPr>
        <w:t>shScramble</w:t>
      </w:r>
      <w:proofErr w:type="spellEnd"/>
      <w:r w:rsidRPr="00176EF5">
        <w:rPr>
          <w:rFonts w:asciiTheme="majorBidi" w:hAnsiTheme="majorBidi" w:cstheme="majorBidi"/>
          <w:sz w:val="24"/>
          <w:szCs w:val="24"/>
          <w:lang w:val="en-US"/>
        </w:rPr>
        <w:t xml:space="preserve"> or shMT2A after 48h induction with doxycycline (n=2).</w:t>
      </w:r>
    </w:p>
    <w:p w14:paraId="61BEDC7C" w14:textId="77777777" w:rsidR="0001165E" w:rsidRPr="00176EF5" w:rsidRDefault="0001165E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2EE72DFF" w14:textId="3392446F" w:rsidR="00526E19" w:rsidRPr="00AF1F44" w:rsidRDefault="0001165E" w:rsidP="00AF1F44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11</w:t>
      </w:r>
      <w:r w:rsidR="00AF1F44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. </w:t>
      </w:r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GSH/GSSG </w:t>
      </w:r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staining of MOLM-14 and OCI-AML2 cells transduced with </w:t>
      </w:r>
      <w:proofErr w:type="spellStart"/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shSCR</w:t>
      </w:r>
      <w:proofErr w:type="spellEnd"/>
      <w:r w:rsidR="009140FA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or </w:t>
      </w:r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shMT2A</w:t>
      </w:r>
      <w:r w:rsidR="009140FA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</w:t>
      </w:r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for 48h and treated </w:t>
      </w:r>
      <w:r w:rsidR="003D4335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with indicated compounds for 24h</w:t>
      </w:r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. D</w:t>
      </w:r>
      <w:proofErr w:type="spellStart"/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atas</w:t>
      </w:r>
      <w:proofErr w:type="spellEnd"/>
      <w:r w:rsidR="001F405D" w:rsidRPr="00176EF5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 xml:space="preserve"> are expressed in fold change compared to SCR non treated cells (n=3)</w:t>
      </w:r>
      <w:r w:rsidR="00F0265B">
        <w:rPr>
          <w:rStyle w:val="notes"/>
          <w:rFonts w:asciiTheme="majorBidi" w:hAnsiTheme="majorBidi" w:cstheme="majorBidi"/>
          <w:color w:val="000000"/>
          <w:spacing w:val="3"/>
          <w:sz w:val="24"/>
          <w:szCs w:val="24"/>
          <w:shd w:val="clear" w:color="auto" w:fill="FFFFFF"/>
          <w:lang w:val="en-US"/>
        </w:rPr>
        <w:t>.</w:t>
      </w:r>
    </w:p>
    <w:p w14:paraId="0846A3A9" w14:textId="722841F7" w:rsidR="00526E19" w:rsidRPr="00176EF5" w:rsidRDefault="00526E19" w:rsidP="00526E19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3D5DD0ED" w14:textId="7199ECFF" w:rsidR="00526E19" w:rsidRPr="00176EF5" w:rsidRDefault="00526E19" w:rsidP="00526E19">
      <w:pPr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176EF5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Supplemental patient characteristics</w:t>
      </w:r>
    </w:p>
    <w:p w14:paraId="188C98FF" w14:textId="77777777" w:rsidR="00176EF5" w:rsidRPr="00176EF5" w:rsidRDefault="00176EF5" w:rsidP="00176EF5">
      <w:pPr>
        <w:rPr>
          <w:rFonts w:asciiTheme="majorBidi" w:hAnsiTheme="majorBidi" w:cstheme="majorBidi"/>
          <w:b/>
          <w:bCs/>
          <w:sz w:val="20"/>
          <w:szCs w:val="20"/>
        </w:rPr>
      </w:pPr>
    </w:p>
    <w:tbl>
      <w:tblPr>
        <w:tblStyle w:val="Tableausimple3"/>
        <w:tblW w:w="0" w:type="auto"/>
        <w:tblLook w:val="04A0" w:firstRow="1" w:lastRow="0" w:firstColumn="1" w:lastColumn="0" w:noHBand="0" w:noVBand="1"/>
      </w:tblPr>
      <w:tblGrid>
        <w:gridCol w:w="1391"/>
        <w:gridCol w:w="1122"/>
        <w:gridCol w:w="1767"/>
        <w:gridCol w:w="1514"/>
        <w:gridCol w:w="1767"/>
        <w:gridCol w:w="1511"/>
      </w:tblGrid>
      <w:tr w:rsidR="00176EF5" w:rsidRPr="00176EF5" w14:paraId="01F46A91" w14:textId="77777777" w:rsidTr="00523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62" w:type="dxa"/>
          </w:tcPr>
          <w:p w14:paraId="64D63657" w14:textId="77777777" w:rsidR="00176EF5" w:rsidRPr="00176EF5" w:rsidRDefault="00176EF5" w:rsidP="00523B1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Patient number</w:t>
            </w:r>
          </w:p>
        </w:tc>
        <w:tc>
          <w:tcPr>
            <w:tcW w:w="1218" w:type="dxa"/>
          </w:tcPr>
          <w:p w14:paraId="08EFA14B" w14:textId="77777777" w:rsidR="00176EF5" w:rsidRPr="00176EF5" w:rsidRDefault="00176EF5" w:rsidP="0052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Age</w:t>
            </w:r>
          </w:p>
        </w:tc>
        <w:tc>
          <w:tcPr>
            <w:tcW w:w="1633" w:type="dxa"/>
          </w:tcPr>
          <w:p w14:paraId="6C0B6D1F" w14:textId="77777777" w:rsidR="00176EF5" w:rsidRPr="00176EF5" w:rsidRDefault="00176EF5" w:rsidP="0052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FAB classification</w:t>
            </w:r>
          </w:p>
        </w:tc>
        <w:tc>
          <w:tcPr>
            <w:tcW w:w="1541" w:type="dxa"/>
          </w:tcPr>
          <w:p w14:paraId="0D6624EB" w14:textId="77777777" w:rsidR="00176EF5" w:rsidRPr="00176EF5" w:rsidRDefault="00176EF5" w:rsidP="0052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Karyotype</w:t>
            </w:r>
          </w:p>
        </w:tc>
        <w:tc>
          <w:tcPr>
            <w:tcW w:w="1668" w:type="dxa"/>
          </w:tcPr>
          <w:p w14:paraId="22A2F928" w14:textId="77777777" w:rsidR="00176EF5" w:rsidRPr="00176EF5" w:rsidRDefault="00176EF5" w:rsidP="0052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Molecular abnormalities</w:t>
            </w:r>
          </w:p>
        </w:tc>
        <w:tc>
          <w:tcPr>
            <w:tcW w:w="1540" w:type="dxa"/>
          </w:tcPr>
          <w:p w14:paraId="613D2655" w14:textId="77777777" w:rsidR="00176EF5" w:rsidRPr="00176EF5" w:rsidRDefault="00176EF5" w:rsidP="00523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De novo or secondary</w:t>
            </w:r>
          </w:p>
        </w:tc>
      </w:tr>
      <w:tr w:rsidR="00176EF5" w:rsidRPr="00176EF5" w14:paraId="68A19CA6" w14:textId="77777777" w:rsidTr="0052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18A8EE6E" w14:textId="77777777" w:rsidR="00176EF5" w:rsidRPr="00176EF5" w:rsidRDefault="00176EF5" w:rsidP="00523B1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#1</w:t>
            </w:r>
          </w:p>
        </w:tc>
        <w:tc>
          <w:tcPr>
            <w:tcW w:w="1218" w:type="dxa"/>
          </w:tcPr>
          <w:p w14:paraId="23CFBCD2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72</w:t>
            </w:r>
          </w:p>
        </w:tc>
        <w:tc>
          <w:tcPr>
            <w:tcW w:w="1633" w:type="dxa"/>
          </w:tcPr>
          <w:p w14:paraId="738B7A03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AML 0</w:t>
            </w:r>
          </w:p>
        </w:tc>
        <w:tc>
          <w:tcPr>
            <w:tcW w:w="1541" w:type="dxa"/>
          </w:tcPr>
          <w:p w14:paraId="48D4A7FF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normal</w:t>
            </w:r>
          </w:p>
        </w:tc>
        <w:tc>
          <w:tcPr>
            <w:tcW w:w="1668" w:type="dxa"/>
          </w:tcPr>
          <w:p w14:paraId="213DB27D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NPM1 </w:t>
            </w:r>
            <w:proofErr w:type="spellStart"/>
            <w:r w:rsidRPr="00176EF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mutated</w:t>
            </w:r>
            <w:proofErr w:type="spellEnd"/>
          </w:p>
          <w:p w14:paraId="56F51883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i/>
                <w:iCs/>
                <w:sz w:val="18"/>
                <w:szCs w:val="18"/>
                <w:u w:val="single"/>
              </w:rPr>
              <w:t>NGS</w:t>
            </w:r>
            <w:r w:rsidRPr="00176EF5">
              <w:rPr>
                <w:rFonts w:asciiTheme="majorBidi" w:hAnsiTheme="majorBidi" w:cstheme="majorBidi"/>
                <w:sz w:val="18"/>
                <w:szCs w:val="18"/>
              </w:rPr>
              <w:t> : NRAS, PTPN11, DNMT3A</w:t>
            </w:r>
          </w:p>
        </w:tc>
        <w:tc>
          <w:tcPr>
            <w:tcW w:w="1540" w:type="dxa"/>
          </w:tcPr>
          <w:p w14:paraId="13BA2EC9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De Novo</w:t>
            </w:r>
          </w:p>
        </w:tc>
      </w:tr>
      <w:tr w:rsidR="00176EF5" w:rsidRPr="00176EF5" w14:paraId="2FDAFF3C" w14:textId="77777777" w:rsidTr="00523B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1B037F06" w14:textId="77777777" w:rsidR="00176EF5" w:rsidRPr="00176EF5" w:rsidRDefault="00176EF5" w:rsidP="00523B1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#2</w:t>
            </w:r>
          </w:p>
        </w:tc>
        <w:tc>
          <w:tcPr>
            <w:tcW w:w="1218" w:type="dxa"/>
          </w:tcPr>
          <w:p w14:paraId="702CC02D" w14:textId="77777777" w:rsidR="00176EF5" w:rsidRPr="00176EF5" w:rsidRDefault="00176EF5" w:rsidP="0052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79</w:t>
            </w:r>
          </w:p>
        </w:tc>
        <w:tc>
          <w:tcPr>
            <w:tcW w:w="1633" w:type="dxa"/>
          </w:tcPr>
          <w:p w14:paraId="7FD5649F" w14:textId="77777777" w:rsidR="00176EF5" w:rsidRPr="00176EF5" w:rsidRDefault="00176EF5" w:rsidP="0052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AML 1</w:t>
            </w:r>
          </w:p>
        </w:tc>
        <w:tc>
          <w:tcPr>
            <w:tcW w:w="1541" w:type="dxa"/>
          </w:tcPr>
          <w:p w14:paraId="388225B8" w14:textId="77777777" w:rsidR="00176EF5" w:rsidRPr="00176EF5" w:rsidRDefault="00176EF5" w:rsidP="0052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Del 7q</w:t>
            </w:r>
          </w:p>
        </w:tc>
        <w:tc>
          <w:tcPr>
            <w:tcW w:w="1668" w:type="dxa"/>
          </w:tcPr>
          <w:p w14:paraId="73EDC45B" w14:textId="77777777" w:rsidR="00176EF5" w:rsidRPr="00176EF5" w:rsidRDefault="00176EF5" w:rsidP="0052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No mutations in NPM1, FLT3 or IDH</w:t>
            </w:r>
          </w:p>
        </w:tc>
        <w:tc>
          <w:tcPr>
            <w:tcW w:w="1540" w:type="dxa"/>
          </w:tcPr>
          <w:p w14:paraId="0392BFF6" w14:textId="77777777" w:rsidR="00176EF5" w:rsidRPr="00176EF5" w:rsidRDefault="00176EF5" w:rsidP="00523B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  <w:lang w:val="en-US"/>
              </w:rPr>
              <w:t>Secondary to MDS</w:t>
            </w:r>
          </w:p>
        </w:tc>
      </w:tr>
      <w:tr w:rsidR="00176EF5" w:rsidRPr="00176EF5" w14:paraId="7228D32F" w14:textId="77777777" w:rsidTr="00523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2" w:type="dxa"/>
          </w:tcPr>
          <w:p w14:paraId="7F7E637B" w14:textId="77777777" w:rsidR="00176EF5" w:rsidRPr="00176EF5" w:rsidRDefault="00176EF5" w:rsidP="00523B1D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#3</w:t>
            </w:r>
          </w:p>
        </w:tc>
        <w:tc>
          <w:tcPr>
            <w:tcW w:w="1218" w:type="dxa"/>
          </w:tcPr>
          <w:p w14:paraId="2EBB58DA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633" w:type="dxa"/>
          </w:tcPr>
          <w:p w14:paraId="644C5DB6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NA</w:t>
            </w:r>
          </w:p>
        </w:tc>
        <w:tc>
          <w:tcPr>
            <w:tcW w:w="1541" w:type="dxa"/>
          </w:tcPr>
          <w:p w14:paraId="60B409FF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Del 17p</w:t>
            </w:r>
          </w:p>
        </w:tc>
        <w:tc>
          <w:tcPr>
            <w:tcW w:w="1668" w:type="dxa"/>
          </w:tcPr>
          <w:p w14:paraId="75F077A4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TP53 </w:t>
            </w:r>
            <w:proofErr w:type="spellStart"/>
            <w:r w:rsidRPr="00176EF5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mutated</w:t>
            </w:r>
            <w:proofErr w:type="spellEnd"/>
          </w:p>
          <w:p w14:paraId="252AC006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i/>
                <w:iCs/>
                <w:sz w:val="18"/>
                <w:szCs w:val="18"/>
                <w:u w:val="single"/>
              </w:rPr>
              <w:t>NGS</w:t>
            </w:r>
            <w:r w:rsidRPr="00176EF5">
              <w:rPr>
                <w:rFonts w:asciiTheme="majorBidi" w:hAnsiTheme="majorBidi" w:cstheme="majorBidi"/>
                <w:b/>
                <w:bCs/>
                <w:i/>
                <w:iCs/>
                <w:sz w:val="18"/>
                <w:szCs w:val="18"/>
                <w:u w:val="single"/>
              </w:rPr>
              <w:t> </w:t>
            </w:r>
            <w:r w:rsidRPr="00176EF5">
              <w:rPr>
                <w:rFonts w:asciiTheme="majorBidi" w:hAnsiTheme="majorBidi" w:cstheme="majorBidi"/>
                <w:sz w:val="18"/>
                <w:szCs w:val="18"/>
              </w:rPr>
              <w:t>: NRAS, PTPN11, MPL, KDM6</w:t>
            </w:r>
          </w:p>
        </w:tc>
        <w:tc>
          <w:tcPr>
            <w:tcW w:w="1540" w:type="dxa"/>
          </w:tcPr>
          <w:p w14:paraId="741559F4" w14:textId="77777777" w:rsidR="00176EF5" w:rsidRPr="00176EF5" w:rsidRDefault="00176EF5" w:rsidP="00523B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18"/>
                <w:szCs w:val="18"/>
              </w:rPr>
            </w:pPr>
            <w:r w:rsidRPr="00176EF5">
              <w:rPr>
                <w:rFonts w:asciiTheme="majorBidi" w:hAnsiTheme="majorBidi" w:cstheme="majorBidi"/>
                <w:sz w:val="18"/>
                <w:szCs w:val="18"/>
              </w:rPr>
              <w:t>De novo</w:t>
            </w:r>
          </w:p>
        </w:tc>
      </w:tr>
    </w:tbl>
    <w:p w14:paraId="233AA17F" w14:textId="77777777" w:rsidR="00176EF5" w:rsidRPr="00176EF5" w:rsidRDefault="00176EF5" w:rsidP="00176EF5">
      <w:pPr>
        <w:rPr>
          <w:rFonts w:asciiTheme="majorBidi" w:hAnsiTheme="majorBidi" w:cstheme="majorBidi"/>
        </w:rPr>
      </w:pPr>
    </w:p>
    <w:p w14:paraId="7DEDCA5A" w14:textId="77777777" w:rsidR="00526E19" w:rsidRPr="00176EF5" w:rsidRDefault="00526E19" w:rsidP="00526E19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526E19" w:rsidRPr="00176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85EC8"/>
    <w:multiLevelType w:val="hybridMultilevel"/>
    <w:tmpl w:val="6A329900"/>
    <w:lvl w:ilvl="0" w:tplc="FF5C06E6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AF8"/>
    <w:multiLevelType w:val="hybridMultilevel"/>
    <w:tmpl w:val="B23E8F6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107147">
    <w:abstractNumId w:val="0"/>
  </w:num>
  <w:num w:numId="2" w16cid:durableId="6823240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703"/>
    <w:rsid w:val="0001165E"/>
    <w:rsid w:val="00176EF5"/>
    <w:rsid w:val="001F405D"/>
    <w:rsid w:val="003D4335"/>
    <w:rsid w:val="00416703"/>
    <w:rsid w:val="00526E19"/>
    <w:rsid w:val="00540E3A"/>
    <w:rsid w:val="00560D26"/>
    <w:rsid w:val="007967F9"/>
    <w:rsid w:val="00802947"/>
    <w:rsid w:val="009140FA"/>
    <w:rsid w:val="00A42270"/>
    <w:rsid w:val="00AF1F44"/>
    <w:rsid w:val="00C5549F"/>
    <w:rsid w:val="00D16A47"/>
    <w:rsid w:val="00DA0E49"/>
    <w:rsid w:val="00F02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C851F"/>
  <w15:chartTrackingRefBased/>
  <w15:docId w15:val="{304F0438-A9FA-4844-A9F6-CD095EB6B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16703"/>
    <w:pPr>
      <w:ind w:left="720"/>
      <w:contextualSpacing/>
    </w:pPr>
  </w:style>
  <w:style w:type="character" w:customStyle="1" w:styleId="notes">
    <w:name w:val="notes"/>
    <w:basedOn w:val="Policepardfaut"/>
    <w:rsid w:val="00416703"/>
  </w:style>
  <w:style w:type="table" w:styleId="Tableausimple3">
    <w:name w:val="Plain Table 3"/>
    <w:basedOn w:val="TableauNormal"/>
    <w:uiPriority w:val="43"/>
    <w:rsid w:val="00176EF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grn</dc:creator>
  <cp:keywords/>
  <dc:description/>
  <cp:lastModifiedBy>eric grn</cp:lastModifiedBy>
  <cp:revision>9</cp:revision>
  <dcterms:created xsi:type="dcterms:W3CDTF">2023-01-25T21:49:00Z</dcterms:created>
  <dcterms:modified xsi:type="dcterms:W3CDTF">2023-01-26T00:29:00Z</dcterms:modified>
</cp:coreProperties>
</file>