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110D" w14:textId="57E0B242" w:rsidR="004D1726" w:rsidRPr="003314E5" w:rsidRDefault="003314E5" w:rsidP="003314E5">
      <w:pPr>
        <w:spacing w:line="480" w:lineRule="auto"/>
        <w:rPr>
          <w:b/>
          <w:bCs/>
          <w:lang w:val="en-US"/>
        </w:rPr>
      </w:pPr>
      <w:r w:rsidRPr="003314E5">
        <w:rPr>
          <w:b/>
          <w:bCs/>
          <w:lang w:val="en-US"/>
        </w:rPr>
        <w:t xml:space="preserve">SUPPLEMENTARY FIGURE LEGENDS </w:t>
      </w:r>
    </w:p>
    <w:p w14:paraId="49CBDF1F" w14:textId="06026BA6" w:rsidR="004D1726" w:rsidRPr="003314E5" w:rsidRDefault="004D1726" w:rsidP="003314E5">
      <w:pPr>
        <w:spacing w:line="480" w:lineRule="auto"/>
        <w:rPr>
          <w:b/>
          <w:bCs/>
          <w:lang w:val="en-US"/>
        </w:rPr>
      </w:pPr>
      <w:r w:rsidRPr="003314E5">
        <w:rPr>
          <w:b/>
          <w:bCs/>
          <w:lang w:val="en-US"/>
        </w:rPr>
        <w:t>Supplementary Figure 1</w:t>
      </w:r>
      <w:r w:rsidR="001F4600">
        <w:rPr>
          <w:b/>
          <w:bCs/>
          <w:lang w:val="en-US"/>
        </w:rPr>
        <w:t xml:space="preserve">. </w:t>
      </w:r>
      <w:bookmarkStart w:id="0" w:name="_GoBack"/>
      <w:r w:rsidR="001F4600">
        <w:rPr>
          <w:b/>
          <w:bCs/>
          <w:lang w:val="en-US"/>
        </w:rPr>
        <w:t>Cell viability and proliferation of CLL cells in response to CD40L/APRIL/BAFF stimulation</w:t>
      </w:r>
      <w:bookmarkEnd w:id="0"/>
    </w:p>
    <w:p w14:paraId="52C0C3CC" w14:textId="7D410168" w:rsidR="00094742" w:rsidRDefault="00094742" w:rsidP="00094742">
      <w:pPr>
        <w:spacing w:line="480" w:lineRule="auto"/>
        <w:contextualSpacing/>
        <w:rPr>
          <w:lang w:val="en-US"/>
        </w:rPr>
      </w:pPr>
      <w:r w:rsidRPr="00094742">
        <w:rPr>
          <w:rFonts w:cstheme="minorHAnsi"/>
          <w:b/>
          <w:lang w:val="en-US"/>
        </w:rPr>
        <w:t xml:space="preserve">a. </w:t>
      </w:r>
      <w:r w:rsidR="00A72531" w:rsidRPr="00094742">
        <w:rPr>
          <w:rFonts w:cstheme="minorHAnsi"/>
          <w:lang w:val="en-US"/>
        </w:rPr>
        <w:t>Peripheral blood mononuclear cells (PBMCs) from CLL patient samples were co-cultured at a 10:1 ratio with irradiated wild-type 3T3 fibroblasts or GFP-APRIL, GFP-BAFF and GFP-APRIL</w:t>
      </w:r>
      <w:r w:rsidR="00D810A0" w:rsidRPr="00094742">
        <w:rPr>
          <w:rFonts w:cstheme="minorHAnsi"/>
          <w:lang w:val="en-US"/>
        </w:rPr>
        <w:t xml:space="preserve"> + CD40L</w:t>
      </w:r>
      <w:r w:rsidR="00A72531" w:rsidRPr="00094742">
        <w:rPr>
          <w:rFonts w:cstheme="minorHAnsi"/>
          <w:lang w:val="en-US"/>
        </w:rPr>
        <w:t xml:space="preserve"> fibroblasts for 24h. The CLL cells were then separated from the adherent fibroblast layer and kept in culture in the incubator for 6 days. </w:t>
      </w:r>
      <w:r w:rsidR="00D810A0" w:rsidRPr="00094742">
        <w:rPr>
          <w:rFonts w:cstheme="minorHAnsi"/>
          <w:lang w:val="en-US"/>
        </w:rPr>
        <w:t>One</w:t>
      </w:r>
      <w:r w:rsidR="00A72531" w:rsidRPr="00094742">
        <w:rPr>
          <w:rFonts w:cstheme="minorHAnsi"/>
          <w:lang w:val="en-US"/>
        </w:rPr>
        <w:t xml:space="preserve"> million cells were washed and stained with </w:t>
      </w:r>
      <w:r w:rsidR="00914D2A">
        <w:rPr>
          <w:rFonts w:cstheme="minorHAnsi"/>
          <w:lang w:val="en-US"/>
        </w:rPr>
        <w:t>fixable</w:t>
      </w:r>
      <w:r w:rsidR="00A72531" w:rsidRPr="00094742">
        <w:rPr>
          <w:rFonts w:cstheme="minorHAnsi"/>
          <w:lang w:val="en-US"/>
        </w:rPr>
        <w:t xml:space="preserve"> viability stain and fixed at day</w:t>
      </w:r>
      <w:r w:rsidR="00D810A0" w:rsidRPr="00094742">
        <w:rPr>
          <w:rFonts w:cstheme="minorHAnsi"/>
          <w:lang w:val="en-US"/>
        </w:rPr>
        <w:t>s</w:t>
      </w:r>
      <w:r w:rsidR="00A72531" w:rsidRPr="00094742">
        <w:rPr>
          <w:rFonts w:cstheme="minorHAnsi"/>
          <w:lang w:val="en-US"/>
        </w:rPr>
        <w:t xml:space="preserve"> 0, 3</w:t>
      </w:r>
      <w:r w:rsidR="00D810A0" w:rsidRPr="00094742">
        <w:rPr>
          <w:rFonts w:cstheme="minorHAnsi"/>
          <w:lang w:val="en-US"/>
        </w:rPr>
        <w:t>,</w:t>
      </w:r>
      <w:r w:rsidR="00A72531" w:rsidRPr="00094742">
        <w:rPr>
          <w:rFonts w:cstheme="minorHAnsi"/>
          <w:lang w:val="en-US"/>
        </w:rPr>
        <w:t xml:space="preserve"> </w:t>
      </w:r>
      <w:r w:rsidR="00D810A0" w:rsidRPr="00094742">
        <w:rPr>
          <w:rFonts w:cstheme="minorHAnsi"/>
          <w:lang w:val="en-US"/>
        </w:rPr>
        <w:t>and</w:t>
      </w:r>
      <w:r w:rsidR="00A72531" w:rsidRPr="00094742">
        <w:rPr>
          <w:rFonts w:cstheme="minorHAnsi"/>
          <w:lang w:val="en-US"/>
        </w:rPr>
        <w:t xml:space="preserve"> 6. The </w:t>
      </w:r>
      <w:r w:rsidR="00D810A0" w:rsidRPr="00094742">
        <w:rPr>
          <w:rFonts w:cstheme="minorHAnsi"/>
          <w:lang w:val="en-US"/>
        </w:rPr>
        <w:t>cells</w:t>
      </w:r>
      <w:r w:rsidR="00A72531" w:rsidRPr="00094742">
        <w:rPr>
          <w:rFonts w:cstheme="minorHAnsi"/>
          <w:lang w:val="en-US"/>
        </w:rPr>
        <w:t xml:space="preserve"> were analyzed by flow cytometry. Dot plots showing one representative experiment and fraction of live cells are gated. The graph shows percentage</w:t>
      </w:r>
      <w:r w:rsidR="00D810A0" w:rsidRPr="00094742">
        <w:rPr>
          <w:rFonts w:cstheme="minorHAnsi"/>
          <w:lang w:val="en-US"/>
        </w:rPr>
        <w:t xml:space="preserve"> of</w:t>
      </w:r>
      <w:r w:rsidR="00A72531" w:rsidRPr="00094742">
        <w:rPr>
          <w:rFonts w:cstheme="minorHAnsi"/>
          <w:lang w:val="en-US"/>
        </w:rPr>
        <w:t xml:space="preserve"> live cells for day 0, day 3</w:t>
      </w:r>
      <w:r w:rsidR="00D810A0" w:rsidRPr="00094742">
        <w:rPr>
          <w:rFonts w:cstheme="minorHAnsi"/>
          <w:lang w:val="en-US"/>
        </w:rPr>
        <w:t>,</w:t>
      </w:r>
      <w:r w:rsidR="00A72531" w:rsidRPr="00094742">
        <w:rPr>
          <w:rFonts w:cstheme="minorHAnsi"/>
          <w:lang w:val="en-US"/>
        </w:rPr>
        <w:t xml:space="preserve"> and day 6 after co-culture (mean ±</w:t>
      </w:r>
      <w:r w:rsidR="00D810A0" w:rsidRPr="00094742">
        <w:rPr>
          <w:rFonts w:cstheme="minorHAnsi"/>
          <w:lang w:val="en-US"/>
        </w:rPr>
        <w:t xml:space="preserve"> </w:t>
      </w:r>
      <w:r w:rsidR="00A72531" w:rsidRPr="00094742">
        <w:rPr>
          <w:rFonts w:cstheme="minorHAnsi"/>
          <w:lang w:val="en-US"/>
        </w:rPr>
        <w:t xml:space="preserve">SEM, n=3). Statistics were performed with a two-tailed unpaired t-test. </w:t>
      </w:r>
    </w:p>
    <w:p w14:paraId="011FF60F" w14:textId="22E3E1C4" w:rsidR="00A72531" w:rsidRPr="00094742" w:rsidRDefault="00094742" w:rsidP="00094742">
      <w:pPr>
        <w:spacing w:line="480" w:lineRule="auto"/>
        <w:contextualSpacing/>
        <w:rPr>
          <w:lang w:val="en-US"/>
        </w:rPr>
      </w:pPr>
      <w:r>
        <w:rPr>
          <w:rFonts w:cstheme="minorHAnsi"/>
          <w:b/>
          <w:lang w:val="en-US"/>
        </w:rPr>
        <w:t xml:space="preserve">b. </w:t>
      </w:r>
      <w:r w:rsidR="00A72531" w:rsidRPr="00094742">
        <w:rPr>
          <w:rFonts w:cstheme="minorHAnsi"/>
          <w:lang w:val="en-US"/>
        </w:rPr>
        <w:t xml:space="preserve">PBMCs </w:t>
      </w:r>
      <w:r w:rsidR="00D810A0" w:rsidRPr="00094742">
        <w:rPr>
          <w:rFonts w:cstheme="minorHAnsi"/>
          <w:lang w:val="en-US"/>
        </w:rPr>
        <w:t xml:space="preserve">from </w:t>
      </w:r>
      <w:r w:rsidR="00A72531" w:rsidRPr="00094742">
        <w:rPr>
          <w:rFonts w:cstheme="minorHAnsi"/>
          <w:lang w:val="en-US"/>
        </w:rPr>
        <w:t xml:space="preserve">CLL patient samples were either fixed at baseline (B) or after co-culture with the different fibroblast lines for 24h as described in a). The cells were then permeabilized and stained with the indicated antibodies. </w:t>
      </w:r>
      <w:r w:rsidRPr="00094742">
        <w:rPr>
          <w:rFonts w:cstheme="minorHAnsi"/>
          <w:lang w:val="en-US"/>
        </w:rPr>
        <w:t>The cells</w:t>
      </w:r>
      <w:r w:rsidR="00A72531" w:rsidRPr="00094742">
        <w:rPr>
          <w:rFonts w:cstheme="minorHAnsi"/>
          <w:lang w:val="en-US"/>
        </w:rPr>
        <w:t xml:space="preserve"> were analyzed by flow cytometry. The first 3 bars show 3T3 control co-cultured CLL cells. The 3 bars to the right show CD40L/APRIL/BAFF co-cultured CLL cells. The CLL cells were analyzed as percent positive counts relative to the baseline (mean ±</w:t>
      </w:r>
      <w:r w:rsidRPr="00094742">
        <w:rPr>
          <w:rFonts w:cstheme="minorHAnsi"/>
          <w:lang w:val="en-US"/>
        </w:rPr>
        <w:t xml:space="preserve"> </w:t>
      </w:r>
      <w:r w:rsidR="00A72531" w:rsidRPr="00094742">
        <w:rPr>
          <w:rFonts w:cstheme="minorHAnsi"/>
          <w:lang w:val="en-US"/>
        </w:rPr>
        <w:t>SEM, n=3). The graphs show measurements for baseline (B), day 3</w:t>
      </w:r>
      <w:r w:rsidRPr="00094742">
        <w:rPr>
          <w:rFonts w:cstheme="minorHAnsi"/>
          <w:lang w:val="en-US"/>
        </w:rPr>
        <w:t>,</w:t>
      </w:r>
      <w:r w:rsidR="00A72531" w:rsidRPr="00094742">
        <w:rPr>
          <w:rFonts w:cstheme="minorHAnsi"/>
          <w:lang w:val="en-US"/>
        </w:rPr>
        <w:t xml:space="preserve"> and day 6 after co-culture. Statistics were performed with a two-tailed unpaired t-test. *p&lt;0.05. </w:t>
      </w:r>
    </w:p>
    <w:sectPr w:rsidR="00A72531" w:rsidRPr="00094742" w:rsidSect="003314E5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9E01F" w16cex:dateUtc="2023-02-17T10:1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65726"/>
    <w:multiLevelType w:val="hybridMultilevel"/>
    <w:tmpl w:val="00E46F06"/>
    <w:lvl w:ilvl="0" w:tplc="A38CA0D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26"/>
    <w:rsid w:val="00094742"/>
    <w:rsid w:val="001F4600"/>
    <w:rsid w:val="003314E5"/>
    <w:rsid w:val="004D1726"/>
    <w:rsid w:val="00537702"/>
    <w:rsid w:val="00914D2A"/>
    <w:rsid w:val="00A72531"/>
    <w:rsid w:val="00CF34A2"/>
    <w:rsid w:val="00D810A0"/>
    <w:rsid w:val="00E4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6570"/>
  <w15:chartTrackingRefBased/>
  <w15:docId w15:val="{6F808C60-F26C-4FA6-B29E-478DABC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72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314E5"/>
  </w:style>
  <w:style w:type="character" w:styleId="CommentReference">
    <w:name w:val="annotation reference"/>
    <w:basedOn w:val="DefaultParagraphFont"/>
    <w:uiPriority w:val="99"/>
    <w:semiHidden/>
    <w:unhideWhenUsed/>
    <w:rsid w:val="00537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Uthus Hermansen</dc:creator>
  <cp:keywords/>
  <dc:description/>
  <cp:lastModifiedBy>Sigrid Skånland</cp:lastModifiedBy>
  <cp:revision>8</cp:revision>
  <dcterms:created xsi:type="dcterms:W3CDTF">2023-02-16T14:05:00Z</dcterms:created>
  <dcterms:modified xsi:type="dcterms:W3CDTF">2023-02-24T07:10:00Z</dcterms:modified>
</cp:coreProperties>
</file>