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t>S</w:t>
      </w:r>
      <w:r>
        <w:rPr>
          <w:rFonts w:hint="eastAsia"/>
        </w:rPr>
        <w:t>upporting information</w:t>
      </w:r>
    </w:p>
    <w:p>
      <w:pPr>
        <w:tabs>
          <w:tab w:val="left" w:pos="1425"/>
        </w:tabs>
        <w:spacing w:line="360" w:lineRule="auto"/>
        <w:rPr>
          <w:rFonts w:hint="eastAsia" w:ascii="Times New Roman" w:hAnsi="Times New Roman" w:eastAsia="宋体" w:cs="Times New Roman"/>
          <w:b/>
          <w:sz w:val="24"/>
          <w:szCs w:val="20"/>
          <w:lang w:val="en-US" w:eastAsia="zh-CN"/>
        </w:rPr>
      </w:pPr>
      <w:bookmarkStart w:id="0" w:name="OLE_LINK12"/>
      <w:bookmarkStart w:id="1" w:name="OLE_LINK11"/>
      <w:r>
        <w:rPr>
          <w:rFonts w:hint="eastAsia" w:ascii="Times New Roman" w:hAnsi="Times New Roman" w:eastAsia="宋体" w:cs="Times New Roman"/>
          <w:b/>
          <w:sz w:val="24"/>
          <w:szCs w:val="20"/>
          <w:lang w:val="en-US" w:eastAsia="zh-CN"/>
        </w:rPr>
        <w:t>FUNDC1-Induced Mitophagy Protects Spinal Cord Neurons against Ischemic Injury</w:t>
      </w:r>
    </w:p>
    <w:bookmarkEnd w:id="0"/>
    <w:bookmarkEnd w:id="1"/>
    <w:p>
      <w:pPr>
        <w:spacing w:line="360" w:lineRule="auto"/>
        <w:rPr>
          <w:rFonts w:ascii="Times New Roman" w:hAnsi="Times New Roman" w:eastAsia="宋体" w:cs="Times New Roman"/>
          <w:sz w:val="20"/>
          <w:szCs w:val="20"/>
        </w:rPr>
      </w:pPr>
    </w:p>
    <w:p>
      <w:pPr>
        <w:spacing w:line="48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Dehui Chen, 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highlight w:val="none"/>
          <w:vertAlign w:val="superscript"/>
          <w14:textFill>
            <w14:solidFill>
              <w14:schemeClr w14:val="tx1"/>
            </w14:solidFill>
          </w14:textFill>
        </w:rPr>
        <w:t>1†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 Linquan Zhou, MD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highlight w:val="none"/>
          <w:vertAlign w:val="superscript"/>
          <w14:textFill>
            <w14:solidFill>
              <w14:schemeClr w14:val="tx1"/>
            </w14:solidFill>
          </w14:textFill>
        </w:rPr>
        <w:t>1†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Gang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Chen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, 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highlight w:val="none"/>
          <w:vertAlign w:val="superscript"/>
          <w14:textFill>
            <w14:solidFill>
              <w14:schemeClr w14:val="tx1"/>
            </w14:solidFill>
          </w14:textFill>
        </w:rPr>
        <w:t>1†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 Taotao Lin, MD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Jiemin Lin, MM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 Xin Zhao, MM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Wenwen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Li, MM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Shengyu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Guo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, MM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Rongcan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Wu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, MM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Zhenyu Wang, MD, PhD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 Wenge Liu, MD, PhD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spacing w:line="48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Department of Orthopedics, Fujian Medical University Union Hospital, Fuzhou 350001,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Fujian,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China.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Department of Rehabilitation Medicine, The First Affiliated Hospital of Fujian Medical University, Fuzhou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350001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Fujian,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China.</w:t>
      </w:r>
    </w:p>
    <w:p>
      <w:pPr>
        <w:spacing w:line="48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Department of Rehabilitation Therapy, Jiangsu Rongjun Hospital,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Wuxi 214035,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Jiangsu,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>China.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480" w:lineRule="auto"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0"/>
          <w:szCs w:val="20"/>
          <w:highlight w:val="none"/>
          <w:vertAlign w:val="superscript"/>
          <w14:textFill>
            <w14:solidFill>
              <w14:schemeClr w14:val="tx1"/>
            </w14:solidFill>
          </w14:textFill>
        </w:rPr>
        <w:t>†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Dehui Chen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Linquan Zhou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Gang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Chen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none"/>
          <w14:textFill>
            <w14:solidFill>
              <w14:schemeClr w14:val="tx1"/>
            </w14:solidFill>
          </w14:textFill>
        </w:rPr>
        <w:t xml:space="preserve"> contributed equally to this work.</w:t>
      </w:r>
    </w:p>
    <w:p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0"/>
          <w:szCs w:val="20"/>
          <w:highlight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*</w:t>
      </w:r>
      <w:r>
        <w:rPr>
          <w:rFonts w:hint="default" w:ascii="Times New Roman" w:hAnsi="Times New Roman" w:cs="Times New Roman"/>
          <w:sz w:val="20"/>
          <w:szCs w:val="20"/>
        </w:rPr>
        <w:t xml:space="preserve">Corresponding author: </w:t>
      </w:r>
    </w:p>
    <w:p>
      <w:pPr>
        <w:spacing w:line="36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Wenge Liu (wengeunion@fjmu.edu.cn)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Zhenyu Wang (zhenyu_wang@fjmu.edu.cn.)</w:t>
      </w:r>
    </w:p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>
      <w:pPr>
        <w:spacing w:line="360" w:lineRule="auto"/>
        <w:jc w:val="center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71770" cy="2551430"/>
            <wp:effectExtent l="0" t="0" r="11430" b="1270"/>
            <wp:docPr id="7" name="图片 7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Fig. S1. FUNDC1 knockdown upregulated mitochondria-mediated apoptosis in OGD PC12 cells. (A) </w:t>
      </w:r>
      <w:r>
        <w:rPr>
          <w:rFonts w:hint="default" w:ascii="Times New Roman" w:hAnsi="Times New Roman" w:cs="Times New Roman"/>
          <w:sz w:val="20"/>
          <w:szCs w:val="20"/>
        </w:rPr>
        <w:t>Classical schematic of western blotting for FUNDC1, Bax, Bcl2, cleaved-caspase3, and cleaved-caspase9 after OGD and/or FUNDC1 knockdown.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(B)</w:t>
      </w:r>
      <w:r>
        <w:rPr>
          <w:rFonts w:hint="default" w:ascii="Times New Roman" w:hAnsi="Times New Roman" w:cs="Times New Roman"/>
          <w:sz w:val="20"/>
          <w:szCs w:val="20"/>
        </w:rPr>
        <w:t xml:space="preserve"> Semi-quantitative analysis of the expression levels of FUNDC1, Bax, Bcl2, cleaved-caspase3, and cleaved-caspase9 (mean ± SD, n = 3). Two-way ANOVA was used to compare the groups. ****p&lt;0.0001, ***p&lt;0.001, and **p&lt;0.01.</w:t>
      </w:r>
    </w:p>
    <w:p>
      <w:pPr>
        <w:spacing w:line="360" w:lineRule="auto"/>
        <w:ind w:firstLine="400" w:firstLineChars="200"/>
        <w:jc w:val="left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ZjQ2MDg1MjFmYzIwZWM3NDg2YjM2MmQzOTE1ZmMifQ=="/>
  </w:docVars>
  <w:rsids>
    <w:rsidRoot w:val="00653663"/>
    <w:rsid w:val="00056984"/>
    <w:rsid w:val="00063D1B"/>
    <w:rsid w:val="00084FA0"/>
    <w:rsid w:val="000D2F00"/>
    <w:rsid w:val="0012040A"/>
    <w:rsid w:val="00121351"/>
    <w:rsid w:val="001240D1"/>
    <w:rsid w:val="00172ED3"/>
    <w:rsid w:val="001B64CB"/>
    <w:rsid w:val="001C51D7"/>
    <w:rsid w:val="002540E9"/>
    <w:rsid w:val="002776AA"/>
    <w:rsid w:val="002A56DD"/>
    <w:rsid w:val="00307A0D"/>
    <w:rsid w:val="0039654A"/>
    <w:rsid w:val="003E2A5F"/>
    <w:rsid w:val="004A37F4"/>
    <w:rsid w:val="005C6FDF"/>
    <w:rsid w:val="005D2B35"/>
    <w:rsid w:val="005D6D3A"/>
    <w:rsid w:val="00617F38"/>
    <w:rsid w:val="00653663"/>
    <w:rsid w:val="00680642"/>
    <w:rsid w:val="006E3FA1"/>
    <w:rsid w:val="00747AE4"/>
    <w:rsid w:val="007A12E9"/>
    <w:rsid w:val="007E31DF"/>
    <w:rsid w:val="0082202B"/>
    <w:rsid w:val="008C2972"/>
    <w:rsid w:val="00986F74"/>
    <w:rsid w:val="0099056D"/>
    <w:rsid w:val="00A9077B"/>
    <w:rsid w:val="00BE270C"/>
    <w:rsid w:val="00C22DB0"/>
    <w:rsid w:val="00C444C2"/>
    <w:rsid w:val="00C47504"/>
    <w:rsid w:val="00D30524"/>
    <w:rsid w:val="00D4144B"/>
    <w:rsid w:val="00D87912"/>
    <w:rsid w:val="00DE5209"/>
    <w:rsid w:val="00E3331F"/>
    <w:rsid w:val="00E87163"/>
    <w:rsid w:val="00EB1285"/>
    <w:rsid w:val="0A8C48F1"/>
    <w:rsid w:val="7096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331</Words>
  <Characters>1889</Characters>
  <Lines>15</Lines>
  <Paragraphs>4</Paragraphs>
  <TotalTime>0</TotalTime>
  <ScaleCrop>false</ScaleCrop>
  <LinksUpToDate>false</LinksUpToDate>
  <CharactersWithSpaces>2216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2021-09-13T03:29:00Z</dcterms:created>
  <dc:creator>admin</dc:creator>
  <cp:lastModifiedBy>wn.</cp:lastModifiedBy>
  <cp:lastPrinted>2021-09-15T10:53:00Z</cp:lastPrinted>
  <dcterms:modified xsi:type="dcterms:W3CDTF">2023-11-17T17:48:40Z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CD57E62C701B4AD98763FF21DBC30AB6_13</vt:lpwstr>
  </property>
</Properties>
</file>