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F08C3" w14:textId="2AB6EDE0" w:rsidR="00354747" w:rsidRPr="00354747" w:rsidRDefault="004F3118" w:rsidP="004F3118">
      <w:pPr>
        <w:pStyle w:val="SupplementaryMaterial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</w:t>
      </w:r>
      <w:r w:rsidR="00F30061" w:rsidRPr="00F30061">
        <w:rPr>
          <w:sz w:val="21"/>
          <w:szCs w:val="21"/>
        </w:rPr>
        <w:t>S</w:t>
      </w:r>
      <w:r w:rsidR="00654E8F" w:rsidRPr="00F30061">
        <w:rPr>
          <w:sz w:val="21"/>
          <w:szCs w:val="21"/>
        </w:rPr>
        <w:t>upplementary Material</w:t>
      </w:r>
    </w:p>
    <w:p w14:paraId="625EA546" w14:textId="42D3B3BD" w:rsidR="00F57A53" w:rsidRDefault="00F57A53" w:rsidP="00CB6B22">
      <w:pPr>
        <w:keepNext/>
        <w:jc w:val="both"/>
        <w:rPr>
          <w:b/>
          <w:bCs/>
        </w:rPr>
      </w:pPr>
    </w:p>
    <w:p w14:paraId="36E9C69F" w14:textId="77777777" w:rsidR="00D640A4" w:rsidRDefault="00D640A4" w:rsidP="00CB6B22">
      <w:pPr>
        <w:keepNext/>
        <w:jc w:val="both"/>
        <w:rPr>
          <w:b/>
          <w:bCs/>
        </w:rPr>
      </w:pPr>
    </w:p>
    <w:p w14:paraId="781E09DF" w14:textId="77777777" w:rsidR="00D640A4" w:rsidRDefault="00D640A4" w:rsidP="000F0DB6">
      <w:pPr>
        <w:spacing w:line="600" w:lineRule="auto"/>
        <w:jc w:val="both"/>
        <w:rPr>
          <w:rFonts w:eastAsia="Calibri"/>
          <w:color w:val="000000" w:themeColor="text1"/>
          <w:kern w:val="24"/>
          <w:szCs w:val="24"/>
        </w:rPr>
      </w:pPr>
      <w:r w:rsidRPr="006401C5">
        <w:rPr>
          <w:rFonts w:eastAsia="Calibri"/>
          <w:b/>
          <w:bCs/>
          <w:color w:val="000000" w:themeColor="text1"/>
          <w:kern w:val="24"/>
          <w:szCs w:val="24"/>
        </w:rPr>
        <w:t>Supplementary Figure 1. (A)</w:t>
      </w:r>
      <w:r w:rsidRPr="006401C5">
        <w:rPr>
          <w:rFonts w:eastAsia="Calibri"/>
          <w:color w:val="000000" w:themeColor="text1"/>
          <w:kern w:val="24"/>
          <w:szCs w:val="24"/>
        </w:rPr>
        <w:t xml:space="preserve"> Immunofluorescence staining of WTAP protein in MDA-MB-231 after transfection of siRNA to silence MALAT1 (si-MALAT1) or control siRNA (</w:t>
      </w:r>
      <w:proofErr w:type="spellStart"/>
      <w:r w:rsidRPr="006401C5">
        <w:rPr>
          <w:rFonts w:eastAsia="Calibri"/>
          <w:color w:val="000000" w:themeColor="text1"/>
          <w:kern w:val="24"/>
          <w:szCs w:val="24"/>
        </w:rPr>
        <w:t>si</w:t>
      </w:r>
      <w:proofErr w:type="spellEnd"/>
      <w:r w:rsidRPr="006401C5">
        <w:rPr>
          <w:rFonts w:eastAsia="Calibri"/>
          <w:color w:val="000000" w:themeColor="text1"/>
          <w:kern w:val="24"/>
          <w:szCs w:val="24"/>
        </w:rPr>
        <w:t xml:space="preserve">-NC) for 72h (48h of which in hypoxia). Nuclei were stained with DAPI. </w:t>
      </w:r>
      <w:r w:rsidRPr="006401C5">
        <w:rPr>
          <w:rFonts w:eastAsia="Calibri"/>
          <w:b/>
          <w:bCs/>
          <w:color w:val="000000" w:themeColor="text1"/>
          <w:kern w:val="24"/>
          <w:szCs w:val="24"/>
        </w:rPr>
        <w:t>(B)</w:t>
      </w:r>
      <w:r w:rsidRPr="006401C5">
        <w:rPr>
          <w:rFonts w:eastAsia="Calibri"/>
          <w:color w:val="000000" w:themeColor="text1"/>
          <w:kern w:val="24"/>
          <w:szCs w:val="24"/>
        </w:rPr>
        <w:t xml:space="preserve"> </w:t>
      </w:r>
      <w:r>
        <w:rPr>
          <w:rFonts w:eastAsia="Calibri"/>
          <w:color w:val="000000" w:themeColor="text1"/>
          <w:kern w:val="24"/>
          <w:szCs w:val="24"/>
        </w:rPr>
        <w:t>RIP assay to evaluate the enrichment of WTAP in samples immunoprecipitated with anti-eIF4BB antibody or IgG in control or MALAT1 depleted MDA-MB-231 hypoxic cells</w:t>
      </w:r>
      <w:r w:rsidRPr="006401C5">
        <w:rPr>
          <w:rFonts w:eastAsia="Calibri"/>
          <w:color w:val="000000" w:themeColor="text1"/>
          <w:kern w:val="24"/>
          <w:szCs w:val="24"/>
        </w:rPr>
        <w:t xml:space="preserve">. </w:t>
      </w:r>
      <w:r w:rsidRPr="00760D7B">
        <w:rPr>
          <w:rFonts w:eastAsia="Calibri" w:cs="Times New Roman"/>
          <w:color w:val="000000" w:themeColor="text1"/>
          <w:kern w:val="2"/>
          <w:szCs w:val="24"/>
        </w:rPr>
        <w:t>p-value has been calculated by unpaired, two-tailed Student’s t test.</w:t>
      </w:r>
      <w:r>
        <w:rPr>
          <w:rFonts w:eastAsia="Calibri" w:cs="Times New Roman"/>
          <w:color w:val="000000" w:themeColor="text1"/>
          <w:kern w:val="2"/>
          <w:szCs w:val="24"/>
        </w:rPr>
        <w:t xml:space="preserve"> </w:t>
      </w:r>
      <w:r w:rsidRPr="006401C5">
        <w:rPr>
          <w:rFonts w:eastAsia="Calibri"/>
          <w:b/>
          <w:bCs/>
          <w:color w:val="000000" w:themeColor="text1"/>
          <w:kern w:val="24"/>
          <w:szCs w:val="24"/>
        </w:rPr>
        <w:t>(C)</w:t>
      </w:r>
      <w:r w:rsidRPr="006401C5">
        <w:rPr>
          <w:rFonts w:eastAsia="Calibri"/>
          <w:color w:val="000000" w:themeColor="text1"/>
          <w:kern w:val="24"/>
          <w:szCs w:val="24"/>
        </w:rPr>
        <w:t xml:space="preserve"> Box plot showing the expression of WTAP mRNA and protein in TCGA and CPTAC datasets of Lung Adenocarcinoma p***&lt;0</w:t>
      </w:r>
      <w:r>
        <w:rPr>
          <w:rFonts w:eastAsia="Calibri"/>
          <w:color w:val="000000" w:themeColor="text1"/>
          <w:kern w:val="24"/>
          <w:szCs w:val="24"/>
        </w:rPr>
        <w:t>.</w:t>
      </w:r>
      <w:r w:rsidRPr="006401C5">
        <w:rPr>
          <w:rFonts w:eastAsia="Calibri"/>
          <w:color w:val="000000" w:themeColor="text1"/>
          <w:kern w:val="24"/>
          <w:szCs w:val="24"/>
        </w:rPr>
        <w:t xml:space="preserve">0005.  </w:t>
      </w:r>
      <w:r w:rsidRPr="006401C5">
        <w:rPr>
          <w:rFonts w:eastAsia="Calibri"/>
          <w:b/>
          <w:bCs/>
          <w:color w:val="000000" w:themeColor="text1"/>
          <w:kern w:val="24"/>
          <w:szCs w:val="24"/>
        </w:rPr>
        <w:t>(D)</w:t>
      </w:r>
      <w:r>
        <w:rPr>
          <w:rFonts w:eastAsia="Calibri"/>
          <w:b/>
          <w:bCs/>
          <w:color w:val="000000" w:themeColor="text1"/>
          <w:kern w:val="24"/>
          <w:szCs w:val="24"/>
        </w:rPr>
        <w:t xml:space="preserve"> </w:t>
      </w:r>
      <w:r w:rsidRPr="006401C5">
        <w:rPr>
          <w:rFonts w:eastAsia="Calibri"/>
          <w:color w:val="000000" w:themeColor="text1"/>
          <w:kern w:val="24"/>
          <w:szCs w:val="24"/>
        </w:rPr>
        <w:t>Kaplan-Meier showing disease free survival (DFS) between the two groups: High WTAP protein expression (N=13 patients) and Low WTAP protein expression (N=77 patients) in TNBC patients (p=0</w:t>
      </w:r>
      <w:r>
        <w:rPr>
          <w:rFonts w:eastAsia="Calibri"/>
          <w:color w:val="000000" w:themeColor="text1"/>
          <w:kern w:val="24"/>
          <w:szCs w:val="24"/>
        </w:rPr>
        <w:t>.</w:t>
      </w:r>
      <w:r w:rsidRPr="006401C5">
        <w:rPr>
          <w:rFonts w:eastAsia="Calibri"/>
          <w:color w:val="000000" w:themeColor="text1"/>
          <w:kern w:val="24"/>
          <w:szCs w:val="24"/>
        </w:rPr>
        <w:t>022</w:t>
      </w:r>
      <w:r>
        <w:rPr>
          <w:rFonts w:eastAsia="Calibri"/>
          <w:color w:val="000000" w:themeColor="text1"/>
          <w:kern w:val="24"/>
          <w:szCs w:val="24"/>
        </w:rPr>
        <w:t xml:space="preserve">). </w:t>
      </w:r>
      <w:r>
        <w:rPr>
          <w:rFonts w:cs="Times New Roman"/>
          <w:color w:val="000000" w:themeColor="text1"/>
          <w:kern w:val="24"/>
          <w:szCs w:val="24"/>
        </w:rPr>
        <w:t xml:space="preserve"> </w:t>
      </w:r>
      <w:r w:rsidRPr="006401C5">
        <w:rPr>
          <w:rFonts w:eastAsia="Calibri"/>
          <w:b/>
          <w:bCs/>
          <w:color w:val="000000" w:themeColor="text1"/>
          <w:kern w:val="24"/>
          <w:szCs w:val="24"/>
        </w:rPr>
        <w:t>(E)</w:t>
      </w:r>
      <w:r w:rsidRPr="006401C5">
        <w:rPr>
          <w:rFonts w:eastAsia="Calibri"/>
          <w:color w:val="000000" w:themeColor="text1"/>
          <w:kern w:val="24"/>
          <w:szCs w:val="24"/>
        </w:rPr>
        <w:t xml:space="preserve"> RT-qPCR analysis of respectively HIF1</w:t>
      </w:r>
      <w:r w:rsidRPr="006401C5">
        <w:rPr>
          <w:rFonts w:eastAsia="Calibri"/>
          <w:color w:val="000000" w:themeColor="text1"/>
          <w:kern w:val="24"/>
          <w:szCs w:val="24"/>
          <w:lang w:val="el-GR"/>
        </w:rPr>
        <w:t xml:space="preserve">α </w:t>
      </w:r>
      <w:r w:rsidRPr="006401C5">
        <w:rPr>
          <w:rFonts w:eastAsia="Calibri"/>
          <w:color w:val="000000" w:themeColor="text1"/>
          <w:kern w:val="24"/>
          <w:szCs w:val="24"/>
        </w:rPr>
        <w:t>and HIF1</w:t>
      </w:r>
      <w:r w:rsidRPr="006401C5">
        <w:rPr>
          <w:rFonts w:eastAsia="Calibri"/>
          <w:color w:val="000000" w:themeColor="text1"/>
          <w:kern w:val="24"/>
          <w:szCs w:val="24"/>
          <w:lang w:val="el-GR"/>
        </w:rPr>
        <w:t xml:space="preserve">β </w:t>
      </w:r>
      <w:r w:rsidRPr="006401C5">
        <w:rPr>
          <w:rFonts w:eastAsia="Calibri"/>
          <w:color w:val="000000" w:themeColor="text1"/>
          <w:kern w:val="24"/>
          <w:szCs w:val="24"/>
        </w:rPr>
        <w:t xml:space="preserve">in MDA-MB-231 cells grown in hypoxia transfected with a siRNA to silence </w:t>
      </w:r>
      <w:r>
        <w:rPr>
          <w:rFonts w:eastAsia="Calibri"/>
          <w:color w:val="000000" w:themeColor="text1"/>
          <w:kern w:val="24"/>
          <w:szCs w:val="24"/>
        </w:rPr>
        <w:t>MALAT1</w:t>
      </w:r>
      <w:r w:rsidRPr="006401C5">
        <w:rPr>
          <w:rFonts w:eastAsia="Calibri"/>
          <w:color w:val="000000" w:themeColor="text1"/>
          <w:kern w:val="24"/>
          <w:szCs w:val="24"/>
        </w:rPr>
        <w:t xml:space="preserve"> (si-</w:t>
      </w:r>
      <w:r>
        <w:rPr>
          <w:rFonts w:eastAsia="Calibri"/>
          <w:color w:val="000000" w:themeColor="text1"/>
          <w:kern w:val="24"/>
          <w:szCs w:val="24"/>
        </w:rPr>
        <w:t>MALAT1</w:t>
      </w:r>
      <w:r w:rsidRPr="006401C5">
        <w:rPr>
          <w:rFonts w:eastAsia="Calibri"/>
          <w:color w:val="000000" w:themeColor="text1"/>
          <w:kern w:val="24"/>
          <w:szCs w:val="24"/>
        </w:rPr>
        <w:t>) or control siRNA (</w:t>
      </w:r>
      <w:proofErr w:type="spellStart"/>
      <w:r w:rsidRPr="006401C5">
        <w:rPr>
          <w:rFonts w:eastAsia="Calibri"/>
          <w:color w:val="000000" w:themeColor="text1"/>
          <w:kern w:val="24"/>
          <w:szCs w:val="24"/>
        </w:rPr>
        <w:t>si</w:t>
      </w:r>
      <w:proofErr w:type="spellEnd"/>
      <w:r w:rsidRPr="006401C5">
        <w:rPr>
          <w:rFonts w:eastAsia="Calibri"/>
          <w:color w:val="000000" w:themeColor="text1"/>
          <w:kern w:val="24"/>
          <w:szCs w:val="24"/>
        </w:rPr>
        <w:t xml:space="preserve">-NC) for 72h. (N = 3 independent biological replicates). </w:t>
      </w:r>
    </w:p>
    <w:p w14:paraId="685C5013" w14:textId="77777777" w:rsidR="00D640A4" w:rsidRDefault="00D640A4" w:rsidP="000F0DB6">
      <w:pPr>
        <w:spacing w:line="600" w:lineRule="auto"/>
        <w:jc w:val="both"/>
        <w:rPr>
          <w:rFonts w:eastAsia="Calibri"/>
          <w:color w:val="000000" w:themeColor="text1"/>
          <w:kern w:val="24"/>
          <w:szCs w:val="24"/>
        </w:rPr>
      </w:pPr>
    </w:p>
    <w:p w14:paraId="272AD528" w14:textId="77777777" w:rsidR="00D640A4" w:rsidRPr="00760D7B" w:rsidRDefault="00D640A4" w:rsidP="000F0DB6">
      <w:pPr>
        <w:spacing w:line="600" w:lineRule="auto"/>
        <w:jc w:val="both"/>
        <w:rPr>
          <w:rFonts w:cs="Times New Roman"/>
          <w:color w:val="000000" w:themeColor="text1"/>
          <w:kern w:val="24"/>
          <w:szCs w:val="24"/>
        </w:rPr>
      </w:pP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Supplementary Figure 2</w:t>
      </w:r>
      <w:r>
        <w:rPr>
          <w:rFonts w:cs="Times New Roman"/>
          <w:b/>
          <w:bCs/>
          <w:color w:val="000000" w:themeColor="text1"/>
          <w:kern w:val="24"/>
          <w:szCs w:val="24"/>
        </w:rPr>
        <w:t xml:space="preserve">. </w:t>
      </w:r>
      <w:r w:rsidRPr="00760D7B">
        <w:rPr>
          <w:rFonts w:cs="Times New Roman"/>
          <w:color w:val="000000" w:themeColor="text1"/>
          <w:kern w:val="24"/>
          <w:szCs w:val="24"/>
        </w:rPr>
        <w:t xml:space="preserve"> </w:t>
      </w: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(A)</w:t>
      </w:r>
      <w:r w:rsidRPr="00760D7B">
        <w:rPr>
          <w:rFonts w:cs="Times New Roman"/>
          <w:color w:val="000000" w:themeColor="text1"/>
          <w:kern w:val="24"/>
          <w:szCs w:val="24"/>
        </w:rPr>
        <w:t xml:space="preserve"> PI staining indicating percentage of live cells transfected with siRNA directed to WTAP (</w:t>
      </w:r>
      <w:proofErr w:type="spellStart"/>
      <w:r w:rsidRPr="00760D7B">
        <w:rPr>
          <w:rFonts w:cs="Times New Roman"/>
          <w:color w:val="000000" w:themeColor="text1"/>
          <w:kern w:val="24"/>
          <w:szCs w:val="24"/>
        </w:rPr>
        <w:t>si</w:t>
      </w:r>
      <w:proofErr w:type="spellEnd"/>
      <w:r w:rsidRPr="00760D7B">
        <w:rPr>
          <w:rFonts w:cs="Times New Roman"/>
          <w:color w:val="000000" w:themeColor="text1"/>
          <w:kern w:val="24"/>
          <w:szCs w:val="24"/>
        </w:rPr>
        <w:t>-WTAP) and MALAT1 (si-MALAT1) or control (</w:t>
      </w:r>
      <w:proofErr w:type="spellStart"/>
      <w:r w:rsidRPr="00760D7B">
        <w:rPr>
          <w:rFonts w:cs="Times New Roman"/>
          <w:color w:val="000000" w:themeColor="text1"/>
          <w:kern w:val="24"/>
          <w:szCs w:val="24"/>
        </w:rPr>
        <w:t>si</w:t>
      </w:r>
      <w:proofErr w:type="spellEnd"/>
      <w:r w:rsidRPr="00760D7B">
        <w:rPr>
          <w:rFonts w:cs="Times New Roman"/>
          <w:color w:val="000000" w:themeColor="text1"/>
          <w:kern w:val="24"/>
          <w:szCs w:val="24"/>
        </w:rPr>
        <w:t xml:space="preserve">-NC) after 48h of hypoxia. 24h staining was used as control </w:t>
      </w: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(B)</w:t>
      </w:r>
      <w:r w:rsidRPr="00760D7B">
        <w:rPr>
          <w:rFonts w:cs="Times New Roman"/>
          <w:color w:val="000000" w:themeColor="text1"/>
          <w:kern w:val="24"/>
          <w:szCs w:val="24"/>
        </w:rPr>
        <w:t xml:space="preserve"> CFSE staining peaks showing proliferation in MDA-MB-231 cells treated as in </w:t>
      </w:r>
      <w:r>
        <w:rPr>
          <w:rFonts w:cs="Times New Roman"/>
          <w:color w:val="000000" w:themeColor="text1"/>
          <w:kern w:val="24"/>
          <w:szCs w:val="24"/>
        </w:rPr>
        <w:t>A</w:t>
      </w:r>
      <w:r w:rsidRPr="00760D7B">
        <w:rPr>
          <w:rFonts w:cs="Times New Roman"/>
          <w:color w:val="000000" w:themeColor="text1"/>
          <w:kern w:val="24"/>
          <w:szCs w:val="24"/>
        </w:rPr>
        <w:t xml:space="preserve">. </w:t>
      </w: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(C</w:t>
      </w:r>
      <w:r>
        <w:rPr>
          <w:rFonts w:cs="Times New Roman"/>
          <w:b/>
          <w:bCs/>
          <w:color w:val="000000" w:themeColor="text1"/>
          <w:kern w:val="24"/>
          <w:szCs w:val="24"/>
        </w:rPr>
        <w:t>-F</w:t>
      </w: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)</w:t>
      </w:r>
      <w:r w:rsidRPr="00760D7B">
        <w:rPr>
          <w:rFonts w:cs="Times New Roman"/>
          <w:color w:val="000000" w:themeColor="text1"/>
          <w:kern w:val="24"/>
          <w:szCs w:val="24"/>
        </w:rPr>
        <w:t xml:space="preserve"> RT-qPCR</w:t>
      </w:r>
      <w:r w:rsidRPr="00760D7B">
        <w:rPr>
          <w:rFonts w:eastAsia="Times New Roman" w:cs="Times New Roman"/>
          <w:color w:val="000000" w:themeColor="text1"/>
          <w:kern w:val="24"/>
          <w:szCs w:val="24"/>
        </w:rPr>
        <w:t xml:space="preserve"> analysis of N-Cadherin and Vimentin showing relative enrichment </w:t>
      </w:r>
      <w:r w:rsidRPr="00760D7B">
        <w:rPr>
          <w:rFonts w:eastAsia="Times New Roman" w:cs="Times New Roman"/>
          <w:color w:val="000000" w:themeColor="text1"/>
          <w:kern w:val="24"/>
          <w:szCs w:val="24"/>
        </w:rPr>
        <w:lastRenderedPageBreak/>
        <w:t xml:space="preserve">after m6A precipitation of hypoxic MDA-MB-231. </w:t>
      </w:r>
      <w:r w:rsidRPr="00760D7B">
        <w:rPr>
          <w:rFonts w:eastAsia="Calibri" w:cs="Times New Roman"/>
          <w:color w:val="000000" w:themeColor="text1"/>
          <w:kern w:val="2"/>
          <w:szCs w:val="24"/>
        </w:rPr>
        <w:t>p-value has been calculated by unpaired, two-tailed Student’s t test.</w:t>
      </w:r>
      <w:r>
        <w:rPr>
          <w:rFonts w:eastAsia="Calibri" w:cs="Times New Roman"/>
          <w:color w:val="000000" w:themeColor="text1"/>
          <w:kern w:val="2"/>
          <w:szCs w:val="24"/>
        </w:rPr>
        <w:t xml:space="preserve"> </w:t>
      </w: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(</w:t>
      </w:r>
      <w:r>
        <w:rPr>
          <w:rFonts w:cs="Times New Roman"/>
          <w:b/>
          <w:bCs/>
          <w:color w:val="000000" w:themeColor="text1"/>
          <w:kern w:val="24"/>
          <w:szCs w:val="24"/>
        </w:rPr>
        <w:t>D-G</w:t>
      </w: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)</w:t>
      </w:r>
      <w:r>
        <w:rPr>
          <w:rFonts w:cs="Times New Roman"/>
          <w:b/>
          <w:bCs/>
          <w:color w:val="000000" w:themeColor="text1"/>
          <w:kern w:val="24"/>
          <w:szCs w:val="24"/>
        </w:rPr>
        <w:t xml:space="preserve"> </w:t>
      </w:r>
      <w:r w:rsidRPr="00760D7B">
        <w:rPr>
          <w:rFonts w:cs="Times New Roman"/>
          <w:color w:val="000000" w:themeColor="text1"/>
          <w:kern w:val="24"/>
          <w:szCs w:val="24"/>
        </w:rPr>
        <w:t>RT-qPCR</w:t>
      </w:r>
      <w:r w:rsidRPr="00760D7B">
        <w:rPr>
          <w:rFonts w:eastAsia="Times New Roman" w:cs="Times New Roman"/>
          <w:color w:val="000000" w:themeColor="text1"/>
          <w:kern w:val="24"/>
          <w:szCs w:val="24"/>
        </w:rPr>
        <w:t xml:space="preserve"> analysis of N-Cadherin and Vimentin</w:t>
      </w:r>
      <w:r>
        <w:rPr>
          <w:rFonts w:eastAsia="Times New Roman" w:cs="Times New Roman"/>
          <w:color w:val="000000" w:themeColor="text1"/>
          <w:kern w:val="24"/>
          <w:szCs w:val="24"/>
        </w:rPr>
        <w:t xml:space="preserve"> in m6A immunoprecipitated MDA-MB-231 upon silencing of WTAP (</w:t>
      </w:r>
      <w:proofErr w:type="spellStart"/>
      <w:r>
        <w:rPr>
          <w:rFonts w:eastAsia="Times New Roman" w:cs="Times New Roman"/>
          <w:color w:val="000000" w:themeColor="text1"/>
          <w:kern w:val="24"/>
          <w:szCs w:val="24"/>
        </w:rPr>
        <w:t>si</w:t>
      </w:r>
      <w:proofErr w:type="spellEnd"/>
      <w:r>
        <w:rPr>
          <w:rFonts w:eastAsia="Times New Roman" w:cs="Times New Roman"/>
          <w:color w:val="000000" w:themeColor="text1"/>
          <w:kern w:val="24"/>
          <w:szCs w:val="24"/>
        </w:rPr>
        <w:t>-WTAP) or control siRNA (</w:t>
      </w:r>
      <w:proofErr w:type="spellStart"/>
      <w:r>
        <w:rPr>
          <w:rFonts w:eastAsia="Times New Roman" w:cs="Times New Roman"/>
          <w:color w:val="000000" w:themeColor="text1"/>
          <w:kern w:val="24"/>
          <w:szCs w:val="24"/>
        </w:rPr>
        <w:t>si</w:t>
      </w:r>
      <w:proofErr w:type="spellEnd"/>
      <w:r>
        <w:rPr>
          <w:rFonts w:eastAsia="Times New Roman" w:cs="Times New Roman"/>
          <w:color w:val="000000" w:themeColor="text1"/>
          <w:kern w:val="24"/>
          <w:szCs w:val="24"/>
        </w:rPr>
        <w:t xml:space="preserve">-NC) under </w:t>
      </w:r>
      <w:proofErr w:type="spellStart"/>
      <w:r>
        <w:rPr>
          <w:rFonts w:eastAsia="Times New Roman" w:cs="Times New Roman"/>
          <w:color w:val="000000" w:themeColor="text1"/>
          <w:kern w:val="24"/>
          <w:szCs w:val="24"/>
        </w:rPr>
        <w:t>normoxia</w:t>
      </w:r>
      <w:proofErr w:type="spellEnd"/>
      <w:r>
        <w:rPr>
          <w:rFonts w:eastAsia="Times New Roman" w:cs="Times New Roman"/>
          <w:color w:val="000000" w:themeColor="text1"/>
          <w:kern w:val="24"/>
          <w:szCs w:val="24"/>
        </w:rPr>
        <w:t xml:space="preserve"> for 72h. IgG were used as control. </w:t>
      </w: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(</w:t>
      </w:r>
      <w:r>
        <w:rPr>
          <w:rFonts w:cs="Times New Roman"/>
          <w:b/>
          <w:bCs/>
          <w:color w:val="000000" w:themeColor="text1"/>
          <w:kern w:val="24"/>
          <w:szCs w:val="24"/>
        </w:rPr>
        <w:t>E-H</w:t>
      </w: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>)</w:t>
      </w:r>
      <w:r>
        <w:rPr>
          <w:rFonts w:cs="Times New Roman"/>
          <w:b/>
          <w:bCs/>
          <w:color w:val="000000" w:themeColor="text1"/>
          <w:kern w:val="24"/>
          <w:szCs w:val="24"/>
        </w:rPr>
        <w:t xml:space="preserve"> </w:t>
      </w:r>
      <w:r w:rsidRPr="00760D7B">
        <w:rPr>
          <w:rFonts w:cs="Times New Roman"/>
          <w:color w:val="000000" w:themeColor="text1"/>
          <w:kern w:val="24"/>
          <w:szCs w:val="24"/>
        </w:rPr>
        <w:t>RT-qPCR</w:t>
      </w:r>
      <w:r w:rsidRPr="00760D7B">
        <w:rPr>
          <w:rFonts w:eastAsia="Times New Roman" w:cs="Times New Roman"/>
          <w:color w:val="000000" w:themeColor="text1"/>
          <w:kern w:val="24"/>
          <w:szCs w:val="24"/>
        </w:rPr>
        <w:t xml:space="preserve"> analysis of N-Cadherin and Vimentin</w:t>
      </w:r>
      <w:r>
        <w:rPr>
          <w:rFonts w:eastAsia="Times New Roman" w:cs="Times New Roman"/>
          <w:color w:val="000000" w:themeColor="text1"/>
          <w:kern w:val="24"/>
          <w:szCs w:val="24"/>
        </w:rPr>
        <w:t xml:space="preserve"> transcripts in </w:t>
      </w:r>
      <w:r w:rsidRPr="00760D7B">
        <w:rPr>
          <w:rFonts w:cs="Times New Roman"/>
          <w:color w:val="000000" w:themeColor="text1"/>
          <w:kern w:val="24"/>
          <w:szCs w:val="24"/>
        </w:rPr>
        <w:t xml:space="preserve">cells treated as in </w:t>
      </w:r>
      <w:r>
        <w:rPr>
          <w:rFonts w:cs="Times New Roman"/>
          <w:color w:val="000000" w:themeColor="text1"/>
          <w:kern w:val="24"/>
          <w:szCs w:val="24"/>
        </w:rPr>
        <w:t xml:space="preserve">C-F. </w:t>
      </w:r>
    </w:p>
    <w:p w14:paraId="473B468E" w14:textId="77777777" w:rsidR="00D640A4" w:rsidRPr="006401C5" w:rsidRDefault="00D640A4" w:rsidP="000F0DB6">
      <w:pPr>
        <w:keepNext/>
        <w:spacing w:line="600" w:lineRule="auto"/>
        <w:jc w:val="both"/>
        <w:rPr>
          <w:b/>
          <w:bCs/>
        </w:rPr>
      </w:pPr>
    </w:p>
    <w:p w14:paraId="679B757F" w14:textId="3FA5E2B5" w:rsidR="003F331C" w:rsidRPr="00D640A4" w:rsidRDefault="003F331C" w:rsidP="000F0DB6">
      <w:pPr>
        <w:spacing w:before="0" w:after="200" w:line="600" w:lineRule="auto"/>
        <w:jc w:val="both"/>
      </w:pP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 xml:space="preserve">Supplementary Figure </w:t>
      </w:r>
      <w:r>
        <w:rPr>
          <w:rFonts w:cs="Times New Roman"/>
          <w:b/>
          <w:bCs/>
          <w:color w:val="000000" w:themeColor="text1"/>
          <w:kern w:val="24"/>
          <w:szCs w:val="24"/>
        </w:rPr>
        <w:t>3.  (A)</w:t>
      </w:r>
      <w:bookmarkStart w:id="0" w:name="_Hlk166234389"/>
      <w:r w:rsidRPr="000708C4">
        <w:rPr>
          <w:rFonts w:cs="Times New Roman"/>
          <w:color w:val="000000" w:themeColor="text1"/>
          <w:szCs w:val="24"/>
        </w:rPr>
        <w:t xml:space="preserve"> Western blot analysis of WTAP in MDA-MB-468 cells transfected with siRNA directed to MALAT1 (si-MALAT1) or control siRNA (</w:t>
      </w:r>
      <w:proofErr w:type="spellStart"/>
      <w:r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Pr="000708C4">
        <w:rPr>
          <w:rFonts w:cs="Times New Roman"/>
          <w:color w:val="000000" w:themeColor="text1"/>
          <w:szCs w:val="24"/>
        </w:rPr>
        <w:t xml:space="preserve">-NC) for 72h. GAPDH staining was used as loading control. </w:t>
      </w:r>
      <w:bookmarkEnd w:id="0"/>
      <w:r w:rsidRPr="000708C4">
        <w:rPr>
          <w:rFonts w:cs="Times New Roman"/>
          <w:color w:val="000000" w:themeColor="text1"/>
          <w:szCs w:val="24"/>
        </w:rPr>
        <w:t>(</w:t>
      </w:r>
      <w:r w:rsidRPr="003F331C">
        <w:rPr>
          <w:rFonts w:cs="Times New Roman"/>
          <w:b/>
          <w:bCs/>
          <w:color w:val="000000" w:themeColor="text1"/>
          <w:szCs w:val="24"/>
        </w:rPr>
        <w:t>B-C</w:t>
      </w:r>
      <w:r w:rsidRPr="000708C4">
        <w:rPr>
          <w:rFonts w:cs="Times New Roman"/>
          <w:color w:val="000000" w:themeColor="text1"/>
          <w:szCs w:val="24"/>
        </w:rPr>
        <w:t>) Representative Western blot analysis of WTAP protein in MDA-MB-468 and MDA-MB-231 after transfection of siRNA to silence MALAT1 (si-MALAT1) or control siRNA (</w:t>
      </w:r>
      <w:proofErr w:type="spellStart"/>
      <w:r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Pr="000708C4">
        <w:rPr>
          <w:rFonts w:cs="Times New Roman"/>
          <w:color w:val="000000" w:themeColor="text1"/>
          <w:szCs w:val="24"/>
        </w:rPr>
        <w:t>-NC) grown in hypoxia. (N = 3 independent biological replicates).</w:t>
      </w:r>
      <w:r>
        <w:rPr>
          <w:rFonts w:cs="Times New Roman"/>
          <w:color w:val="000000" w:themeColor="text1"/>
          <w:szCs w:val="24"/>
        </w:rPr>
        <w:t xml:space="preserve"> </w:t>
      </w:r>
      <w:r w:rsidRPr="000708C4">
        <w:rPr>
          <w:rFonts w:cs="Times New Roman"/>
          <w:color w:val="000000" w:themeColor="text1"/>
          <w:szCs w:val="24"/>
        </w:rPr>
        <w:t xml:space="preserve">GAPDH staining was used as loading control. </w:t>
      </w:r>
    </w:p>
    <w:p w14:paraId="4DCD8C4D" w14:textId="77777777" w:rsidR="00D640A4" w:rsidRPr="003F331C" w:rsidRDefault="00D640A4" w:rsidP="000F0DB6">
      <w:pPr>
        <w:spacing w:line="600" w:lineRule="auto"/>
        <w:jc w:val="both"/>
        <w:rPr>
          <w:rFonts w:cs="Times New Roman"/>
          <w:b/>
          <w:bCs/>
          <w:color w:val="000000" w:themeColor="text1"/>
          <w:szCs w:val="24"/>
        </w:rPr>
      </w:pPr>
    </w:p>
    <w:p w14:paraId="3BAFB630" w14:textId="4CDB4763" w:rsidR="006658A3" w:rsidRDefault="003F331C" w:rsidP="000F0DB6">
      <w:pPr>
        <w:spacing w:line="600" w:lineRule="auto"/>
        <w:jc w:val="both"/>
        <w:rPr>
          <w:rFonts w:cs="Times New Roman"/>
          <w:color w:val="000000" w:themeColor="text1"/>
          <w:szCs w:val="24"/>
        </w:rPr>
      </w:pP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 xml:space="preserve">Supplementary Figure </w:t>
      </w:r>
      <w:r>
        <w:rPr>
          <w:rFonts w:cs="Times New Roman"/>
          <w:b/>
          <w:bCs/>
          <w:color w:val="000000" w:themeColor="text1"/>
          <w:kern w:val="24"/>
          <w:szCs w:val="24"/>
        </w:rPr>
        <w:t>4</w:t>
      </w:r>
      <w:r>
        <w:rPr>
          <w:rFonts w:cs="Times New Roman"/>
          <w:b/>
          <w:bCs/>
          <w:color w:val="000000" w:themeColor="text1"/>
          <w:kern w:val="24"/>
          <w:szCs w:val="24"/>
        </w:rPr>
        <w:t xml:space="preserve">.  </w:t>
      </w:r>
      <w:r>
        <w:rPr>
          <w:rFonts w:cs="Times New Roman"/>
          <w:b/>
          <w:bCs/>
          <w:color w:val="000000" w:themeColor="text1"/>
          <w:kern w:val="24"/>
          <w:szCs w:val="24"/>
        </w:rPr>
        <w:t xml:space="preserve">(A) </w:t>
      </w:r>
      <w:r w:rsidRPr="000708C4">
        <w:rPr>
          <w:rFonts w:cs="Times New Roman"/>
          <w:color w:val="000000" w:themeColor="text1"/>
          <w:szCs w:val="24"/>
        </w:rPr>
        <w:t xml:space="preserve"> Western blot analysis of HIF1α and WTAP in MDA-MB-231 cells transfected with siRNA directed to WTAP (</w:t>
      </w:r>
      <w:proofErr w:type="spellStart"/>
      <w:r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Pr="000708C4">
        <w:rPr>
          <w:rFonts w:cs="Times New Roman"/>
          <w:color w:val="000000" w:themeColor="text1"/>
          <w:szCs w:val="24"/>
        </w:rPr>
        <w:t>-WTAP) (right) or control siRNA (</w:t>
      </w:r>
      <w:proofErr w:type="spellStart"/>
      <w:r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Pr="000708C4">
        <w:rPr>
          <w:rFonts w:cs="Times New Roman"/>
          <w:color w:val="000000" w:themeColor="text1"/>
          <w:szCs w:val="24"/>
        </w:rPr>
        <w:t xml:space="preserve">-NC) for 72h (in hypoxia). GAPDH staining was used as loading control. </w:t>
      </w:r>
      <w:r>
        <w:rPr>
          <w:rFonts w:cs="Times New Roman"/>
          <w:b/>
          <w:bCs/>
          <w:color w:val="000000" w:themeColor="text1"/>
          <w:kern w:val="24"/>
          <w:szCs w:val="24"/>
        </w:rPr>
        <w:t>(</w:t>
      </w:r>
      <w:r>
        <w:rPr>
          <w:rFonts w:cs="Times New Roman"/>
          <w:b/>
          <w:bCs/>
          <w:color w:val="000000" w:themeColor="text1"/>
          <w:kern w:val="24"/>
          <w:szCs w:val="24"/>
        </w:rPr>
        <w:t>B</w:t>
      </w:r>
      <w:r>
        <w:rPr>
          <w:rFonts w:cs="Times New Roman"/>
          <w:b/>
          <w:bCs/>
          <w:color w:val="000000" w:themeColor="text1"/>
          <w:kern w:val="24"/>
          <w:szCs w:val="24"/>
        </w:rPr>
        <w:t xml:space="preserve">) </w:t>
      </w:r>
      <w:r w:rsidRPr="000708C4">
        <w:rPr>
          <w:rFonts w:cs="Times New Roman"/>
          <w:color w:val="000000" w:themeColor="text1"/>
          <w:szCs w:val="24"/>
        </w:rPr>
        <w:t xml:space="preserve">Western blot analysis of HIF1α and WTAP in MDA-MB-231 cells transfected with siRNA directed to </w:t>
      </w:r>
      <w:r>
        <w:rPr>
          <w:rFonts w:cs="Times New Roman"/>
          <w:color w:val="000000" w:themeColor="text1"/>
          <w:szCs w:val="24"/>
        </w:rPr>
        <w:t>MALAT1</w:t>
      </w:r>
      <w:r w:rsidRPr="000708C4">
        <w:rPr>
          <w:rFonts w:cs="Times New Roman"/>
          <w:color w:val="000000" w:themeColor="text1"/>
          <w:szCs w:val="24"/>
        </w:rPr>
        <w:t xml:space="preserve"> (si-</w:t>
      </w:r>
      <w:r>
        <w:rPr>
          <w:rFonts w:cs="Times New Roman"/>
          <w:color w:val="000000" w:themeColor="text1"/>
          <w:szCs w:val="24"/>
        </w:rPr>
        <w:t>MALAT1</w:t>
      </w:r>
      <w:r w:rsidRPr="000708C4">
        <w:rPr>
          <w:rFonts w:cs="Times New Roman"/>
          <w:color w:val="000000" w:themeColor="text1"/>
          <w:szCs w:val="24"/>
        </w:rPr>
        <w:t>) or control siRNA (</w:t>
      </w:r>
      <w:proofErr w:type="spellStart"/>
      <w:r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Pr="000708C4">
        <w:rPr>
          <w:rFonts w:cs="Times New Roman"/>
          <w:color w:val="000000" w:themeColor="text1"/>
          <w:szCs w:val="24"/>
        </w:rPr>
        <w:t xml:space="preserve">-NC) for 72h (in hypoxia). GAPDH staining was used as loading control. </w:t>
      </w:r>
    </w:p>
    <w:p w14:paraId="471FE79C" w14:textId="77777777" w:rsidR="006658A3" w:rsidRDefault="006658A3" w:rsidP="000F0DB6">
      <w:pPr>
        <w:spacing w:line="600" w:lineRule="auto"/>
        <w:jc w:val="both"/>
        <w:rPr>
          <w:rFonts w:cs="Times New Roman"/>
          <w:color w:val="000000" w:themeColor="text1"/>
          <w:szCs w:val="24"/>
        </w:rPr>
      </w:pPr>
    </w:p>
    <w:p w14:paraId="137D2774" w14:textId="62BDF6B3" w:rsidR="003F331C" w:rsidRPr="000708C4" w:rsidRDefault="006658A3" w:rsidP="000F0DB6">
      <w:pPr>
        <w:spacing w:line="600" w:lineRule="auto"/>
        <w:jc w:val="both"/>
        <w:rPr>
          <w:rFonts w:cs="Times New Roman"/>
          <w:color w:val="000000" w:themeColor="text1"/>
          <w:szCs w:val="24"/>
        </w:rPr>
      </w:pPr>
      <w:r w:rsidRPr="00760D7B">
        <w:rPr>
          <w:rFonts w:cs="Times New Roman"/>
          <w:b/>
          <w:bCs/>
          <w:color w:val="000000" w:themeColor="text1"/>
          <w:kern w:val="24"/>
          <w:szCs w:val="24"/>
        </w:rPr>
        <w:t xml:space="preserve">Supplementary Figure </w:t>
      </w:r>
      <w:r>
        <w:rPr>
          <w:rFonts w:cs="Times New Roman"/>
          <w:b/>
          <w:bCs/>
          <w:color w:val="000000" w:themeColor="text1"/>
          <w:kern w:val="24"/>
          <w:szCs w:val="24"/>
        </w:rPr>
        <w:t>5</w:t>
      </w:r>
      <w:r>
        <w:rPr>
          <w:rFonts w:cs="Times New Roman"/>
          <w:b/>
          <w:bCs/>
          <w:color w:val="000000" w:themeColor="text1"/>
          <w:kern w:val="24"/>
          <w:szCs w:val="24"/>
        </w:rPr>
        <w:t>.  (</w:t>
      </w:r>
      <w:r>
        <w:rPr>
          <w:rFonts w:cs="Times New Roman"/>
          <w:b/>
          <w:bCs/>
          <w:color w:val="000000" w:themeColor="text1"/>
          <w:kern w:val="24"/>
          <w:szCs w:val="24"/>
        </w:rPr>
        <w:t>A</w:t>
      </w:r>
      <w:r>
        <w:rPr>
          <w:rFonts w:cs="Times New Roman"/>
          <w:b/>
          <w:bCs/>
          <w:color w:val="000000" w:themeColor="text1"/>
          <w:kern w:val="24"/>
          <w:szCs w:val="24"/>
        </w:rPr>
        <w:t>)</w:t>
      </w:r>
      <w:r>
        <w:rPr>
          <w:rFonts w:cs="Times New Roman"/>
          <w:color w:val="000000" w:themeColor="text1"/>
          <w:szCs w:val="24"/>
        </w:rPr>
        <w:t xml:space="preserve"> </w:t>
      </w:r>
      <w:r w:rsidR="003F331C" w:rsidRPr="000708C4">
        <w:rPr>
          <w:rFonts w:cs="Times New Roman"/>
          <w:color w:val="000000" w:themeColor="text1"/>
          <w:szCs w:val="24"/>
        </w:rPr>
        <w:t>Representative Western blot analysis of N-Cadherin, Vimentin and WTAP proteins in MDA-MB-231 after transfection of siRNA to silence WTAP (</w:t>
      </w:r>
      <w:proofErr w:type="spellStart"/>
      <w:r w:rsidR="003F331C"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="003F331C" w:rsidRPr="000708C4">
        <w:rPr>
          <w:rFonts w:cs="Times New Roman"/>
          <w:color w:val="000000" w:themeColor="text1"/>
          <w:szCs w:val="24"/>
        </w:rPr>
        <w:t>-WTAP) or control siRNA (</w:t>
      </w:r>
      <w:proofErr w:type="spellStart"/>
      <w:r w:rsidR="003F331C"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="003F331C" w:rsidRPr="000708C4">
        <w:rPr>
          <w:rFonts w:cs="Times New Roman"/>
          <w:color w:val="000000" w:themeColor="text1"/>
          <w:szCs w:val="24"/>
        </w:rPr>
        <w:t>-NC) for 72h (48h of which in hypoxia)</w:t>
      </w:r>
      <w:r>
        <w:rPr>
          <w:rFonts w:cs="Times New Roman"/>
          <w:color w:val="000000" w:themeColor="text1"/>
          <w:szCs w:val="24"/>
        </w:rPr>
        <w:t xml:space="preserve"> </w:t>
      </w:r>
      <w:r w:rsidR="003F331C" w:rsidRPr="000708C4">
        <w:rPr>
          <w:rFonts w:cs="Times New Roman"/>
          <w:color w:val="000000" w:themeColor="text1"/>
          <w:szCs w:val="24"/>
        </w:rPr>
        <w:t>GAPDH</w:t>
      </w:r>
      <w:r>
        <w:rPr>
          <w:rFonts w:cs="Times New Roman"/>
          <w:color w:val="000000" w:themeColor="text1"/>
          <w:szCs w:val="24"/>
        </w:rPr>
        <w:t xml:space="preserve"> was used as a loading control.</w:t>
      </w:r>
      <w:r w:rsidR="003F331C" w:rsidRPr="000708C4">
        <w:rPr>
          <w:rFonts w:cs="Times New Roman"/>
          <w:color w:val="000000" w:themeColor="text1"/>
          <w:szCs w:val="24"/>
        </w:rPr>
        <w:t xml:space="preserve"> </w:t>
      </w:r>
      <w:r w:rsidRPr="006658A3">
        <w:rPr>
          <w:rFonts w:cs="Times New Roman"/>
          <w:b/>
          <w:bCs/>
          <w:color w:val="000000" w:themeColor="text1"/>
          <w:szCs w:val="24"/>
        </w:rPr>
        <w:t xml:space="preserve">(B) </w:t>
      </w:r>
      <w:r w:rsidRPr="000708C4">
        <w:rPr>
          <w:rFonts w:cs="Times New Roman"/>
          <w:color w:val="000000" w:themeColor="text1"/>
          <w:szCs w:val="24"/>
        </w:rPr>
        <w:t>Representative Western blot analysis of N-Cadherin, Vimentin and WTAP proteins in MDA-MB-</w:t>
      </w:r>
      <w:r>
        <w:rPr>
          <w:rFonts w:cs="Times New Roman"/>
          <w:color w:val="000000" w:themeColor="text1"/>
          <w:szCs w:val="24"/>
        </w:rPr>
        <w:t>468</w:t>
      </w:r>
      <w:r w:rsidRPr="000708C4">
        <w:rPr>
          <w:rFonts w:cs="Times New Roman"/>
          <w:color w:val="000000" w:themeColor="text1"/>
          <w:szCs w:val="24"/>
        </w:rPr>
        <w:t xml:space="preserve"> after transfection of siRNA to silence WTAP (</w:t>
      </w:r>
      <w:proofErr w:type="spellStart"/>
      <w:r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Pr="000708C4">
        <w:rPr>
          <w:rFonts w:cs="Times New Roman"/>
          <w:color w:val="000000" w:themeColor="text1"/>
          <w:szCs w:val="24"/>
        </w:rPr>
        <w:t>-WTAP) or control siRNA (</w:t>
      </w:r>
      <w:proofErr w:type="spellStart"/>
      <w:r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Pr="000708C4">
        <w:rPr>
          <w:rFonts w:cs="Times New Roman"/>
          <w:color w:val="000000" w:themeColor="text1"/>
          <w:szCs w:val="24"/>
        </w:rPr>
        <w:t>-NC) for 72h (48h of which in hypoxia)</w:t>
      </w:r>
      <w:r>
        <w:rPr>
          <w:rFonts w:cs="Times New Roman"/>
          <w:color w:val="000000" w:themeColor="text1"/>
          <w:szCs w:val="24"/>
        </w:rPr>
        <w:t xml:space="preserve">. </w:t>
      </w:r>
      <w:r w:rsidR="003F331C" w:rsidRPr="006658A3">
        <w:rPr>
          <w:rFonts w:cs="Times New Roman"/>
          <w:b/>
          <w:bCs/>
          <w:color w:val="000000" w:themeColor="text1"/>
          <w:szCs w:val="24"/>
        </w:rPr>
        <w:t>(</w:t>
      </w:r>
      <w:r w:rsidRPr="006658A3">
        <w:rPr>
          <w:rFonts w:cs="Times New Roman"/>
          <w:b/>
          <w:bCs/>
          <w:color w:val="000000" w:themeColor="text1"/>
          <w:szCs w:val="24"/>
        </w:rPr>
        <w:t>C</w:t>
      </w:r>
      <w:r w:rsidR="003F331C" w:rsidRPr="006658A3">
        <w:rPr>
          <w:rFonts w:cs="Times New Roman"/>
          <w:b/>
          <w:bCs/>
          <w:color w:val="000000" w:themeColor="text1"/>
          <w:szCs w:val="24"/>
        </w:rPr>
        <w:t>)</w:t>
      </w:r>
      <w:r w:rsidR="003F331C" w:rsidRPr="000708C4">
        <w:rPr>
          <w:rFonts w:cs="Times New Roman"/>
          <w:color w:val="000000" w:themeColor="text1"/>
          <w:szCs w:val="24"/>
        </w:rPr>
        <w:t xml:space="preserve"> Western blot analysis of N-Cadherin, Vimentin and WTAP in MDA-MB-231 cells transfected with siRNA directed to MALAT1 (si-MALAT1) or control siRNA (</w:t>
      </w:r>
      <w:proofErr w:type="spellStart"/>
      <w:r w:rsidR="003F331C" w:rsidRPr="000708C4">
        <w:rPr>
          <w:rFonts w:cs="Times New Roman"/>
          <w:color w:val="000000" w:themeColor="text1"/>
          <w:szCs w:val="24"/>
        </w:rPr>
        <w:t>si</w:t>
      </w:r>
      <w:proofErr w:type="spellEnd"/>
      <w:r w:rsidR="003F331C" w:rsidRPr="000708C4">
        <w:rPr>
          <w:rFonts w:cs="Times New Roman"/>
          <w:color w:val="000000" w:themeColor="text1"/>
          <w:szCs w:val="24"/>
        </w:rPr>
        <w:t>-NC) for 72h (48h of hypoxia). B-ACTIN staining was used as loading control.</w:t>
      </w:r>
    </w:p>
    <w:p w14:paraId="7F276AE1" w14:textId="72E0DDDA" w:rsidR="00760D7B" w:rsidRPr="00760D7B" w:rsidRDefault="00760D7B" w:rsidP="000F0DB6">
      <w:pPr>
        <w:tabs>
          <w:tab w:val="left" w:pos="3863"/>
        </w:tabs>
        <w:spacing w:line="600" w:lineRule="auto"/>
        <w:jc w:val="both"/>
      </w:pPr>
    </w:p>
    <w:sectPr w:rsidR="00760D7B" w:rsidRPr="00760D7B" w:rsidSect="00D26043"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E92C4" w14:textId="77777777" w:rsidR="004749E4" w:rsidRDefault="004749E4" w:rsidP="00117666">
      <w:pPr>
        <w:spacing w:after="0"/>
      </w:pPr>
      <w:r>
        <w:separator/>
      </w:r>
    </w:p>
  </w:endnote>
  <w:endnote w:type="continuationSeparator" w:id="0">
    <w:p w14:paraId="76360EFB" w14:textId="77777777" w:rsidR="004749E4" w:rsidRDefault="004749E4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6A142F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6A142F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6A142F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6A142F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D3170" w14:textId="77777777" w:rsidR="004749E4" w:rsidRDefault="004749E4" w:rsidP="00117666">
      <w:pPr>
        <w:spacing w:after="0"/>
      </w:pPr>
      <w:r>
        <w:separator/>
      </w:r>
    </w:p>
  </w:footnote>
  <w:footnote w:type="continuationSeparator" w:id="0">
    <w:p w14:paraId="2FF00183" w14:textId="77777777" w:rsidR="004749E4" w:rsidRDefault="004749E4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4E762" w14:textId="77777777" w:rsidR="004F3118" w:rsidRDefault="004F3118" w:rsidP="0093429D">
    <w:pPr>
      <w:rPr>
        <w:b/>
      </w:rPr>
    </w:pPr>
  </w:p>
  <w:p w14:paraId="25711A5B" w14:textId="707D702A" w:rsidR="006A142F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ito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aragrafoelenco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551431"/>
    <w:multiLevelType w:val="hybridMultilevel"/>
    <w:tmpl w:val="07406FCC"/>
    <w:lvl w:ilvl="0" w:tplc="D26AE89A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6CE3"/>
    <w:multiLevelType w:val="hybridMultilevel"/>
    <w:tmpl w:val="5CFEF2D8"/>
    <w:lvl w:ilvl="0" w:tplc="E884C36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1"/>
  </w:num>
  <w:num w:numId="4" w16cid:durableId="1566183234">
    <w:abstractNumId w:val="7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8"/>
  </w:num>
  <w:num w:numId="8" w16cid:durableId="1559510671">
    <w:abstractNumId w:val="8"/>
  </w:num>
  <w:num w:numId="9" w16cid:durableId="1734543462">
    <w:abstractNumId w:val="8"/>
  </w:num>
  <w:num w:numId="10" w16cid:durableId="708839681">
    <w:abstractNumId w:val="8"/>
  </w:num>
  <w:num w:numId="11" w16cid:durableId="2046978920">
    <w:abstractNumId w:val="8"/>
  </w:num>
  <w:num w:numId="12" w16cid:durableId="2124614653">
    <w:abstractNumId w:val="8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1784954002">
    <w:abstractNumId w:val="6"/>
  </w:num>
  <w:num w:numId="21" w16cid:durableId="1189833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20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0E4C89"/>
    <w:rsid w:val="000F0DB6"/>
    <w:rsid w:val="00105FD9"/>
    <w:rsid w:val="00117666"/>
    <w:rsid w:val="001549D3"/>
    <w:rsid w:val="00160065"/>
    <w:rsid w:val="00177D84"/>
    <w:rsid w:val="001863BB"/>
    <w:rsid w:val="001A241B"/>
    <w:rsid w:val="001D0EC9"/>
    <w:rsid w:val="00267D18"/>
    <w:rsid w:val="002868E2"/>
    <w:rsid w:val="002869C3"/>
    <w:rsid w:val="002936E4"/>
    <w:rsid w:val="002A0B53"/>
    <w:rsid w:val="002B4A57"/>
    <w:rsid w:val="002C74CA"/>
    <w:rsid w:val="002E5FF8"/>
    <w:rsid w:val="00332694"/>
    <w:rsid w:val="003544FB"/>
    <w:rsid w:val="00354747"/>
    <w:rsid w:val="003D2D47"/>
    <w:rsid w:val="003D2F2D"/>
    <w:rsid w:val="003F331C"/>
    <w:rsid w:val="00401590"/>
    <w:rsid w:val="00447801"/>
    <w:rsid w:val="00452E9C"/>
    <w:rsid w:val="004735C8"/>
    <w:rsid w:val="004749E4"/>
    <w:rsid w:val="004961FF"/>
    <w:rsid w:val="004F166E"/>
    <w:rsid w:val="004F3118"/>
    <w:rsid w:val="00517A89"/>
    <w:rsid w:val="005250F2"/>
    <w:rsid w:val="00555E65"/>
    <w:rsid w:val="00593EEA"/>
    <w:rsid w:val="005A5EEE"/>
    <w:rsid w:val="005C2CCE"/>
    <w:rsid w:val="005F0EF5"/>
    <w:rsid w:val="006144B8"/>
    <w:rsid w:val="006375C7"/>
    <w:rsid w:val="006401C5"/>
    <w:rsid w:val="00654E8F"/>
    <w:rsid w:val="00660D05"/>
    <w:rsid w:val="006658A3"/>
    <w:rsid w:val="0067585A"/>
    <w:rsid w:val="006820B1"/>
    <w:rsid w:val="006A142F"/>
    <w:rsid w:val="006B7D14"/>
    <w:rsid w:val="006D0F0D"/>
    <w:rsid w:val="00701727"/>
    <w:rsid w:val="0070566C"/>
    <w:rsid w:val="00714C50"/>
    <w:rsid w:val="00725A7D"/>
    <w:rsid w:val="007501BE"/>
    <w:rsid w:val="00760D7B"/>
    <w:rsid w:val="007665FF"/>
    <w:rsid w:val="00790BB3"/>
    <w:rsid w:val="007C206C"/>
    <w:rsid w:val="007E7782"/>
    <w:rsid w:val="00803D24"/>
    <w:rsid w:val="008149E7"/>
    <w:rsid w:val="00817DD6"/>
    <w:rsid w:val="00860451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457A5"/>
    <w:rsid w:val="00A569CD"/>
    <w:rsid w:val="00AB5EE2"/>
    <w:rsid w:val="00AB6715"/>
    <w:rsid w:val="00AC323A"/>
    <w:rsid w:val="00B04BDF"/>
    <w:rsid w:val="00B1671E"/>
    <w:rsid w:val="00B25EB8"/>
    <w:rsid w:val="00B354E1"/>
    <w:rsid w:val="00B37F4D"/>
    <w:rsid w:val="00C52A7B"/>
    <w:rsid w:val="00C56BAF"/>
    <w:rsid w:val="00C679AA"/>
    <w:rsid w:val="00C75972"/>
    <w:rsid w:val="00CB6B22"/>
    <w:rsid w:val="00CC0A3A"/>
    <w:rsid w:val="00CD066B"/>
    <w:rsid w:val="00CE4FEE"/>
    <w:rsid w:val="00D26043"/>
    <w:rsid w:val="00D640A4"/>
    <w:rsid w:val="00DB1003"/>
    <w:rsid w:val="00DB2567"/>
    <w:rsid w:val="00DB59C3"/>
    <w:rsid w:val="00DC259A"/>
    <w:rsid w:val="00DD7BC4"/>
    <w:rsid w:val="00DE23E8"/>
    <w:rsid w:val="00E52377"/>
    <w:rsid w:val="00E64E17"/>
    <w:rsid w:val="00E866C9"/>
    <w:rsid w:val="00E9189B"/>
    <w:rsid w:val="00EA3D3C"/>
    <w:rsid w:val="00F200E6"/>
    <w:rsid w:val="00F30061"/>
    <w:rsid w:val="00F445C2"/>
    <w:rsid w:val="00F46900"/>
    <w:rsid w:val="00F57A53"/>
    <w:rsid w:val="00F61D89"/>
    <w:rsid w:val="00F6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itolo1">
    <w:name w:val="heading 1"/>
    <w:basedOn w:val="Paragrafoelenco"/>
    <w:next w:val="Normale"/>
    <w:link w:val="Titolo1Carattere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itolo2">
    <w:name w:val="heading 2"/>
    <w:basedOn w:val="Titolo1"/>
    <w:next w:val="Normale"/>
    <w:link w:val="Titolo2Carattere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itolo3">
    <w:name w:val="heading 3"/>
    <w:basedOn w:val="Normale"/>
    <w:next w:val="Normale"/>
    <w:link w:val="Titolo3Carattere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itolo4">
    <w:name w:val="heading 4"/>
    <w:basedOn w:val="Titolo3"/>
    <w:next w:val="Normale"/>
    <w:link w:val="Titolo4Carattere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itolo5">
    <w:name w:val="heading 5"/>
    <w:basedOn w:val="Titolo4"/>
    <w:next w:val="Normale"/>
    <w:link w:val="Titolo5Carattere"/>
    <w:uiPriority w:val="2"/>
    <w:qFormat/>
    <w:rsid w:val="00AB6715"/>
    <w:pPr>
      <w:numPr>
        <w:ilvl w:val="4"/>
      </w:numPr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ottotitolo"/>
    <w:next w:val="Normale"/>
    <w:uiPriority w:val="1"/>
    <w:qFormat/>
    <w:rsid w:val="00AB671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itolodellibro">
    <w:name w:val="Book Title"/>
    <w:basedOn w:val="Carpredefinitoparagrafo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idascalia">
    <w:name w:val="caption"/>
    <w:basedOn w:val="Normale"/>
    <w:next w:val="Nessunaspaziatur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essunaspaziatur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B671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671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67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B6715"/>
    <w:rPr>
      <w:rFonts w:ascii="Times New Roman" w:hAnsi="Times New Roman"/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B671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6715"/>
    <w:rPr>
      <w:rFonts w:ascii="Times New Roman" w:hAnsi="Times New Roman"/>
      <w:sz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671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6715"/>
    <w:rPr>
      <w:rFonts w:ascii="Times New Roman" w:hAnsi="Times New Roman"/>
      <w:b/>
      <w:sz w:val="24"/>
    </w:rPr>
  </w:style>
  <w:style w:type="paragraph" w:styleId="Paragrafoelenco">
    <w:name w:val="List Paragraph"/>
    <w:basedOn w:val="Normale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Collegamentoipertestuale">
    <w:name w:val="Hyperlink"/>
    <w:basedOn w:val="Carpredefinitoparagrafo"/>
    <w:uiPriority w:val="99"/>
    <w:unhideWhenUsed/>
    <w:rsid w:val="00AB6715"/>
    <w:rPr>
      <w:color w:val="0000FF"/>
      <w:u w:val="single"/>
    </w:rPr>
  </w:style>
  <w:style w:type="character" w:styleId="Enfasiintensa">
    <w:name w:val="Intense Emphasis"/>
    <w:basedOn w:val="Carpredefinitoparagrafo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iferimentointenso">
    <w:name w:val="Intense Reference"/>
    <w:basedOn w:val="Carpredefinitoparagrafo"/>
    <w:uiPriority w:val="32"/>
    <w:qFormat/>
    <w:rsid w:val="00AB6715"/>
    <w:rPr>
      <w:b/>
      <w:bCs/>
      <w:smallCaps/>
      <w:color w:val="auto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AB6715"/>
  </w:style>
  <w:style w:type="character" w:customStyle="1" w:styleId="Titolo3Carattere">
    <w:name w:val="Titolo 3 Carattere"/>
    <w:basedOn w:val="Carpredefinitoparagrafo"/>
    <w:link w:val="Tito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Enfasigrassetto">
    <w:name w:val="Strong"/>
    <w:basedOn w:val="Carpredefinitoparagrafo"/>
    <w:uiPriority w:val="22"/>
    <w:qFormat/>
    <w:rsid w:val="00AB6715"/>
    <w:rPr>
      <w:rFonts w:ascii="Times New Roman" w:hAnsi="Times New Roman"/>
      <w:b/>
      <w:bCs/>
    </w:rPr>
  </w:style>
  <w:style w:type="character" w:styleId="Enfasidelicata">
    <w:name w:val="Subtle Emphasis"/>
    <w:basedOn w:val="Carpredefinitoparagrafo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Grigliatabella">
    <w:name w:val="Table Grid"/>
    <w:basedOn w:val="Tabellanorma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olo"/>
    <w:next w:val="Titolo"/>
    <w:qFormat/>
    <w:rsid w:val="0001436A"/>
    <w:pPr>
      <w:spacing w:after="120"/>
    </w:pPr>
    <w:rPr>
      <w:i/>
    </w:rPr>
  </w:style>
  <w:style w:type="paragraph" w:styleId="Revisione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20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Martina  Dragonetti</cp:lastModifiedBy>
  <cp:revision>14</cp:revision>
  <cp:lastPrinted>2013-10-03T12:51:00Z</cp:lastPrinted>
  <dcterms:created xsi:type="dcterms:W3CDTF">2024-05-10T10:25:00Z</dcterms:created>
  <dcterms:modified xsi:type="dcterms:W3CDTF">2024-06-01T09:34:00Z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