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Times New Roman Bold" w:hAnsi="Times New Roman Bold" w:cs="Times New Roman Bold" w:eastAsiaTheme="minorEastAsia"/>
          <w:b/>
          <w:bCs/>
          <w:sz w:val="24"/>
          <w:szCs w:val="24"/>
          <w:lang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>Supplementa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Hans"/>
        </w:rPr>
        <w:t>l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>figure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eastAsia="zh-TW"/>
        </w:rPr>
        <w:t>1</w:t>
      </w:r>
    </w:p>
    <w:p/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4904740"/>
            <wp:effectExtent l="0" t="0" r="12065" b="22860"/>
            <wp:docPr id="12" name="图片 12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90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/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 xml:space="preserve">Fig.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Hans"/>
        </w:rPr>
        <w:t>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1. High CD73 expression is associated with poor prognosis in cancer patients.</w:t>
      </w: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eastAsia="en-US"/>
        </w:rPr>
      </w:pPr>
      <w:r>
        <w:rPr>
          <w:rFonts w:ascii="Times New Roman Regular" w:hAnsi="Times New Roman Regular" w:eastAsia="TimesNewRomanPS-BoldMT" w:cs="Times New Roman Regular"/>
          <w:color w:val="000000"/>
          <w:kern w:val="0"/>
          <w:sz w:val="24"/>
          <w:lang w:bidi="ar"/>
        </w:rPr>
        <w:t>(A)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The difference in CD73 expression in CRC tumors and normal adjacent tissues from GEO databases.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</w:t>
      </w:r>
      <w:r>
        <w:rPr>
          <w:rFonts w:ascii="Times New Roman Regular" w:hAnsi="Times New Roman Regular" w:eastAsia="TimesNewRomanPS-BoldMT" w:cs="Times New Roman Regular"/>
          <w:color w:val="000000"/>
          <w:kern w:val="0"/>
          <w:sz w:val="24"/>
          <w:lang w:bidi="ar"/>
        </w:rPr>
        <w:t>(</w:t>
      </w:r>
      <w:r>
        <w:rPr>
          <w:rFonts w:hint="eastAsia" w:ascii="Times New Roman Regular" w:hAnsi="Times New Roman Regular" w:eastAsia="TimesNewRomanPS-BoldMT" w:cs="Times New Roman Regular"/>
          <w:color w:val="000000"/>
          <w:kern w:val="0"/>
          <w:sz w:val="24"/>
          <w:lang w:val="en-US" w:eastAsia="zh-Hans" w:bidi="ar"/>
        </w:rPr>
        <w:t>B</w:t>
      </w:r>
      <w:r>
        <w:rPr>
          <w:rFonts w:ascii="Times New Roman Regular" w:hAnsi="Times New Roman Regular" w:eastAsia="TimesNewRomanPS-BoldMT" w:cs="Times New Roman Regular"/>
          <w:color w:val="000000"/>
          <w:kern w:val="0"/>
          <w:sz w:val="24"/>
          <w:lang w:bidi="ar"/>
        </w:rPr>
        <w:t>)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val="en-US" w:eastAsia="zh-CN" w:bidi="ar"/>
        </w:rPr>
        <w:t xml:space="preserve">Survival curves for overall survival of the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eastAsia="zh-CN" w:bidi="ar"/>
        </w:rPr>
        <w:t xml:space="preserve">CD73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val="en-US" w:eastAsia="zh-CN" w:bidi="ar"/>
        </w:rPr>
        <w:t xml:space="preserve">high and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eastAsia="zh-CN" w:bidi="ar"/>
        </w:rPr>
        <w:t xml:space="preserve">CD73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val="en-US" w:eastAsia="zh-CN" w:bidi="ar"/>
        </w:rPr>
        <w:t xml:space="preserve">low groups in 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szCs w:val="24"/>
          <w:lang w:val="en-US" w:eastAsia="zh-Hans" w:bidi="ar"/>
        </w:rPr>
        <w:t>PAAD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eastAsia="zh-Hans" w:bidi="ar"/>
        </w:rPr>
        <w:t>, LUAD, HNSC, and LUSC (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szCs w:val="24"/>
          <w:lang w:val="en-US" w:eastAsia="zh-Hans" w:bidi="ar"/>
        </w:rPr>
        <w:t>B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eastAsia="zh-Hans" w:bidi="ar"/>
        </w:rPr>
        <w:t>)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val="en-US" w:eastAsia="zh-CN" w:bidi="ar"/>
        </w:rPr>
        <w:t xml:space="preserve">patients from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eastAsia="zh-CN" w:bidi="ar"/>
        </w:rPr>
        <w:t xml:space="preserve">Gepia.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(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Hans" w:bidi="ar"/>
        </w:rPr>
        <w:t>C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, C) Survival curves for overall survival of the CD73 high and CD73 low groups in CCR patients from TCGA (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Hans" w:bidi="ar"/>
        </w:rPr>
        <w:t>C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) and GEO (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Hans" w:bidi="ar"/>
        </w:rPr>
        <w:t>D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)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databases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>.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szCs w:val="24"/>
          <w:lang w:val="en-US" w:eastAsia="zh-Hans" w:bidi="ar"/>
        </w:rPr>
        <w:t>PAAD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eastAsia="zh-Hans" w:bidi="ar"/>
        </w:rPr>
        <w:t xml:space="preserve">,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eastAsia="zh-CN" w:bidi="ar"/>
        </w:rPr>
        <w:t xml:space="preserve">Pancreatic adenocarcinoma;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lang w:eastAsia="zh-Hans" w:bidi="ar"/>
        </w:rPr>
        <w:t>LUAD, Lung adenocarcinoma; HNSC, Head and neck squamous cell carcinoma; LUSC, Lung squamous cell carcinoma; CRC, colorectal cancer.</w:t>
      </w: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bidi w:val="0"/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>Supplementa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Hans"/>
        </w:rPr>
        <w:t>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 xml:space="preserve"> figure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TW"/>
        </w:rPr>
        <w:t>2</w:t>
      </w:r>
    </w:p>
    <w:p>
      <w:pPr>
        <w:bidi w:val="0"/>
      </w:pPr>
    </w:p>
    <w:p>
      <w:pPr>
        <w:bidi w:val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93210" cy="4968240"/>
            <wp:effectExtent l="0" t="0" r="21590" b="10160"/>
            <wp:docPr id="13" name="图片 13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ure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496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eastAsiaTheme="minorEastAsia"/>
          <w:lang w:eastAsia="zh-CN"/>
        </w:rPr>
      </w:pPr>
    </w:p>
    <w:p>
      <w:pPr>
        <w:bidi w:val="0"/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bidi="ar"/>
        </w:rPr>
      </w:pPr>
    </w:p>
    <w:p>
      <w:pPr>
        <w:bidi w:val="0"/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</w:pP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bidi="ar"/>
        </w:rPr>
        <w:t xml:space="preserve">Fig. S2. </w:t>
      </w: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  <w:t>CD73 blockade combined with RT enhances anti-tumor response</w:t>
      </w:r>
    </w:p>
    <w:p>
      <w:pPr>
        <w:numPr>
          <w:ilvl w:val="0"/>
          <w:numId w:val="1"/>
        </w:numPr>
        <w:bidi w:val="0"/>
        <w:rPr>
          <w:rFonts w:hint="default" w:ascii="Times New Roman Regular" w:hAnsi="Times New Roman Regular" w:eastAsia="MinionPro" w:cs="Times New Roman Regular"/>
          <w:color w:val="000000"/>
          <w:kern w:val="0"/>
          <w:sz w:val="24"/>
          <w:lang w:val="en-US" w:eastAsia="en-US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C57BL/6 mice were given through s.c. injection into the right flank with 1 × 10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vertAlign w:val="superscript"/>
          <w:lang w:bidi="ar"/>
        </w:rPr>
        <w:t>6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MC38 cells. Once tumor size achieved 100 mm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vertAlign w:val="superscript"/>
          <w:lang w:bidi="ar"/>
        </w:rPr>
        <w:t>3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(about 10 days after injection), a single dose of 8Gy RT was administered locally to mice. </w:t>
      </w:r>
      <w:r>
        <w:rPr>
          <w:rFonts w:ascii="Times New Roman Regular" w:hAnsi="Times New Roman Regular" w:eastAsia="MinionPro" w:cs="Times New Roman Regular"/>
          <w:color w:val="000000"/>
          <w:kern w:val="0"/>
          <w:sz w:val="24"/>
          <w:lang w:bidi="ar"/>
        </w:rPr>
        <w:t xml:space="preserve">Simultaneously, αCD73 treatment was initiated, with five doses administered every other day. </w:t>
      </w:r>
      <w:r>
        <w:rPr>
          <w:rFonts w:hint="default" w:ascii="Times New Roman Regular" w:hAnsi="Times New Roman Regular" w:eastAsia="MinionPro" w:cs="Times New Roman Regular"/>
          <w:color w:val="000000"/>
          <w:kern w:val="0"/>
          <w:sz w:val="24"/>
          <w:lang w:val="en-US" w:bidi="ar"/>
        </w:rPr>
        <w:t xml:space="preserve">(B) </w:t>
      </w:r>
      <w:r>
        <w:rPr>
          <w:rFonts w:ascii="Times New Roman Regular" w:hAnsi="Times New Roman Regular" w:eastAsia="TimesNewRomanPS-BoldMT" w:cs="Times New Roman Regular"/>
          <w:color w:val="000000"/>
          <w:kern w:val="0"/>
          <w:sz w:val="24"/>
          <w:lang w:bidi="ar"/>
        </w:rPr>
        <w:t>Tumor growth curves</w:t>
      </w:r>
      <w:r>
        <w:rPr>
          <w:rFonts w:hint="default" w:ascii="Times New Roman Regular" w:hAnsi="Times New Roman Regular" w:eastAsia="TimesNewRomanPS-BoldMT" w:cs="Times New Roman Regular"/>
          <w:color w:val="000000"/>
          <w:kern w:val="0"/>
          <w:sz w:val="24"/>
          <w:lang w:val="en-US" w:eastAsia="zh-CN" w:bidi="ar"/>
        </w:rPr>
        <w:t xml:space="preserve"> of individual mice</w:t>
      </w:r>
      <w:r>
        <w:rPr>
          <w:rFonts w:hint="default" w:ascii="Times New Roman Regular" w:hAnsi="Times New Roman Regular" w:eastAsia="TimesNewRomanPS-BoldMT" w:cs="Times New Roman Regular"/>
          <w:color w:val="000000"/>
          <w:kern w:val="0"/>
          <w:sz w:val="24"/>
          <w:lang w:eastAsia="zh-CN" w:bidi="ar"/>
        </w:rPr>
        <w:t>.</w:t>
      </w:r>
    </w:p>
    <w:p>
      <w:pPr>
        <w:bidi w:val="0"/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>Supplementa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Hans"/>
        </w:rPr>
        <w:t>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 xml:space="preserve"> figure 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3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304155" cy="6940550"/>
            <wp:effectExtent l="0" t="0" r="4445" b="19050"/>
            <wp:docPr id="14" name="图片 14" descr="figure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ureS3"/>
                    <pic:cNvPicPr>
                      <a:picLocks noChangeAspect="1"/>
                    </pic:cNvPicPr>
                  </pic:nvPicPr>
                  <pic:blipFill>
                    <a:blip r:embed="rId6"/>
                    <a:srcRect l="4602" r="2834"/>
                    <a:stretch>
                      <a:fillRect/>
                    </a:stretch>
                  </pic:blipFill>
                  <pic:spPr>
                    <a:xfrm>
                      <a:off x="0" y="0"/>
                      <a:ext cx="5304155" cy="694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/>
        </w:rPr>
      </w:pPr>
    </w:p>
    <w:p>
      <w:pPr>
        <w:bidi w:val="0"/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</w:pP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bidi="ar"/>
        </w:rPr>
        <w:t>Fig. S</w:t>
      </w: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val="en-US" w:bidi="ar"/>
        </w:rPr>
        <w:t>3</w:t>
      </w: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bidi="ar"/>
        </w:rPr>
        <w:t xml:space="preserve">. </w:t>
      </w: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  <w:t>CD73 blockade enhanced RT-mediated antitumor immune effects and remodeled the TME</w:t>
      </w: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eastAsia="zh-CN" w:bidi="ar"/>
        </w:rPr>
        <w:t>(A, B) Representative images of flow cytometric analysis of TAMs (CD11b+F4/80+), and MDSCs (CD11b+Gr-1+) as a proportion of live CD45+ cells in the tumor, Tregs as a proportion of live CD4+ cells in the tumor (A). Mature DCs (CD86+) as a proportion of CD11b+CD11c+MHC-II+ cells in the tumor, and CD8+ T cells as a proportion of live CD45+ cells in the tumor (B). (C) Quantifications of CD8+, Gr1+, and CD86+ cells infiltration in tumors. (D) Representative images of flow cytometric analysis of H-2KbSIINFEKL+ cross-presenting DCs and H2-Kb - SIINFEKL-tetramer+ CD8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+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eastAsia="zh-CN" w:bidi="ar"/>
        </w:rPr>
        <w:t>T cells in the tumor. (E, F) Representative images of flow cytometric analysis of IFN-γ+, TNF-α+, and GrzmB+cells as a proportion of CD8+ cells in the tumor (E), PD-1+ and TIM3+ cells as a proportion of CD8+ cells in the tumor (F).</w:t>
      </w: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TW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>Supplementa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Hans"/>
        </w:rPr>
        <w:t>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 xml:space="preserve"> figure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TW"/>
        </w:rPr>
        <w:t>4</w:t>
      </w: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TW"/>
        </w:rPr>
      </w:pPr>
    </w:p>
    <w:p>
      <w:pPr>
        <w:bidi w:val="0"/>
        <w:rPr>
          <w:rFonts w:hint="default"/>
          <w:lang w:val="en-US" w:eastAsia="zh-TW"/>
        </w:rPr>
      </w:pPr>
      <w:r>
        <w:rPr>
          <w:rFonts w:hint="default"/>
          <w:lang w:val="en-US" w:eastAsia="zh-TW"/>
        </w:rPr>
        <w:drawing>
          <wp:inline distT="0" distB="0" distL="114300" distR="114300">
            <wp:extent cx="5271135" cy="6392545"/>
            <wp:effectExtent l="0" t="0" r="12065" b="8255"/>
            <wp:docPr id="15" name="图片 15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39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/>
          <w:lang w:val="en-US" w:eastAsia="zh-Hans"/>
        </w:rPr>
      </w:pPr>
    </w:p>
    <w:p>
      <w:pPr>
        <w:bidi w:val="0"/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</w:pPr>
    </w:p>
    <w:p>
      <w:pPr>
        <w:bidi w:val="0"/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</w:pP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  <w:t>Fig. S</w:t>
      </w: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val="en-US" w:eastAsia="zh-Hans" w:bidi="ar"/>
        </w:rPr>
        <w:t>4</w:t>
      </w: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  <w:t>. CD8 is indispensable in blocking CD73 to enhance RT-mediated immune response.</w:t>
      </w: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eastAsia="zh-CN" w:bidi="ar"/>
        </w:rPr>
        <w:t xml:space="preserve">(A)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1 × 106 MC38 cells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eastAsia="zh-Hans" w:bidi="ar"/>
        </w:rPr>
        <w:t xml:space="preserve">were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injected into the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eastAsia="zh-Hans" w:bidi="ar"/>
        </w:rPr>
        <w:t>left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flank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eastAsia="zh-Hans" w:bidi="ar"/>
        </w:rPr>
        <w:t xml:space="preserve"> of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C57BL/6 mice three days after the first injection (1 × 106) into the right flank. For CT26 model, we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eastAsia="zh-Hans" w:bidi="ar"/>
        </w:rPr>
        <w:t xml:space="preserve">utilized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2 × 105 CT26 cells injecting into BALB/c mice. The treatment schema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eastAsia="zh-Hans" w:bidi="ar"/>
        </w:rPr>
        <w:t>was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as described above.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bidi="ar"/>
        </w:rPr>
        <w:t xml:space="preserve"> (B)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In </w:t>
      </w:r>
      <w:r>
        <w:rPr>
          <w:rFonts w:hint="eastAsia" w:ascii="Times New Roman Regular" w:hAnsi="Times New Roman Regular" w:cs="Times New Roman Regular"/>
          <w:sz w:val="24"/>
          <w:lang w:val="en-US" w:eastAsia="zh-Hans"/>
        </w:rPr>
        <w:t>CD8+ T cells</w:t>
      </w:r>
      <w:r>
        <w:rPr>
          <w:rFonts w:hint="default" w:ascii="Times New Roman Regular" w:hAnsi="Times New Roman Regular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cs="Times New Roman Regular"/>
          <w:sz w:val="24"/>
          <w:lang w:val="en-US" w:eastAsia="zh-Hans"/>
        </w:rPr>
        <w:t>depletion</w:t>
      </w:r>
      <w:r>
        <w:rPr>
          <w:rFonts w:hint="default" w:ascii="Times New Roman Regular" w:hAnsi="Times New Roman Regular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cs="Times New Roman Regular"/>
          <w:sz w:val="24"/>
          <w:lang w:val="en-US" w:eastAsia="zh-Hans"/>
        </w:rPr>
        <w:t>experiment</w:t>
      </w:r>
      <w:r>
        <w:rPr>
          <w:rFonts w:hint="default" w:ascii="Times New Roman Regular" w:hAnsi="Times New Roman Regular" w:cs="Times New Roman Regular"/>
          <w:sz w:val="24"/>
          <w:lang w:eastAsia="zh-Hans"/>
        </w:rPr>
        <w:t xml:space="preserve">,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eastAsia="zh-CN" w:bidi="ar"/>
        </w:rPr>
        <w:t>the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Hans" w:bidi="ar"/>
        </w:rPr>
        <w:t>first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eastAsia="zh-Hans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anti-CD8 antibod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eastAsia="zh-CN" w:bidi="ar"/>
        </w:rPr>
        <w:t xml:space="preserve">ies 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Hans" w:bidi="ar"/>
        </w:rPr>
        <w:t>were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eastAsia="zh-CN" w:bidi="ar"/>
        </w:rPr>
        <w:t xml:space="preserve"> administered three days prior to RT, with subsequent applications twice weekly throughout the course of treatment. T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umor volumes of individual mice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eastAsia="zh-CN" w:bidi="ar"/>
        </w:rPr>
        <w:t xml:space="preserve"> in different groups are shown.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 xml:space="preserve">(C)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Splenic CD8+ T cells were isolated using magnetic bead isolation (Miltenyi Biotec) and pre-activated with Dynabeads mouse CD3/CD28 beads (IBA Life Sciences) for 48 hours. After 48 hours of pre-activation, they were co-cultured with MC38 cells </w:t>
      </w:r>
      <w:r>
        <w:rPr>
          <w:rFonts w:ascii="Times New Roman Regular" w:hAnsi="Times New Roman Regular" w:eastAsia="TimesNewRomanPS-BoldMT" w:cs="Times New Roman Regular"/>
          <w:color w:val="000000"/>
          <w:kern w:val="0"/>
          <w:sz w:val="24"/>
          <w:lang w:bidi="ar"/>
        </w:rPr>
        <w:t>treated ± 8 Gy RT, ± CD73i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eastAsia="zh-Hans" w:bidi="ar"/>
        </w:rPr>
        <w:t>for 48 hours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, followed by flow analysis 24 hours later.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eastAsia="zh-CN" w:bidi="ar"/>
        </w:rPr>
        <w:t>(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D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eastAsia="zh-CN" w:bidi="ar"/>
        </w:rPr>
        <w:t xml:space="preserve">)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>R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epresentative images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of </w:t>
      </w:r>
      <w:r>
        <w:rPr>
          <w:rFonts w:hint="default" w:ascii="Times New Roman Regular" w:hAnsi="Times New Roman Regular" w:eastAsia="宋体" w:cs="Times New Roman Regular"/>
          <w:b w:val="0"/>
          <w:bCs w:val="0"/>
          <w:color w:val="000000"/>
          <w:kern w:val="0"/>
          <w:sz w:val="24"/>
          <w:szCs w:val="24"/>
          <w:lang w:eastAsia="zh-CN" w:bidi="ar"/>
        </w:rPr>
        <w:t>f</w:t>
      </w:r>
      <w:r>
        <w:rPr>
          <w:rFonts w:hint="default" w:ascii="Times New Roman Regular" w:hAnsi="Times New Roman Regular" w:eastAsia="宋体" w:cs="Times New Roman Regular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low cytometric analysis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of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IFN-γ+, TNF-α+, and GrzmB+cells as a proportion of CD8+ cells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>. (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bidi="ar"/>
        </w:rPr>
        <w:t>E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>) R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epresentative images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of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PD-1+ and TIM3+ cells as a proportion of CD8+ cells.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</w:t>
      </w: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numPr>
          <w:ilvl w:val="0"/>
          <w:numId w:val="0"/>
        </w:num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TW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>Supplementa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Hans"/>
        </w:rPr>
        <w:t>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 xml:space="preserve"> figure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TW"/>
        </w:rPr>
        <w:t>5</w:t>
      </w: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TW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val="en-US" w:eastAsia="zh-Hans" w:bidi="ar"/>
        </w:rPr>
      </w:pP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val="en-US" w:eastAsia="zh-Hans" w:bidi="ar"/>
        </w:rPr>
        <w:drawing>
          <wp:inline distT="0" distB="0" distL="114300" distR="114300">
            <wp:extent cx="4687570" cy="4763770"/>
            <wp:effectExtent l="0" t="0" r="11430" b="11430"/>
            <wp:docPr id="16" name="图片 16" descr="figure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ure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87570" cy="476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ascii="Times New Roman Bold" w:hAnsi="Times New Roman Bold" w:eastAsia="MinionPro" w:cs="Times New Roman Bold"/>
          <w:b/>
          <w:color w:val="000000"/>
          <w:kern w:val="0"/>
          <w:sz w:val="24"/>
          <w:lang w:bidi="ar"/>
        </w:rPr>
      </w:pP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  <w:t>Fig. S</w:t>
      </w: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val="en-US" w:eastAsia="zh-Hans" w:bidi="ar"/>
        </w:rPr>
        <w:t>5</w:t>
      </w: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  <w:t xml:space="preserve">. </w:t>
      </w:r>
      <w:r>
        <w:rPr>
          <w:rFonts w:ascii="Times New Roman Bold" w:hAnsi="Times New Roman Bold" w:eastAsia="MinionPro" w:cs="Times New Roman Bold"/>
          <w:b/>
          <w:color w:val="000000"/>
          <w:kern w:val="0"/>
          <w:sz w:val="24"/>
          <w:lang w:bidi="ar"/>
        </w:rPr>
        <w:t>The combination of CD73 blockade and RT remodels the TME which relies on the STING pathway.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eastAsia="zh-CN" w:bidi="ar"/>
        </w:rPr>
      </w:pP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eastAsia="zh-Hans" w:bidi="ar"/>
        </w:rPr>
        <w:t xml:space="preserve">Heat map demonstrating the top ten highly expressed genes in TILs isolated from tumors in control,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αCD73, RT, and αCD73+RT groups.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(B,C)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The violin plot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>of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the top ten up-regulated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genes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in the αCD73+RT group (αCD73+RT group vs control group)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(B), and 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in the αCD73+RT group (αCD73+RT group vs αCD73 group)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(C)</w:t>
      </w:r>
      <w:r>
        <w:rPr>
          <w:rFonts w:ascii="Times New Roman Regular" w:hAnsi="Times New Roman Regular" w:eastAsia="宋体" w:cs="Times New Roman Regular"/>
          <w:color w:val="000000"/>
          <w:kern w:val="0"/>
          <w:sz w:val="24"/>
          <w:lang w:bidi="ar"/>
        </w:rPr>
        <w:t>.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bidi="ar"/>
        </w:rPr>
        <w:t xml:space="preserve"> </w:t>
      </w:r>
    </w:p>
    <w:p>
      <w:pPr>
        <w:bidi w:val="0"/>
        <w:rPr>
          <w:rFonts w:ascii="Times New Roman" w:hAnsi="Times New Roman"/>
          <w:b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bidi w:val="0"/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>Supplementa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Hans"/>
        </w:rPr>
        <w:t>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 xml:space="preserve"> figure 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6</w:t>
      </w:r>
    </w:p>
    <w:p>
      <w:pPr>
        <w:bidi w:val="0"/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7960" cy="7146290"/>
            <wp:effectExtent l="0" t="0" r="15240" b="16510"/>
            <wp:docPr id="2" name="图片 2" descr="figure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S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14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jc w:val="both"/>
      </w:pPr>
    </w:p>
    <w:p>
      <w:pPr>
        <w:bidi w:val="0"/>
        <w:jc w:val="both"/>
        <w:rPr>
          <w:rFonts w:hint="default" w:ascii="Times New Roman Bold" w:hAnsi="Times New Roman Bold" w:cs="Times New Roman Bold"/>
          <w:b/>
          <w:bCs/>
          <w:color w:val="000000"/>
          <w:kern w:val="0"/>
          <w:sz w:val="24"/>
          <w:lang w:bidi="ar"/>
        </w:rPr>
      </w:pP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  <w:t>Fig. S</w:t>
      </w:r>
      <w:r>
        <w:rPr>
          <w:rFonts w:hint="eastAsia" w:ascii="Times New Roman Bold" w:hAnsi="Times New Roman Bold" w:eastAsia="宋体" w:cs="Times New Roman Bold"/>
          <w:b/>
          <w:bCs/>
          <w:color w:val="000000"/>
          <w:kern w:val="0"/>
          <w:sz w:val="24"/>
          <w:lang w:val="en-US" w:eastAsia="zh-CN" w:bidi="ar"/>
        </w:rPr>
        <w:t>6</w:t>
      </w:r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  <w:t>.</w:t>
      </w:r>
      <w:r>
        <w:rPr>
          <w:rFonts w:hint="eastAsia" w:ascii="Times New Roman Bold" w:hAnsi="Times New Roman Bold" w:eastAsia="宋体" w:cs="Times New Roman Bold"/>
          <w:b/>
          <w:bCs/>
          <w:color w:val="000000"/>
          <w:kern w:val="0"/>
          <w:sz w:val="24"/>
          <w:lang w:val="en-US" w:eastAsia="zh-CN" w:bidi="ar"/>
        </w:rPr>
        <w:t xml:space="preserve"> Images of the </w:t>
      </w:r>
      <w:r>
        <w:rPr>
          <w:rFonts w:hint="default" w:ascii="Times New Roman Bold" w:hAnsi="Times New Roman Bold" w:cs="Times New Roman Bold"/>
          <w:b/>
          <w:bCs/>
          <w:color w:val="000000"/>
          <w:kern w:val="0"/>
          <w:sz w:val="24"/>
          <w:lang w:bidi="ar"/>
        </w:rPr>
        <w:t>Western blot</w:t>
      </w:r>
    </w:p>
    <w:p>
      <w:pPr>
        <w:bidi w:val="0"/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>The ratio of the quantified values of the different treatment groups to the quantified values of the Ctrl group were analyzed to quantify the results for Western blots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 xml:space="preserve"> of Figure 2E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 xml:space="preserve"> (A)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>, Figure 2F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 xml:space="preserve"> (B)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 xml:space="preserve">, 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>Figure 2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 xml:space="preserve">G (C), 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>Figure 5E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 xml:space="preserve"> (C)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 xml:space="preserve"> and Figure 5F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 xml:space="preserve"> (E, F)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>. DNA Damage Antibody Sampler Kit (catalog No. 9947, CST), Phospho-Chk1 (Ser296) Rabbit mAb (catalog No. 90178, CST), Chk1 Rabbit mAb (catalog No. 37010, CST), Mouse-Reactive STING Pathway Antibody Sample (catalog No. 16029, CST) and GAPDH Rabbit mAb (catalog No. 92310, CST) were used for immunoblotting.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 xml:space="preserve"> All primary antibodies were diluted at a ratio of 1:1000 and incubated overnight on a shaker at 4°C. 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>Statistical variations were analyzed utilizing the unpaired t-test. Data are expressed as mean ± SEM (n = 3 per group).*P &lt; 0.05; **P &lt; 0.01; ***P &lt; 0.001; ****P &lt; 0.0001.</w:t>
      </w:r>
    </w:p>
    <w:p>
      <w:pPr>
        <w:bidi w:val="0"/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</w:pPr>
    </w:p>
    <w:p>
      <w:pPr>
        <w:bidi w:val="0"/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</w:pPr>
    </w:p>
    <w:p>
      <w:pPr>
        <w:bidi w:val="0"/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</w:pPr>
    </w:p>
    <w:p>
      <w:pPr>
        <w:bidi w:val="0"/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>Supplementa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Hans"/>
        </w:rPr>
        <w:t>l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en-US"/>
        </w:rPr>
        <w:t xml:space="preserve"> figure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7</w:t>
      </w:r>
    </w:p>
    <w:p>
      <w:pPr>
        <w:bidi w:val="0"/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</w:p>
    <w:p>
      <w:pPr>
        <w:bidi w:val="0"/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73040" cy="5964555"/>
            <wp:effectExtent l="0" t="0" r="10160" b="4445"/>
            <wp:docPr id="5" name="图片 5" descr="figure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S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96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jc w:val="both"/>
        <w:rPr>
          <w:rFonts w:hint="default" w:ascii="Times New Roman Bold" w:hAnsi="Times New Roman Bold" w:cs="Times New Roman Bold"/>
          <w:b/>
          <w:bCs/>
          <w:color w:val="000000"/>
          <w:kern w:val="0"/>
          <w:sz w:val="24"/>
          <w:lang w:bidi="ar"/>
        </w:rPr>
      </w:pPr>
      <w:r>
        <w:rPr>
          <w:rFonts w:hint="default" w:ascii="Times New Roman Bold" w:hAnsi="Times New Roman Bold" w:eastAsia="宋体" w:cs="Times New Roman Bold"/>
          <w:b/>
          <w:bCs/>
          <w:color w:val="000000"/>
          <w:kern w:val="0"/>
          <w:sz w:val="24"/>
          <w:lang w:val="en-US" w:eastAsia="zh-CN" w:bidi="ar"/>
        </w:rPr>
        <w:t>Fig. S7</w:t>
      </w:r>
      <w:bookmarkStart w:id="0" w:name="_GoBack"/>
      <w:bookmarkEnd w:id="0"/>
      <w:r>
        <w:rPr>
          <w:rFonts w:hint="default" w:ascii="Times New Roman Bold" w:hAnsi="Times New Roman Bold" w:eastAsia="TimesNewRomanPS-BoldMT" w:cs="Times New Roman Bold"/>
          <w:b/>
          <w:bCs/>
          <w:color w:val="000000"/>
          <w:kern w:val="0"/>
          <w:sz w:val="24"/>
          <w:lang w:eastAsia="zh-Hans" w:bidi="ar"/>
        </w:rPr>
        <w:t>.</w:t>
      </w:r>
      <w:r>
        <w:rPr>
          <w:rFonts w:hint="eastAsia" w:ascii="Times New Roman Bold" w:hAnsi="Times New Roman Bold" w:eastAsia="宋体" w:cs="Times New Roman Bold"/>
          <w:b/>
          <w:bCs/>
          <w:color w:val="000000"/>
          <w:kern w:val="0"/>
          <w:sz w:val="24"/>
          <w:lang w:val="en-US" w:eastAsia="zh-CN" w:bidi="ar"/>
        </w:rPr>
        <w:t xml:space="preserve"> Images of the </w:t>
      </w:r>
      <w:r>
        <w:rPr>
          <w:rFonts w:hint="default" w:ascii="Times New Roman Bold" w:hAnsi="Times New Roman Bold" w:cs="Times New Roman Bold"/>
          <w:b/>
          <w:bCs/>
          <w:color w:val="000000"/>
          <w:kern w:val="0"/>
          <w:sz w:val="24"/>
          <w:lang w:bidi="ar"/>
        </w:rPr>
        <w:t>Western blot</w:t>
      </w:r>
    </w:p>
    <w:p>
      <w:pPr>
        <w:bidi w:val="0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</w:pPr>
      <w:r>
        <w:rPr>
          <w:rFonts w:hint="eastAsia" w:ascii="Arial" w:hAnsi="Arial" w:cs="Arial"/>
          <w:b w:val="0"/>
          <w:bCs w:val="0"/>
          <w:shd w:val="clear" w:color="auto" w:fill="FFFFFF"/>
          <w:lang w:val="en-US" w:eastAsia="zh-CN"/>
        </w:rPr>
        <w:t>O</w:t>
      </w:r>
      <w:r>
        <w:rPr>
          <w:rFonts w:hint="default" w:ascii="Arial" w:hAnsi="Arial" w:cs="Arial"/>
          <w:b w:val="0"/>
          <w:bCs w:val="0"/>
          <w:shd w:val="clear" w:color="auto" w:fill="FFFFFF"/>
          <w:lang w:val="en-US" w:eastAsia="zh-CN"/>
        </w:rPr>
        <w:t>riginal gels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 xml:space="preserve"> of the Western blots of Figure 2E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 xml:space="preserve"> (A)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, Figure 2F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 xml:space="preserve"> (B)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, Figure 2G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 xml:space="preserve"> (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C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)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, Figure 5E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 xml:space="preserve"> (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D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)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 xml:space="preserve"> and Figure 5F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(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E, F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>)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 xml:space="preserve"> are included. </w:t>
      </w:r>
      <w:r>
        <w:rPr>
          <w:rFonts w:hint="eastAsia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>DNA Damage Antibody Sampler Kit (catalog No. 9947, CST), Mouse-Reactive STING Pathway Antibody Sample (catalog No. 16029, CST), Phospho-Chk1 (Ser296) Rabbit mAb (catalog No. 90178, CST), Chk1 Rabbit mAb (catalog No. 37010, CST), Phospho-Stat3 (Tyr705) Rabbit mAb (catalog No. 9145, CST)，Stat3 Rabbit mAb (catalog No. 30835, CST), β-Actin Antibody (catalog No. 4967, CST) and GAPDH Rabbit mAb (catalog No. 92310, CST) were used for immunoblotting.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highlight w:val="none"/>
          <w:lang w:val="en-US" w:eastAsia="zh-CN" w:bidi="ar"/>
        </w:rPr>
        <w:t xml:space="preserve"> All primary antibodies were diluted at a ratio of 1:1000 and incubated overnight on a shaker at 4°C.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lang w:val="en-US" w:eastAsia="zh-CN" w:bidi="ar"/>
        </w:rPr>
        <w:t xml:space="preserve"> </w:t>
      </w:r>
    </w:p>
    <w:p>
      <w:pPr>
        <w:bidi w:val="0"/>
        <w:rPr>
          <w:rFonts w:ascii="Times New Roman" w:hAnsi="Times New Roman"/>
          <w:b/>
          <w:sz w:val="24"/>
          <w:szCs w:val="24"/>
        </w:rPr>
      </w:pPr>
    </w:p>
    <w:p>
      <w:pPr>
        <w:bidi w:val="0"/>
        <w:rPr>
          <w:rFonts w:hint="default"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 S1</w:t>
      </w:r>
      <w:r>
        <w:rPr>
          <w:rFonts w:hint="default" w:ascii="Times New Roman" w:hAnsi="Times New Roman"/>
          <w:b/>
          <w:sz w:val="24"/>
          <w:szCs w:val="24"/>
        </w:rPr>
        <w:t xml:space="preserve">. Details of Antibodies for Flow Cytometry </w:t>
      </w:r>
    </w:p>
    <w:p>
      <w:pPr>
        <w:bidi w:val="0"/>
        <w:rPr>
          <w:rFonts w:hint="default" w:ascii="Times New Roman" w:hAnsi="Times New Roman"/>
          <w:b/>
          <w:sz w:val="24"/>
          <w:szCs w:val="24"/>
          <w:lang w:eastAsia="zh-TW"/>
        </w:rPr>
      </w:pPr>
    </w:p>
    <w:tbl>
      <w:tblPr>
        <w:tblStyle w:val="6"/>
        <w:tblW w:w="8498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2"/>
        <w:gridCol w:w="2506"/>
        <w:gridCol w:w="3160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4" w:hRule="atLeast"/>
        </w:trPr>
        <w:tc>
          <w:tcPr>
            <w:tcW w:w="283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>
            <w:pPr>
              <w:pStyle w:val="2"/>
              <w:widowControl/>
              <w:wordWrap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 Bold" w:hAnsi="Times New Roman Bold" w:eastAsia="Times" w:cs="Times New Roman Bold"/>
                <w:b/>
                <w:sz w:val="21"/>
                <w:szCs w:val="21"/>
              </w:rPr>
              <w:t>Antibodies</w:t>
            </w:r>
          </w:p>
        </w:tc>
        <w:tc>
          <w:tcPr>
            <w:tcW w:w="2506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>
            <w:pPr>
              <w:wordWrap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1"/>
                <w:szCs w:val="21"/>
              </w:rPr>
              <w:t>Source</w:t>
            </w:r>
          </w:p>
        </w:tc>
        <w:tc>
          <w:tcPr>
            <w:tcW w:w="3160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>
            <w:pPr>
              <w:wordWrap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1"/>
                <w:szCs w:val="21"/>
              </w:rPr>
              <w:t>Identifier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8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Zombie UV™ Fixable Viability Kit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catalog No. 100752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CD16/32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93, catalog No. 103132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CD45- PerCP/Cy5.5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30-F11, catalog No. 103132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CD45-APC/Cy7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30-F11, catalog No. 103116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CD11b-FITC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M1/70, catalog No. 101206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Gr-1- PerCP/Cy5.5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RB6-8C5, catalog No. 108428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F4/80- BV605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BM8, catalog No. 123133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CD11c- PE/Cy7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N418, catalog No. 117318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CD86-BV421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GL-1, catalog No. 105032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MHCII-PE/Cy7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M5/114.15.2, catalog No. 107630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CD8a-PE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53-6.7, catalog No. 100708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CD8-BV510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53-6.7, catalog No. 100752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PD1-BV605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29F.1A12, catalog No.135219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TIM-3-BV421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RMT3-23, catalog No. 119723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CD73-APC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TY/11.8, catalog No. 127209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CD4- FITC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GK1.5, catalog No. 100406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Mouse regulatory T cell staining kit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eBioscience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FJK-16s, catalog No. 88-8118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TNF-α-BV421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MP6-XT22, catalog No. 506328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IFN-γ-PE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XMG1.2, catalog No.505808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5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Granzyme B-APC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Biolegend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clone QA16A02, catalog No. 372203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5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SIINFEKL-PE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 w:eastAsiaTheme="minorEastAsia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18"/>
                <w:highlight w:val="none"/>
                <w:lang w:val="en-US" w:eastAsia="zh-CN"/>
              </w:rPr>
              <w:t>ThermoFisher</w:t>
            </w:r>
          </w:p>
        </w:tc>
        <w:tc>
          <w:tcPr>
            <w:tcW w:w="3160" w:type="dxa"/>
          </w:tcPr>
          <w:p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clone 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eBio25-D1.16 (25-D1.16)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，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catalog No. 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12-5743-82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5" w:hRule="atLeast"/>
        </w:trPr>
        <w:tc>
          <w:tcPr>
            <w:tcW w:w="2832" w:type="dxa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Tetramer-SIINFEKL-PE</w:t>
            </w:r>
          </w:p>
        </w:tc>
        <w:tc>
          <w:tcPr>
            <w:tcW w:w="2506" w:type="dxa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18"/>
                <w:highlight w:val="none"/>
                <w:lang w:val="en-US" w:eastAsia="zh-CN"/>
              </w:rPr>
              <w:t>MBL</w:t>
            </w:r>
          </w:p>
        </w:tc>
        <w:tc>
          <w:tcPr>
            <w:tcW w:w="3160" w:type="dxa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TS-5001-1C</w:t>
            </w:r>
          </w:p>
        </w:tc>
      </w:tr>
    </w:tbl>
    <w:p>
      <w:pPr>
        <w:numPr>
          <w:ilvl w:val="0"/>
          <w:numId w:val="0"/>
        </w:numPr>
        <w:bidi w:val="0"/>
        <w:rPr>
          <w:rFonts w:hint="default"/>
        </w:rPr>
      </w:pPr>
    </w:p>
    <w:p>
      <w:pPr>
        <w:numPr>
          <w:ilvl w:val="0"/>
          <w:numId w:val="0"/>
        </w:numPr>
        <w:bidi w:val="0"/>
        <w:rPr>
          <w:rFonts w:hint="default"/>
        </w:rPr>
      </w:pPr>
    </w:p>
    <w:p>
      <w:pPr>
        <w:numPr>
          <w:ilvl w:val="0"/>
          <w:numId w:val="0"/>
        </w:numPr>
        <w:bidi w:val="0"/>
        <w:rPr>
          <w:rFonts w:hint="default"/>
        </w:rPr>
      </w:pPr>
    </w:p>
    <w:p>
      <w:pPr>
        <w:numPr>
          <w:ilvl w:val="0"/>
          <w:numId w:val="0"/>
        </w:numPr>
        <w:bidi w:val="0"/>
        <w:rPr>
          <w:rFonts w:hint="default"/>
        </w:rPr>
      </w:pPr>
    </w:p>
    <w:p>
      <w:pPr>
        <w:numPr>
          <w:ilvl w:val="0"/>
          <w:numId w:val="0"/>
        </w:numPr>
        <w:bidi w:val="0"/>
        <w:rPr>
          <w:rFonts w:hint="default"/>
        </w:rPr>
      </w:pPr>
    </w:p>
    <w:p>
      <w:pPr>
        <w:numPr>
          <w:ilvl w:val="0"/>
          <w:numId w:val="0"/>
        </w:numPr>
        <w:bidi w:val="0"/>
        <w:rPr>
          <w:rFonts w:hint="default"/>
        </w:rPr>
      </w:pPr>
    </w:p>
    <w:p>
      <w:pPr>
        <w:bidi w:val="0"/>
        <w:rPr>
          <w:rFonts w:hint="default" w:ascii="Times New Roman" w:hAnsi="Times New Roman"/>
          <w:b/>
          <w:sz w:val="24"/>
          <w:szCs w:val="24"/>
          <w:lang w:eastAsia="zh-TW"/>
        </w:rPr>
      </w:pPr>
      <w:r>
        <w:rPr>
          <w:rFonts w:ascii="Times New Roman" w:hAnsi="Times New Roman"/>
          <w:b/>
          <w:sz w:val="24"/>
          <w:szCs w:val="24"/>
        </w:rPr>
        <w:t>Table S</w:t>
      </w:r>
      <w:r>
        <w:rPr>
          <w:rFonts w:hint="default"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Patient and treatment characteristics</w:t>
      </w:r>
      <w:r>
        <w:rPr>
          <w:rFonts w:hint="default" w:ascii="Times New Roman" w:hAnsi="Times New Roman"/>
          <w:b/>
          <w:sz w:val="24"/>
          <w:szCs w:val="24"/>
        </w:rPr>
        <w:t xml:space="preserve"> </w:t>
      </w:r>
    </w:p>
    <w:p/>
    <w:tbl>
      <w:tblPr>
        <w:tblStyle w:val="6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  <w:tcBorders>
              <w:top w:val="single" w:color="auto" w:sz="12" w:space="0"/>
              <w:left w:val="nil"/>
              <w:bottom w:val="nil"/>
              <w:right w:val="nil"/>
              <w:insideV w:val="nil"/>
              <w:tl2br w:val="nil"/>
              <w:tr2bl w:val="nil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zh-Han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0"/>
                <w:lang w:eastAsia="zh-Hans"/>
              </w:rPr>
              <w:t>Variable</w:t>
            </w:r>
          </w:p>
        </w:tc>
        <w:tc>
          <w:tcPr>
            <w:tcW w:w="1420" w:type="dxa"/>
            <w:tcBorders>
              <w:top w:val="single" w:color="auto" w:sz="12" w:space="0"/>
              <w:bottom w:val="nil"/>
              <w:right w:val="nil"/>
              <w:insideV w:val="nil"/>
              <w:tl2br w:val="nil"/>
              <w:tr2bl w:val="nil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zh-Han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0"/>
                <w:lang w:eastAsia="zh-Hans"/>
              </w:rPr>
              <w:t>Category</w:t>
            </w:r>
          </w:p>
        </w:tc>
        <w:tc>
          <w:tcPr>
            <w:tcW w:w="1420" w:type="dxa"/>
            <w:tcBorders>
              <w:top w:val="single" w:color="auto" w:sz="12" w:space="0"/>
              <w:bottom w:val="nil"/>
              <w:right w:val="nil"/>
              <w:insideV w:val="nil"/>
              <w:tl2br w:val="nil"/>
              <w:tr2bl w:val="nil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zh-Han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0"/>
                <w:lang w:eastAsia="zh-Hans"/>
              </w:rPr>
              <w:t>n</w:t>
            </w:r>
          </w:p>
        </w:tc>
        <w:tc>
          <w:tcPr>
            <w:tcW w:w="2841" w:type="dxa"/>
            <w:gridSpan w:val="2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20"/>
                <w:lang w:val="en-US" w:eastAsia="zh-Hans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20"/>
              </w:rPr>
              <w:t>R</w:t>
            </w:r>
            <w:r>
              <w:rPr>
                <w:rFonts w:hint="eastAsia" w:ascii="Times New Roman" w:hAnsi="Times New Roman"/>
                <w:b/>
                <w:bCs/>
                <w:sz w:val="18"/>
                <w:szCs w:val="20"/>
                <w:lang w:val="en-US" w:eastAsia="zh-Hans"/>
              </w:rPr>
              <w:t>esponder</w:t>
            </w:r>
          </w:p>
        </w:tc>
        <w:tc>
          <w:tcPr>
            <w:tcW w:w="1421" w:type="dxa"/>
            <w:tcBorders>
              <w:top w:val="single" w:color="auto" w:sz="12" w:space="0"/>
              <w:bottom w:val="nil"/>
              <w:right w:val="nil"/>
              <w:insideV w:val="nil"/>
              <w:tl2br w:val="nil"/>
              <w:tr2bl w:val="nil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8"/>
                <w:szCs w:val="20"/>
              </w:rPr>
              <w:t>P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  <w:tcBorders>
              <w:top w:val="nil"/>
              <w:bottom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420" w:type="dxa"/>
            <w:tcBorders>
              <w:top w:val="nil"/>
              <w:bottom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420" w:type="dxa"/>
            <w:tcBorders>
              <w:top w:val="nil"/>
              <w:bottom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420" w:type="dxa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zh-Han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20"/>
                <w:lang w:eastAsia="zh-Hans"/>
              </w:rPr>
              <w:t>Good(n=12)</w:t>
            </w:r>
          </w:p>
        </w:tc>
        <w:tc>
          <w:tcPr>
            <w:tcW w:w="1421" w:type="dxa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20"/>
                <w:lang w:eastAsia="zh-Hans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20"/>
                <w:lang w:eastAsia="zh-Hans"/>
              </w:rPr>
              <w:t>P</w:t>
            </w:r>
            <w:r>
              <w:rPr>
                <w:rFonts w:hint="eastAsia" w:ascii="Times New Roman" w:hAnsi="Times New Roman"/>
                <w:b/>
                <w:bCs/>
                <w:sz w:val="18"/>
                <w:szCs w:val="20"/>
                <w:lang w:val="en-US" w:eastAsia="zh-Hans"/>
              </w:rPr>
              <w:t>oor</w:t>
            </w:r>
            <w:r>
              <w:rPr>
                <w:rFonts w:ascii="Times New Roman" w:hAnsi="Times New Roman"/>
                <w:b/>
                <w:bCs/>
                <w:sz w:val="18"/>
                <w:szCs w:val="20"/>
                <w:lang w:eastAsia="zh-Hans"/>
              </w:rPr>
              <w:t>(n=13)</w:t>
            </w:r>
          </w:p>
        </w:tc>
        <w:tc>
          <w:tcPr>
            <w:tcW w:w="1421" w:type="dxa"/>
            <w:tcBorders>
              <w:top w:val="nil"/>
              <w:bottom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  <w:tcBorders>
              <w:top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zh-Hans"/>
              </w:rPr>
              <w:t>Age</w:t>
            </w:r>
          </w:p>
        </w:tc>
        <w:tc>
          <w:tcPr>
            <w:tcW w:w="1420" w:type="dxa"/>
            <w:tcBorders>
              <w:top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&gt;=50</w:t>
            </w:r>
          </w:p>
        </w:tc>
        <w:tc>
          <w:tcPr>
            <w:tcW w:w="1420" w:type="dxa"/>
            <w:tcBorders>
              <w:top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21</w:t>
            </w:r>
          </w:p>
        </w:tc>
        <w:tc>
          <w:tcPr>
            <w:tcW w:w="1420" w:type="dxa"/>
            <w:tcBorders>
              <w:top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10</w:t>
            </w:r>
          </w:p>
        </w:tc>
        <w:tc>
          <w:tcPr>
            <w:tcW w:w="1421" w:type="dxa"/>
            <w:tcBorders>
              <w:top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11</w:t>
            </w:r>
          </w:p>
        </w:tc>
        <w:tc>
          <w:tcPr>
            <w:tcW w:w="1421" w:type="dxa"/>
            <w:tcBorders>
              <w:top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0.930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&lt;50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4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zh-Hans"/>
              </w:rPr>
              <w:t>Gender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  <w:lang w:eastAsia="zh-Hans"/>
              </w:rPr>
              <w:t>Male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17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7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10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0.319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Female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8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5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3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cT stage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T3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20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9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11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0.548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T4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5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3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cN stage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N0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11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5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6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N1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9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6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3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N2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5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4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cM stage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M0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25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12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13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cTNM stage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II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11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5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6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III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14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7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7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Differentiation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Well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3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0.15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Moderate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19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11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8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Poor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3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0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3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TRG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Grade 2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4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4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0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Grade 3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6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6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0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Grade 4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7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Grade 5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0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6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ypT stage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T1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0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0.51</w:t>
            </w:r>
            <w:r>
              <w:rPr>
                <w:rFonts w:hint="default" w:ascii="Times New Roman Regular" w:hAnsi="Times New Roman Regular" w:cs="Times New Roman Regular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T2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T3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10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11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ypN stage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N0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7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7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0.464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N1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3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N2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5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ypM stage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M0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25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12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13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ypTNM stage</w:t>
            </w: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0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0.12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II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5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7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III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5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6</w:t>
            </w:r>
          </w:p>
        </w:tc>
        <w:tc>
          <w:tcPr>
            <w:tcW w:w="1421" w:type="dxa"/>
          </w:tcPr>
          <w:p>
            <w:pPr>
              <w:spacing w:line="360" w:lineRule="exact"/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</w:p>
        </w:tc>
      </w:tr>
    </w:tbl>
    <w:p>
      <w:pPr>
        <w:pStyle w:val="7"/>
        <w:rPr>
          <w:rFonts w:hint="eastAsia" w:ascii="Times New Roman" w:hAnsi="Times New Roman" w:cs="Times New Roman"/>
          <w:sz w:val="24"/>
          <w:szCs w:val="24"/>
          <w:lang w:eastAsia="zh-TW"/>
        </w:rPr>
      </w:pPr>
    </w:p>
    <w:p>
      <w:pPr>
        <w:pStyle w:val="7"/>
        <w:rPr>
          <w:rFonts w:hint="eastAsia" w:ascii="Times New Roman" w:hAnsi="Times New Roman" w:cs="Times New Roman"/>
          <w:sz w:val="24"/>
          <w:szCs w:val="24"/>
          <w:lang w:eastAsia="zh-TW"/>
        </w:rPr>
      </w:pPr>
      <w:r>
        <w:rPr>
          <w:rFonts w:hint="eastAsia" w:ascii="Times New Roman" w:hAnsi="Times New Roman" w:cs="Times New Roman"/>
          <w:sz w:val="24"/>
          <w:szCs w:val="24"/>
          <w:lang w:eastAsia="zh-TW"/>
        </w:rPr>
        <w:t xml:space="preserve">All patients received a combination of short-course radiotherapy followed by sequential chemotherapy. The chemotherapy regimen employed was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CAPOX</w:t>
      </w:r>
      <w:r>
        <w:rPr>
          <w:rFonts w:hint="eastAsia" w:ascii="Times New Roman" w:hAnsi="Times New Roman" w:cs="Times New Roman"/>
          <w:sz w:val="24"/>
          <w:szCs w:val="24"/>
          <w:lang w:eastAsia="zh-TW"/>
        </w:rPr>
        <w:t xml:space="preserve">. The radiotherapy protocol consisted of 5 Gy*5, with the entire radiotherapy treatment completed within one week. </w:t>
      </w:r>
    </w:p>
    <w:p>
      <w:pPr>
        <w:pStyle w:val="7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T</w:t>
      </w:r>
      <w:r>
        <w:rPr>
          <w:rFonts w:ascii="Times New Roman" w:hAnsi="Times New Roman" w:cs="Times New Roman"/>
          <w:sz w:val="24"/>
          <w:szCs w:val="24"/>
        </w:rPr>
        <w:t>umor regression grade</w:t>
      </w:r>
      <w:r>
        <w:rPr>
          <w:rFonts w:hint="default" w:ascii="Times New Roman" w:hAnsi="Times New Roman" w:cs="Times New Roman"/>
          <w:sz w:val="24"/>
          <w:szCs w:val="24"/>
        </w:rPr>
        <w:t xml:space="preserve"> (TRG)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 was defined according to the Mandard system: grade 2, rare residual cancer cells; grade 3, fibrosis outgrowing residual cancer; grade 4, residual cancer outgrowing ﬁbrosis; grade 5, absence of regressive changes</w:t>
      </w:r>
      <w:r>
        <w:rPr>
          <w:rFonts w:hint="default" w:ascii="Times New Roman" w:hAnsi="Times New Roman" w:cs="Times New Roman"/>
          <w:sz w:val="24"/>
          <w:szCs w:val="24"/>
          <w:lang w:eastAsia="zh-TW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Results for continuous variables are expressed as mean </w:t>
      </w:r>
      <w:r>
        <w:rPr>
          <w:rFonts w:ascii="Times New Roman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 standard errors.</w:t>
      </w:r>
    </w:p>
    <w:p>
      <w:pPr>
        <w:numPr>
          <w:ilvl w:val="0"/>
          <w:numId w:val="0"/>
        </w:numPr>
        <w:bidi w:val="0"/>
        <w:rPr>
          <w:rFonts w:hint="default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NewRomanPS-BoldMT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MinionPr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F81D4E"/>
    <w:multiLevelType w:val="singleLevel"/>
    <w:tmpl w:val="F5F81D4E"/>
    <w:lvl w:ilvl="0" w:tentative="0">
      <w:start w:val="1"/>
      <w:numFmt w:val="upperLetter"/>
      <w:suff w:val="space"/>
      <w:lvlText w:val="(%1)"/>
      <w:lvlJc w:val="left"/>
    </w:lvl>
  </w:abstractNum>
  <w:abstractNum w:abstractNumId="1">
    <w:nsid w:val="3F76098A"/>
    <w:multiLevelType w:val="singleLevel"/>
    <w:tmpl w:val="3F76098A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0F47BE"/>
    <w:rsid w:val="3473EC91"/>
    <w:rsid w:val="3DEFC9A4"/>
    <w:rsid w:val="3DF3F4C3"/>
    <w:rsid w:val="3EFD8E31"/>
    <w:rsid w:val="539AC773"/>
    <w:rsid w:val="56431873"/>
    <w:rsid w:val="5DABCB92"/>
    <w:rsid w:val="5EFD69C2"/>
    <w:rsid w:val="5FAB61DA"/>
    <w:rsid w:val="5FCF41CD"/>
    <w:rsid w:val="5FEFB5D2"/>
    <w:rsid w:val="5FF17C6B"/>
    <w:rsid w:val="66D18C36"/>
    <w:rsid w:val="67CB5965"/>
    <w:rsid w:val="67FD37FB"/>
    <w:rsid w:val="6A3FCDA5"/>
    <w:rsid w:val="6BEEF917"/>
    <w:rsid w:val="6F6F787B"/>
    <w:rsid w:val="6F7B3A63"/>
    <w:rsid w:val="7B0F47BE"/>
    <w:rsid w:val="7BEF6E5B"/>
    <w:rsid w:val="7EBE750F"/>
    <w:rsid w:val="7EFFA00E"/>
    <w:rsid w:val="7F5FB21B"/>
    <w:rsid w:val="7FBD94F0"/>
    <w:rsid w:val="7FCA0260"/>
    <w:rsid w:val="7FEBB8A4"/>
    <w:rsid w:val="7FEE7024"/>
    <w:rsid w:val="7FF579F7"/>
    <w:rsid w:val="86AFEB95"/>
    <w:rsid w:val="B7A5FBF1"/>
    <w:rsid w:val="BBFF1C5F"/>
    <w:rsid w:val="BFEF584E"/>
    <w:rsid w:val="CBBCE92E"/>
    <w:rsid w:val="CBEF6CDF"/>
    <w:rsid w:val="D9F6C373"/>
    <w:rsid w:val="DEFFDEF5"/>
    <w:rsid w:val="E7BFFEC3"/>
    <w:rsid w:val="EA1F4F3B"/>
    <w:rsid w:val="EFC1F7D1"/>
    <w:rsid w:val="F7EFF786"/>
    <w:rsid w:val="F7FB71C7"/>
    <w:rsid w:val="F7FD54BE"/>
    <w:rsid w:val="FAF7141E"/>
    <w:rsid w:val="FAFB00AB"/>
    <w:rsid w:val="FB8FC417"/>
    <w:rsid w:val="FBFFD892"/>
    <w:rsid w:val="FE55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table" w:customStyle="1" w:styleId="6">
    <w:name w:val="三线表"/>
    <w:basedOn w:val="3"/>
    <w:qFormat/>
    <w:uiPriority w:val="99"/>
    <w:pPr>
      <w:spacing w:line="360" w:lineRule="exact"/>
      <w:jc w:val="center"/>
    </w:pPr>
    <w:rPr>
      <w:sz w:val="21"/>
    </w:rPr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7">
    <w:name w:val="EndNote Bibliography"/>
    <w:basedOn w:val="1"/>
    <w:qFormat/>
    <w:uiPriority w:val="0"/>
    <w:rPr>
      <w:rFonts w:cs="Calibri"/>
      <w:sz w:val="22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22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2023-09-19T10:14:00Z</dcterms:created>
  <dc:creator>安然</dc:creator>
  <cp:lastModifiedBy>安然</cp:lastModifiedBy>
  <dcterms:modified xsi:type="dcterms:W3CDTF">2024-06-18T09:51:55Z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AA17086CD10575C4E0AEDC650192617C_43</vt:lpwstr>
  </property>
</Properties>
</file>