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AE3A1" w14:textId="2BB8D621" w:rsidR="000A5F9D" w:rsidRDefault="000A5F9D" w:rsidP="000A5F9D">
      <w:pPr>
        <w:pStyle w:val="Heading1"/>
        <w:rPr>
          <w:rFonts w:asciiTheme="minorHAnsi" w:hAnsiTheme="minorHAnsi" w:cstheme="minorHAnsi"/>
          <w:lang w:val="en-US"/>
        </w:rPr>
      </w:pPr>
      <w:r w:rsidRPr="0046055F">
        <w:rPr>
          <w:rFonts w:asciiTheme="minorHAnsi" w:hAnsiTheme="minorHAnsi" w:cstheme="minorHAnsi"/>
          <w:lang w:val="en-US"/>
        </w:rPr>
        <w:t>Supplementary</w:t>
      </w:r>
      <w:r w:rsidR="00734ABC">
        <w:rPr>
          <w:rFonts w:asciiTheme="minorHAnsi" w:hAnsiTheme="minorHAnsi" w:cstheme="minorHAnsi"/>
          <w:lang w:val="en-US"/>
        </w:rPr>
        <w:t xml:space="preserve"> Information</w:t>
      </w:r>
    </w:p>
    <w:p w14:paraId="7B5318A3" w14:textId="6C3722C8" w:rsidR="006C0DDB" w:rsidRPr="000F6643" w:rsidRDefault="006C0DDB" w:rsidP="006C0DDB">
      <w:pPr>
        <w:rPr>
          <w:sz w:val="28"/>
          <w:szCs w:val="28"/>
          <w:lang w:val="en-US"/>
        </w:rPr>
      </w:pPr>
      <w:r w:rsidRPr="000F6643">
        <w:rPr>
          <w:sz w:val="28"/>
          <w:szCs w:val="28"/>
          <w:lang w:val="en-US"/>
        </w:rPr>
        <w:t>Characterization of Regulated Cancer Cell Death Pathways Induced by the Different Modalities of Non-Thermal Plasma Treatment</w:t>
      </w:r>
    </w:p>
    <w:p w14:paraId="6CFB766B" w14:textId="27B5A56C" w:rsidR="006C0DDB" w:rsidRDefault="006C0DDB" w:rsidP="006C0DDB">
      <w:pPr>
        <w:rPr>
          <w:lang w:val="en-US"/>
        </w:rPr>
      </w:pPr>
      <w:r w:rsidRPr="006C0DDB">
        <w:rPr>
          <w:lang w:val="en-US"/>
        </w:rPr>
        <w:t>Eline Biscop</w:t>
      </w:r>
      <w:r w:rsidRPr="000F6643">
        <w:rPr>
          <w:vertAlign w:val="superscript"/>
          <w:lang w:val="en-US"/>
        </w:rPr>
        <w:t>1,2</w:t>
      </w:r>
      <w:r w:rsidR="00760F89">
        <w:rPr>
          <w:vertAlign w:val="superscript"/>
          <w:lang w:val="en-US"/>
        </w:rPr>
        <w:t>*</w:t>
      </w:r>
      <w:r w:rsidRPr="006C0DDB">
        <w:rPr>
          <w:lang w:val="en-US"/>
        </w:rPr>
        <w:t>, Jana Baroen</w:t>
      </w:r>
      <w:r w:rsidRPr="000F6643">
        <w:rPr>
          <w:vertAlign w:val="superscript"/>
          <w:lang w:val="en-US"/>
        </w:rPr>
        <w:t>1,2</w:t>
      </w:r>
      <w:r w:rsidRPr="006C0DDB">
        <w:rPr>
          <w:lang w:val="en-US"/>
        </w:rPr>
        <w:t>, Joey De Backer</w:t>
      </w:r>
      <w:r w:rsidRPr="000F6643">
        <w:rPr>
          <w:vertAlign w:val="superscript"/>
          <w:lang w:val="en-US"/>
        </w:rPr>
        <w:t>3</w:t>
      </w:r>
      <w:r w:rsidRPr="006C0DDB">
        <w:rPr>
          <w:lang w:val="en-US"/>
        </w:rPr>
        <w:t>, Wim Vanden Berghe</w:t>
      </w:r>
      <w:r w:rsidRPr="000F6643">
        <w:rPr>
          <w:vertAlign w:val="superscript"/>
          <w:lang w:val="en-US"/>
        </w:rPr>
        <w:t>3</w:t>
      </w:r>
      <w:r w:rsidRPr="006C0DDB">
        <w:rPr>
          <w:lang w:val="en-US"/>
        </w:rPr>
        <w:t>, Evelien Smits</w:t>
      </w:r>
      <w:r w:rsidRPr="000F6643">
        <w:rPr>
          <w:vertAlign w:val="superscript"/>
          <w:lang w:val="en-US"/>
        </w:rPr>
        <w:t>2</w:t>
      </w:r>
      <w:r w:rsidRPr="006C0DDB">
        <w:rPr>
          <w:lang w:val="en-US"/>
        </w:rPr>
        <w:t>, Annemie Bogaerts</w:t>
      </w:r>
      <w:r w:rsidRPr="000F6643">
        <w:rPr>
          <w:vertAlign w:val="superscript"/>
          <w:lang w:val="en-US"/>
        </w:rPr>
        <w:t>1</w:t>
      </w:r>
      <w:r w:rsidRPr="006C0DDB">
        <w:rPr>
          <w:lang w:val="en-US"/>
        </w:rPr>
        <w:t>, Abraham Lin</w:t>
      </w:r>
      <w:r w:rsidRPr="000F6643">
        <w:rPr>
          <w:vertAlign w:val="superscript"/>
          <w:lang w:val="en-US"/>
        </w:rPr>
        <w:t>1,2</w:t>
      </w:r>
    </w:p>
    <w:p w14:paraId="075E91EE" w14:textId="1B8314B6" w:rsidR="006C0DDB" w:rsidRPr="006C0DDB" w:rsidRDefault="006C0DDB" w:rsidP="000F6643">
      <w:pPr>
        <w:spacing w:after="0" w:line="240" w:lineRule="auto"/>
        <w:rPr>
          <w:lang w:val="en-US"/>
        </w:rPr>
      </w:pPr>
      <w:r w:rsidRPr="007845B0">
        <w:rPr>
          <w:vertAlign w:val="superscript"/>
          <w:lang w:val="en-US"/>
        </w:rPr>
        <w:t>1</w:t>
      </w:r>
      <w:r w:rsidRPr="006C0DDB">
        <w:rPr>
          <w:lang w:val="en-US"/>
        </w:rPr>
        <w:t>PLASMANT, Department of Chemistry, University of Antwerp, Antwerp, Belgium</w:t>
      </w:r>
    </w:p>
    <w:p w14:paraId="5211089D" w14:textId="0EBE49E2" w:rsidR="006C0DDB" w:rsidRPr="006C0DDB" w:rsidRDefault="006C0DDB" w:rsidP="000F6643">
      <w:pPr>
        <w:spacing w:after="0" w:line="240" w:lineRule="auto"/>
        <w:rPr>
          <w:lang w:val="en-US"/>
        </w:rPr>
      </w:pPr>
      <w:r w:rsidRPr="007845B0">
        <w:rPr>
          <w:vertAlign w:val="superscript"/>
          <w:lang w:val="en-US"/>
        </w:rPr>
        <w:t>2</w:t>
      </w:r>
      <w:r w:rsidRPr="006C0DDB">
        <w:rPr>
          <w:lang w:val="en-US"/>
        </w:rPr>
        <w:t>Center for Oncological Research – Integrated Personalized &amp; Precision Oncology Network (IPPON), University of Antwerp, Antwerp, Belgium</w:t>
      </w:r>
    </w:p>
    <w:p w14:paraId="19021102" w14:textId="35252CAF" w:rsidR="007845B0" w:rsidRPr="007845B0" w:rsidRDefault="006C0DDB" w:rsidP="007845B0">
      <w:pPr>
        <w:spacing w:after="0" w:line="240" w:lineRule="auto"/>
        <w:rPr>
          <w:lang w:val="en-US"/>
        </w:rPr>
      </w:pPr>
      <w:r w:rsidRPr="007845B0">
        <w:rPr>
          <w:vertAlign w:val="superscript"/>
          <w:lang w:val="en-US"/>
        </w:rPr>
        <w:t>3</w:t>
      </w:r>
      <w:r w:rsidRPr="006C0DDB">
        <w:rPr>
          <w:lang w:val="en-US"/>
        </w:rPr>
        <w:t>Protein Chemistry, Proteomics, and Epigenetic Signaling, University of Antwerp, Antwerp, Belgium</w:t>
      </w:r>
    </w:p>
    <w:p w14:paraId="658AFB23" w14:textId="77777777" w:rsidR="007845B0" w:rsidRDefault="007845B0" w:rsidP="007845B0">
      <w:pPr>
        <w:spacing w:after="0" w:line="240" w:lineRule="auto"/>
        <w:jc w:val="both"/>
        <w:rPr>
          <w:sz w:val="24"/>
          <w:szCs w:val="24"/>
          <w:vertAlign w:val="superscript"/>
          <w:lang w:val="en-US"/>
        </w:rPr>
      </w:pPr>
    </w:p>
    <w:p w14:paraId="792F1D67" w14:textId="22074979" w:rsidR="007845B0" w:rsidRDefault="007845B0" w:rsidP="007845B0">
      <w:pPr>
        <w:spacing w:line="240" w:lineRule="auto"/>
        <w:jc w:val="both"/>
        <w:rPr>
          <w:sz w:val="24"/>
          <w:szCs w:val="24"/>
          <w:lang w:val="en-US"/>
        </w:rPr>
      </w:pPr>
      <w:r w:rsidRPr="00CB0063">
        <w:rPr>
          <w:sz w:val="24"/>
          <w:szCs w:val="24"/>
          <w:vertAlign w:val="superscript"/>
          <w:lang w:val="en-US"/>
        </w:rPr>
        <w:t>*</w:t>
      </w:r>
      <w:r>
        <w:rPr>
          <w:sz w:val="24"/>
          <w:szCs w:val="24"/>
          <w:lang w:val="en-US"/>
        </w:rPr>
        <w:t xml:space="preserve">corresponding author email: </w:t>
      </w:r>
      <w:hyperlink r:id="rId10" w:history="1">
        <w:r w:rsidRPr="00A510E1">
          <w:rPr>
            <w:rStyle w:val="Hyperlink"/>
            <w:sz w:val="24"/>
            <w:szCs w:val="24"/>
            <w:lang w:val="en-US"/>
          </w:rPr>
          <w:t>eline.biscop@uantwerpen.be</w:t>
        </w:r>
      </w:hyperlink>
    </w:p>
    <w:p w14:paraId="1A4C91D3" w14:textId="29DED13A" w:rsidR="00D8363B" w:rsidRPr="00D8363B" w:rsidRDefault="00D8363B" w:rsidP="007845B0">
      <w:pPr>
        <w:spacing w:line="240" w:lineRule="auto"/>
        <w:jc w:val="both"/>
        <w:rPr>
          <w:sz w:val="24"/>
          <w:szCs w:val="24"/>
          <w:lang w:val="en-US"/>
        </w:rPr>
      </w:pPr>
      <w:r w:rsidRPr="00D8363B">
        <w:rPr>
          <w:sz w:val="24"/>
          <w:szCs w:val="24"/>
          <w:vertAlign w:val="superscript"/>
          <w:lang w:val="en-US"/>
        </w:rPr>
        <w:t>*</w:t>
      </w:r>
      <w:r>
        <w:rPr>
          <w:sz w:val="24"/>
          <w:szCs w:val="24"/>
          <w:lang w:val="en-US"/>
        </w:rPr>
        <w:t xml:space="preserve">corresponding author email: </w:t>
      </w:r>
      <w:hyperlink r:id="rId11" w:history="1">
        <w:r w:rsidRPr="00ED6F4B">
          <w:rPr>
            <w:rStyle w:val="Hyperlink"/>
            <w:sz w:val="24"/>
            <w:szCs w:val="24"/>
            <w:lang w:val="en-US"/>
          </w:rPr>
          <w:t>abraham.lin@uantwerpen.be</w:t>
        </w:r>
      </w:hyperlink>
      <w:r>
        <w:rPr>
          <w:sz w:val="24"/>
          <w:szCs w:val="24"/>
          <w:lang w:val="en-US"/>
        </w:rPr>
        <w:t xml:space="preserve"> </w:t>
      </w:r>
    </w:p>
    <w:p w14:paraId="1A544577" w14:textId="33E6FCDA" w:rsidR="002E6309" w:rsidRDefault="002E6309" w:rsidP="000F6643">
      <w:pPr>
        <w:spacing w:after="0" w:line="240" w:lineRule="auto"/>
        <w:rPr>
          <w:rFonts w:cstheme="minorHAnsi"/>
          <w:b/>
          <w:bCs/>
          <w:lang w:val="en-US"/>
        </w:rPr>
      </w:pPr>
    </w:p>
    <w:p w14:paraId="152B82A4" w14:textId="0F214E7F" w:rsidR="000A5F9D" w:rsidRPr="0046055F" w:rsidRDefault="000A5F9D" w:rsidP="000A5F9D">
      <w:pPr>
        <w:spacing w:line="276" w:lineRule="auto"/>
        <w:jc w:val="both"/>
        <w:rPr>
          <w:rFonts w:cstheme="minorHAnsi"/>
          <w:b/>
          <w:bCs/>
          <w:lang w:val="en-US"/>
        </w:rPr>
      </w:pPr>
      <w:r w:rsidRPr="0046055F">
        <w:rPr>
          <w:rFonts w:cstheme="minorHAnsi"/>
          <w:b/>
          <w:bCs/>
          <w:lang w:val="en-US"/>
        </w:rPr>
        <w:t>1</w:t>
      </w:r>
      <w:r w:rsidR="00EE3AA4">
        <w:rPr>
          <w:rFonts w:cstheme="minorHAnsi"/>
          <w:b/>
          <w:bCs/>
          <w:lang w:val="en-US"/>
        </w:rPr>
        <w:t xml:space="preserve">. </w:t>
      </w:r>
      <w:r w:rsidRPr="0046055F">
        <w:rPr>
          <w:rFonts w:cstheme="minorHAnsi"/>
          <w:b/>
          <w:bCs/>
          <w:lang w:val="en-US"/>
        </w:rPr>
        <w:t>Optimizing the PTL ratio for SK-MEL-28</w:t>
      </w:r>
    </w:p>
    <w:p w14:paraId="413F7777" w14:textId="2B9A0465" w:rsidR="000A5F9D" w:rsidRPr="0037087D" w:rsidRDefault="000A5F9D" w:rsidP="008B34AE">
      <w:pPr>
        <w:spacing w:after="120" w:line="360" w:lineRule="auto"/>
        <w:jc w:val="both"/>
        <w:rPr>
          <w:rFonts w:cstheme="minorHAnsi"/>
          <w:lang w:val="en-US"/>
        </w:rPr>
      </w:pPr>
      <w:r w:rsidRPr="0046055F">
        <w:rPr>
          <w:rFonts w:cstheme="minorHAnsi"/>
          <w:lang w:val="en-US"/>
        </w:rPr>
        <w:t xml:space="preserve">During the cell death kinetics experiments, we noted that SK-MEL-28 exhibited greater resistance to </w:t>
      </w:r>
      <w:r w:rsidR="00BE6F8D">
        <w:rPr>
          <w:rFonts w:cstheme="minorHAnsi"/>
          <w:lang w:val="en-US"/>
        </w:rPr>
        <w:t>NTP</w:t>
      </w:r>
      <w:r w:rsidR="00BE6F8D" w:rsidRPr="0046055F">
        <w:rPr>
          <w:rFonts w:cstheme="minorHAnsi"/>
          <w:lang w:val="en-US"/>
        </w:rPr>
        <w:t xml:space="preserve"> </w:t>
      </w:r>
      <w:r w:rsidRPr="0046055F">
        <w:rPr>
          <w:rFonts w:cstheme="minorHAnsi"/>
          <w:lang w:val="en-US"/>
        </w:rPr>
        <w:t xml:space="preserve">treatment, </w:t>
      </w:r>
      <w:r w:rsidR="00BE6F8D">
        <w:rPr>
          <w:rFonts w:cstheme="minorHAnsi"/>
          <w:lang w:val="en-US"/>
        </w:rPr>
        <w:t xml:space="preserve">thus </w:t>
      </w:r>
      <w:r w:rsidRPr="0046055F">
        <w:rPr>
          <w:rFonts w:cstheme="minorHAnsi"/>
          <w:lang w:val="en-US"/>
        </w:rPr>
        <w:t>requiring a higher NTP dose for cytotoxicity induction compared to A375. We examined varying volumes of PTL in combination with 150 µL of cell culture medium, resulting in PTL:Medium ratios of 1:6, 2:7, 3:8, 4:9, and 1:2</w:t>
      </w:r>
      <w:r w:rsidR="00760F89">
        <w:rPr>
          <w:rFonts w:cstheme="minorHAnsi"/>
          <w:lang w:val="en-US"/>
        </w:rPr>
        <w:t xml:space="preserve"> (</w:t>
      </w:r>
      <w:r w:rsidR="00760F89">
        <w:rPr>
          <w:rFonts w:cstheme="minorHAnsi"/>
          <w:b/>
          <w:bCs/>
          <w:lang w:val="en-US"/>
        </w:rPr>
        <w:t>Figure S1</w:t>
      </w:r>
      <w:r w:rsidR="00760F89">
        <w:rPr>
          <w:rFonts w:cstheme="minorHAnsi"/>
          <w:lang w:val="en-US"/>
        </w:rPr>
        <w:t>)</w:t>
      </w:r>
      <w:r w:rsidRPr="0046055F">
        <w:rPr>
          <w:rFonts w:cstheme="minorHAnsi"/>
          <w:lang w:val="en-US"/>
        </w:rPr>
        <w:t xml:space="preserve">. Among these, the 2:7 ratio displayed the most favorable dose-response pattern </w:t>
      </w:r>
      <w:r w:rsidRPr="000F6643">
        <w:rPr>
          <w:rFonts w:cstheme="minorHAnsi"/>
          <w:b/>
          <w:bCs/>
          <w:lang w:val="en-US"/>
        </w:rPr>
        <w:t>(</w:t>
      </w:r>
      <w:r w:rsidR="00BE6F8D">
        <w:rPr>
          <w:rFonts w:cstheme="minorHAnsi"/>
          <w:b/>
          <w:bCs/>
          <w:lang w:val="en-US"/>
        </w:rPr>
        <w:t>Figure S1b</w:t>
      </w:r>
      <w:r w:rsidRPr="000F6643">
        <w:rPr>
          <w:rFonts w:cstheme="minorHAnsi"/>
          <w:b/>
          <w:bCs/>
          <w:lang w:val="en-US"/>
        </w:rPr>
        <w:t>),</w:t>
      </w:r>
      <w:r w:rsidRPr="0046055F">
        <w:rPr>
          <w:rFonts w:cstheme="minorHAnsi"/>
          <w:lang w:val="en-US"/>
        </w:rPr>
        <w:t xml:space="preserve"> prompting us to select </w:t>
      </w:r>
      <w:r w:rsidR="00BE6F8D">
        <w:rPr>
          <w:rFonts w:cstheme="minorHAnsi"/>
          <w:lang w:val="en-US"/>
        </w:rPr>
        <w:t>this</w:t>
      </w:r>
      <w:r w:rsidR="00BE6F8D" w:rsidRPr="0046055F">
        <w:rPr>
          <w:rFonts w:cstheme="minorHAnsi"/>
          <w:lang w:val="en-US"/>
        </w:rPr>
        <w:t xml:space="preserve"> </w:t>
      </w:r>
      <w:r w:rsidRPr="0046055F">
        <w:rPr>
          <w:rFonts w:cstheme="minorHAnsi"/>
          <w:lang w:val="en-US"/>
        </w:rPr>
        <w:t>condition</w:t>
      </w:r>
      <w:r w:rsidR="00BE6F8D">
        <w:rPr>
          <w:rFonts w:cstheme="minorHAnsi"/>
          <w:lang w:val="en-US"/>
        </w:rPr>
        <w:t xml:space="preserve">, with the corresponding </w:t>
      </w:r>
      <w:r w:rsidR="00BE6F8D" w:rsidRPr="0037087D">
        <w:rPr>
          <w:rFonts w:cstheme="minorHAnsi"/>
          <w:lang w:val="en-US"/>
        </w:rPr>
        <w:t>treatment times,</w:t>
      </w:r>
      <w:r w:rsidRPr="0037087D">
        <w:rPr>
          <w:rFonts w:cstheme="minorHAnsi"/>
          <w:lang w:val="en-US"/>
        </w:rPr>
        <w:t xml:space="preserve"> for subsequent experiments.</w:t>
      </w:r>
    </w:p>
    <w:p w14:paraId="3AD6D850" w14:textId="77777777" w:rsidR="000A5F9D" w:rsidRPr="0037087D" w:rsidRDefault="000A5F9D" w:rsidP="000A5F9D">
      <w:pPr>
        <w:keepNext/>
        <w:spacing w:after="120" w:line="276" w:lineRule="auto"/>
        <w:jc w:val="center"/>
        <w:rPr>
          <w:rFonts w:cstheme="minorHAnsi"/>
        </w:rPr>
      </w:pPr>
      <w:r w:rsidRPr="0037087D">
        <w:rPr>
          <w:rFonts w:cstheme="minorHAnsi"/>
          <w:noProof/>
          <w:lang w:eastAsia="nl-BE"/>
        </w:rPr>
        <w:drawing>
          <wp:inline distT="0" distB="0" distL="0" distR="0" wp14:anchorId="13C2B302" wp14:editId="7D6518EC">
            <wp:extent cx="3552488" cy="3166110"/>
            <wp:effectExtent l="0" t="0" r="0" b="0"/>
            <wp:docPr id="14349" name="Picture 14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06029" cy="3213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544DC" w14:textId="12509143" w:rsidR="000A5F9D" w:rsidRPr="0037087D" w:rsidRDefault="000A5F9D" w:rsidP="000A5F9D">
      <w:pPr>
        <w:pStyle w:val="Caption"/>
        <w:rPr>
          <w:rFonts w:asciiTheme="minorHAnsi" w:hAnsiTheme="minorHAnsi" w:cstheme="minorHAnsi"/>
          <w:i w:val="0"/>
          <w:iCs w:val="0"/>
          <w:color w:val="auto"/>
        </w:rPr>
      </w:pPr>
      <w:r w:rsidRPr="0037087D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t xml:space="preserve">Figure S1 </w:t>
      </w:r>
      <w:r w:rsidRPr="0037087D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Percentage of cell death </w:t>
      </w:r>
      <w:r w:rsidR="00BE6F8D" w:rsidRPr="0037087D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over </w:t>
      </w:r>
      <w:r w:rsidRPr="0037087D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time post </w:t>
      </w:r>
      <w:r w:rsidR="00BE6F8D" w:rsidRPr="0037087D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NTP treatment of</w:t>
      </w:r>
      <w:r w:rsidRPr="0037087D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SK-MEL-28 for optimization of the </w:t>
      </w:r>
      <w:r w:rsidR="00775896" w:rsidRPr="0037087D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PTL </w:t>
      </w:r>
      <w:r w:rsidRPr="0037087D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ratio for cell death kinetics experiments.</w:t>
      </w:r>
      <w:r w:rsidR="00775896" w:rsidRPr="0037087D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PTL was</w:t>
      </w:r>
      <w:r w:rsidRPr="0037087D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added to the cells in a ratio of </w:t>
      </w:r>
      <w:r w:rsidRPr="0037087D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t>a</w:t>
      </w:r>
      <w:r w:rsidRPr="0037087D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1:6, </w:t>
      </w:r>
      <w:r w:rsidRPr="0037087D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t>b</w:t>
      </w:r>
      <w:r w:rsidRPr="0037087D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2:7, </w:t>
      </w:r>
      <w:r w:rsidRPr="0037087D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t>c</w:t>
      </w:r>
      <w:r w:rsidRPr="0037087D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3:8, </w:t>
      </w:r>
      <w:r w:rsidRPr="0037087D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t>d</w:t>
      </w:r>
      <w:r w:rsidRPr="0037087D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4:9</w:t>
      </w:r>
      <w:r w:rsidR="00775896" w:rsidRPr="0037087D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,</w:t>
      </w:r>
      <w:r w:rsidRPr="0037087D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and </w:t>
      </w:r>
      <w:r w:rsidRPr="0037087D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t>e</w:t>
      </w:r>
      <w:r w:rsidRPr="0037087D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1:2. </w:t>
      </w:r>
      <w:r w:rsidRPr="0037087D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GB"/>
        </w:rPr>
        <w:t xml:space="preserve">The </w:t>
      </w:r>
      <w:r w:rsidR="00775896" w:rsidRPr="0037087D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GB"/>
        </w:rPr>
        <w:lastRenderedPageBreak/>
        <w:t xml:space="preserve">durations for which PBS was exposed to NTP </w:t>
      </w:r>
      <w:r w:rsidRPr="0037087D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GB"/>
        </w:rPr>
        <w:t xml:space="preserve">are shown in the legend </w:t>
      </w:r>
      <w:r w:rsidR="00BE6F8D" w:rsidRPr="0037087D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GB"/>
        </w:rPr>
        <w:t xml:space="preserve">in </w:t>
      </w:r>
      <w:r w:rsidRPr="0037087D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GB"/>
        </w:rPr>
        <w:t>minutes. The vehicle</w:t>
      </w:r>
      <w:r w:rsidR="00BE6F8D" w:rsidRPr="0037087D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GB"/>
        </w:rPr>
        <w:t xml:space="preserve"> (untreated PBS)</w:t>
      </w:r>
      <w:r w:rsidRPr="0037087D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GB"/>
        </w:rPr>
        <w:t xml:space="preserve"> </w:t>
      </w:r>
      <w:r w:rsidR="002677FE" w:rsidRPr="0037087D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GB"/>
        </w:rPr>
        <w:t>was</w:t>
      </w:r>
      <w:r w:rsidRPr="0037087D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GB"/>
        </w:rPr>
        <w:t xml:space="preserve"> </w:t>
      </w:r>
      <w:r w:rsidR="00BE6F8D" w:rsidRPr="0037087D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GB"/>
        </w:rPr>
        <w:t xml:space="preserve">defined </w:t>
      </w:r>
      <w:r w:rsidRPr="0037087D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GB"/>
        </w:rPr>
        <w:t xml:space="preserve">as </w:t>
      </w:r>
      <w:r w:rsidR="00BE6F8D" w:rsidRPr="0037087D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GB"/>
        </w:rPr>
        <w:t>‘U</w:t>
      </w:r>
      <w:r w:rsidRPr="0037087D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GB"/>
        </w:rPr>
        <w:t>ntreated</w:t>
      </w:r>
      <w:r w:rsidR="00BE6F8D" w:rsidRPr="0037087D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GB"/>
        </w:rPr>
        <w:t>’</w:t>
      </w:r>
      <w:r w:rsidRPr="0037087D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GB"/>
        </w:rPr>
        <w:t xml:space="preserve"> in the legend.</w:t>
      </w:r>
    </w:p>
    <w:p w14:paraId="199F96EC" w14:textId="12040303" w:rsidR="000A5F9D" w:rsidRPr="0037087D" w:rsidRDefault="000A5F9D" w:rsidP="000A5F9D">
      <w:pPr>
        <w:spacing w:line="276" w:lineRule="auto"/>
        <w:jc w:val="both"/>
        <w:rPr>
          <w:rFonts w:cstheme="minorHAnsi"/>
          <w:b/>
          <w:bCs/>
          <w:lang w:val="en-US"/>
        </w:rPr>
      </w:pPr>
      <w:r w:rsidRPr="0037087D">
        <w:rPr>
          <w:rFonts w:cstheme="minorHAnsi"/>
          <w:b/>
          <w:bCs/>
          <w:lang w:val="en-US"/>
        </w:rPr>
        <w:t>2. Baseline MLKL expression in A375 and SK-MEL-28</w:t>
      </w:r>
    </w:p>
    <w:p w14:paraId="1A6D9DE6" w14:textId="110EA131" w:rsidR="000A5F9D" w:rsidRPr="0037087D" w:rsidRDefault="000A5F9D" w:rsidP="008B34AE">
      <w:pPr>
        <w:spacing w:line="360" w:lineRule="auto"/>
        <w:jc w:val="both"/>
        <w:rPr>
          <w:rFonts w:cstheme="minorHAnsi"/>
          <w:lang w:val="en-US"/>
        </w:rPr>
      </w:pPr>
      <w:r w:rsidRPr="0037087D">
        <w:rPr>
          <w:rFonts w:cstheme="minorHAnsi"/>
          <w:lang w:val="en-US"/>
        </w:rPr>
        <w:t>Different response in MLKL phosphorylation w</w:t>
      </w:r>
      <w:r w:rsidR="00A02644" w:rsidRPr="0037087D">
        <w:rPr>
          <w:rFonts w:cstheme="minorHAnsi"/>
          <w:lang w:val="en-US"/>
        </w:rPr>
        <w:t>as</w:t>
      </w:r>
      <w:r w:rsidRPr="0037087D">
        <w:rPr>
          <w:rFonts w:cstheme="minorHAnsi"/>
          <w:lang w:val="en-US"/>
        </w:rPr>
        <w:t xml:space="preserve"> found in </w:t>
      </w:r>
      <w:r w:rsidR="00C26C3D" w:rsidRPr="0037087D">
        <w:rPr>
          <w:rFonts w:cstheme="minorHAnsi"/>
          <w:lang w:val="en-US"/>
        </w:rPr>
        <w:t xml:space="preserve">the 2 melanoma </w:t>
      </w:r>
      <w:r w:rsidRPr="0037087D">
        <w:rPr>
          <w:rFonts w:cstheme="minorHAnsi"/>
          <w:lang w:val="en-US"/>
        </w:rPr>
        <w:t xml:space="preserve">cell lines. To investigate these different responses, we evaluated the baseline expression of MLKL for both cell lines using </w:t>
      </w:r>
      <w:r w:rsidR="002C0C0B" w:rsidRPr="0037087D">
        <w:rPr>
          <w:rFonts w:cstheme="minorHAnsi"/>
          <w:lang w:val="en-US"/>
        </w:rPr>
        <w:t>w</w:t>
      </w:r>
      <w:r w:rsidRPr="0037087D">
        <w:rPr>
          <w:rFonts w:cstheme="minorHAnsi"/>
          <w:lang w:val="en-US"/>
        </w:rPr>
        <w:t xml:space="preserve">estern </w:t>
      </w:r>
      <w:r w:rsidR="002C0C0B" w:rsidRPr="0037087D">
        <w:rPr>
          <w:rFonts w:cstheme="minorHAnsi"/>
          <w:lang w:val="en-US"/>
        </w:rPr>
        <w:t>b</w:t>
      </w:r>
      <w:r w:rsidRPr="0037087D">
        <w:rPr>
          <w:rFonts w:cstheme="minorHAnsi"/>
          <w:lang w:val="en-US"/>
        </w:rPr>
        <w:t xml:space="preserve">lotting. We observed that </w:t>
      </w:r>
      <w:r w:rsidR="00C26C3D" w:rsidRPr="0037087D">
        <w:rPr>
          <w:rFonts w:cstheme="minorHAnsi"/>
          <w:lang w:val="en-US"/>
        </w:rPr>
        <w:t xml:space="preserve">the </w:t>
      </w:r>
      <w:r w:rsidRPr="0037087D">
        <w:rPr>
          <w:rFonts w:cstheme="minorHAnsi"/>
          <w:lang w:val="en-US"/>
        </w:rPr>
        <w:t xml:space="preserve">A375 </w:t>
      </w:r>
      <w:r w:rsidR="00C26C3D" w:rsidRPr="0037087D">
        <w:rPr>
          <w:rFonts w:cstheme="minorHAnsi"/>
          <w:lang w:val="en-US"/>
        </w:rPr>
        <w:t xml:space="preserve">cells </w:t>
      </w:r>
      <w:r w:rsidRPr="0037087D">
        <w:rPr>
          <w:rFonts w:cstheme="minorHAnsi"/>
          <w:lang w:val="en-US"/>
        </w:rPr>
        <w:t>ha</w:t>
      </w:r>
      <w:r w:rsidR="00C26C3D" w:rsidRPr="0037087D">
        <w:rPr>
          <w:rFonts w:cstheme="minorHAnsi"/>
          <w:lang w:val="en-US"/>
        </w:rPr>
        <w:t>d</w:t>
      </w:r>
      <w:r w:rsidRPr="0037087D">
        <w:rPr>
          <w:rFonts w:cstheme="minorHAnsi"/>
          <w:lang w:val="en-US"/>
        </w:rPr>
        <w:t xml:space="preserve"> a higher basal expression of MLKL</w:t>
      </w:r>
      <w:r w:rsidR="00C26C3D" w:rsidRPr="0037087D">
        <w:rPr>
          <w:rFonts w:cstheme="minorHAnsi"/>
          <w:lang w:val="en-US"/>
        </w:rPr>
        <w:t xml:space="preserve"> compared to SK-MEL-28 cells</w:t>
      </w:r>
      <w:r w:rsidR="000A6CEB" w:rsidRPr="0037087D">
        <w:rPr>
          <w:rFonts w:cstheme="minorHAnsi"/>
          <w:lang w:val="en-US"/>
        </w:rPr>
        <w:t xml:space="preserve"> (</w:t>
      </w:r>
      <w:r w:rsidR="000A6CEB" w:rsidRPr="0037087D">
        <w:rPr>
          <w:rFonts w:cstheme="minorHAnsi"/>
          <w:b/>
          <w:bCs/>
          <w:lang w:val="en-US"/>
        </w:rPr>
        <w:t>Figure S2</w:t>
      </w:r>
      <w:r w:rsidR="00975F5A">
        <w:rPr>
          <w:rFonts w:cstheme="minorHAnsi"/>
          <w:b/>
          <w:bCs/>
          <w:lang w:val="en-US"/>
        </w:rPr>
        <w:t>a</w:t>
      </w:r>
      <w:r w:rsidR="000A6CEB" w:rsidRPr="0037087D">
        <w:rPr>
          <w:rFonts w:cstheme="minorHAnsi"/>
          <w:lang w:val="en-US"/>
        </w:rPr>
        <w:t>)</w:t>
      </w:r>
      <w:r w:rsidRPr="0037087D">
        <w:rPr>
          <w:rFonts w:cstheme="minorHAnsi"/>
          <w:lang w:val="en-US"/>
        </w:rPr>
        <w:t xml:space="preserve">, </w:t>
      </w:r>
      <w:r w:rsidR="00C26C3D" w:rsidRPr="0037087D">
        <w:rPr>
          <w:rFonts w:cstheme="minorHAnsi"/>
          <w:lang w:val="en-US"/>
        </w:rPr>
        <w:t xml:space="preserve">which could contribute to </w:t>
      </w:r>
      <w:r w:rsidRPr="0037087D">
        <w:rPr>
          <w:rFonts w:cstheme="minorHAnsi"/>
          <w:lang w:val="en-US"/>
        </w:rPr>
        <w:t>the augmented MLKL phosphorylation</w:t>
      </w:r>
      <w:r w:rsidR="00C26C3D" w:rsidRPr="0037087D">
        <w:rPr>
          <w:rFonts w:cstheme="minorHAnsi"/>
          <w:lang w:val="en-US"/>
        </w:rPr>
        <w:t xml:space="preserve"> expression following NTP treatment (</w:t>
      </w:r>
      <w:r w:rsidR="00C26C3D" w:rsidRPr="0037087D">
        <w:rPr>
          <w:rFonts w:cstheme="minorHAnsi"/>
          <w:b/>
          <w:bCs/>
          <w:lang w:val="en-US"/>
        </w:rPr>
        <w:t>Figure 5b</w:t>
      </w:r>
      <w:r w:rsidR="00C26C3D" w:rsidRPr="0037087D">
        <w:rPr>
          <w:rFonts w:cstheme="minorHAnsi"/>
          <w:lang w:val="en-US"/>
        </w:rPr>
        <w:t>).</w:t>
      </w:r>
      <w:r w:rsidRPr="0037087D">
        <w:rPr>
          <w:rFonts w:cstheme="minorHAnsi"/>
          <w:lang w:val="en-US"/>
        </w:rPr>
        <w:t xml:space="preserve"> </w:t>
      </w:r>
      <w:r w:rsidR="00C26C3D" w:rsidRPr="0037087D">
        <w:rPr>
          <w:rFonts w:cstheme="minorHAnsi"/>
          <w:lang w:val="en-US"/>
        </w:rPr>
        <w:t>T</w:t>
      </w:r>
      <w:r w:rsidRPr="0037087D">
        <w:rPr>
          <w:rFonts w:cstheme="minorHAnsi"/>
          <w:lang w:val="en-US"/>
        </w:rPr>
        <w:t xml:space="preserve">herefore </w:t>
      </w:r>
      <w:r w:rsidR="00C26C3D" w:rsidRPr="0037087D">
        <w:rPr>
          <w:rFonts w:cstheme="minorHAnsi"/>
          <w:lang w:val="en-US"/>
        </w:rPr>
        <w:t xml:space="preserve">cell </w:t>
      </w:r>
      <w:r w:rsidRPr="0037087D">
        <w:rPr>
          <w:rFonts w:cstheme="minorHAnsi"/>
          <w:lang w:val="en-US"/>
        </w:rPr>
        <w:t>susceptibility to necroptosis</w:t>
      </w:r>
      <w:r w:rsidR="00C26C3D" w:rsidRPr="0037087D">
        <w:rPr>
          <w:rFonts w:cstheme="minorHAnsi"/>
          <w:lang w:val="en-US"/>
        </w:rPr>
        <w:t xml:space="preserve"> could also be dependent on basal MLKL expression</w:t>
      </w:r>
      <w:r w:rsidRPr="0037087D">
        <w:rPr>
          <w:rFonts w:cstheme="minorHAnsi"/>
          <w:lang w:val="en-US"/>
        </w:rPr>
        <w:t xml:space="preserve">. </w:t>
      </w:r>
      <w:r w:rsidR="00975F5A">
        <w:rPr>
          <w:rFonts w:cstheme="minorHAnsi"/>
          <w:lang w:val="en-US"/>
        </w:rPr>
        <w:t xml:space="preserve">The uncropped </w:t>
      </w:r>
      <w:r w:rsidR="00AF386F">
        <w:rPr>
          <w:rFonts w:cstheme="minorHAnsi"/>
          <w:lang w:val="en-US"/>
        </w:rPr>
        <w:t>Western blots are also shown (</w:t>
      </w:r>
      <w:r w:rsidR="00AF386F" w:rsidRPr="00AF386F">
        <w:rPr>
          <w:rFonts w:cstheme="minorHAnsi"/>
          <w:b/>
          <w:bCs/>
          <w:lang w:val="en-US"/>
        </w:rPr>
        <w:t>Figure S2b</w:t>
      </w:r>
      <w:r w:rsidR="000B0134">
        <w:rPr>
          <w:rFonts w:cstheme="minorHAnsi"/>
          <w:b/>
          <w:bCs/>
          <w:lang w:val="en-US"/>
        </w:rPr>
        <w:t>-d</w:t>
      </w:r>
      <w:r w:rsidR="00AF386F">
        <w:rPr>
          <w:rFonts w:cstheme="minorHAnsi"/>
          <w:lang w:val="en-US"/>
        </w:rPr>
        <w:t xml:space="preserve">). </w:t>
      </w:r>
    </w:p>
    <w:p w14:paraId="45A2F9EA" w14:textId="37998F6C" w:rsidR="00AA550B" w:rsidRPr="0037087D" w:rsidRDefault="000B0134" w:rsidP="000A5F9D">
      <w:pPr>
        <w:keepNext/>
        <w:spacing w:after="120" w:line="276" w:lineRule="auto"/>
        <w:jc w:val="center"/>
        <w:rPr>
          <w:rFonts w:cstheme="minorHAnsi"/>
        </w:rPr>
      </w:pPr>
      <w:r>
        <w:rPr>
          <w:noProof/>
        </w:rPr>
        <w:drawing>
          <wp:inline distT="0" distB="0" distL="0" distR="0" wp14:anchorId="0BE302F3" wp14:editId="1C1AC0DA">
            <wp:extent cx="5722673" cy="2942166"/>
            <wp:effectExtent l="0" t="0" r="0" b="0"/>
            <wp:docPr id="1082952796" name="Picture 1" descr="A close-up of several images of a dna sam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952796" name="Picture 1" descr="A close-up of several images of a dna sample&#10;&#10;Description automatically generated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958" b="28669"/>
                    <a:stretch/>
                  </pic:blipFill>
                  <pic:spPr bwMode="auto">
                    <a:xfrm>
                      <a:off x="0" y="0"/>
                      <a:ext cx="5773199" cy="2968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C7EED7" w14:textId="1885655E" w:rsidR="000A5F9D" w:rsidRPr="0037087D" w:rsidRDefault="000A5F9D" w:rsidP="000A5F9D">
      <w:pPr>
        <w:pStyle w:val="Caption"/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</w:pPr>
      <w:r w:rsidRPr="0037087D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t xml:space="preserve">Figure S2 </w:t>
      </w:r>
      <w:r w:rsidRPr="0037087D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Western blots showing </w:t>
      </w:r>
      <w:r w:rsidR="00CE6912" w:rsidRPr="0037087D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a difference in </w:t>
      </w:r>
      <w:r w:rsidRPr="0037087D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the </w:t>
      </w:r>
      <w:r w:rsidR="00CE6912" w:rsidRPr="0037087D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basal </w:t>
      </w:r>
      <w:r w:rsidRPr="0037087D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expression of</w:t>
      </w:r>
      <w:r w:rsidR="0032074F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</w:t>
      </w:r>
      <w:r w:rsidR="0032074F" w:rsidRPr="000A39F8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t>a</w:t>
      </w:r>
      <w:r w:rsidRPr="0037087D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MLKL for A375 and SK-MEL-28</w:t>
      </w:r>
      <w:r w:rsidR="00CE6912" w:rsidRPr="0037087D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.</w:t>
      </w:r>
      <w:r w:rsidR="00F07D2C" w:rsidRPr="0037087D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The MLKL bands were normalized to the signal of their corresponding Actin B (ACTB) band.</w:t>
      </w:r>
      <w:r w:rsidR="000A39F8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</w:t>
      </w:r>
      <w:r w:rsidR="00855BFF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t>b-d</w:t>
      </w:r>
      <w:r w:rsidR="000A39F8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</w:t>
      </w:r>
      <w:r w:rsidR="00855BFF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Representative, </w:t>
      </w:r>
      <w:r w:rsidR="000A39F8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uncropped Western blot</w:t>
      </w:r>
      <w:r w:rsidR="00855BFF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s</w:t>
      </w:r>
      <w:r w:rsidR="000A39F8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</w:t>
      </w:r>
      <w:r w:rsidR="00855BFF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are</w:t>
      </w:r>
      <w:r w:rsidR="00E734E0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also shown</w:t>
      </w:r>
      <w:r w:rsidR="00855BFF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.</w:t>
      </w:r>
      <w:r w:rsidR="00DE279E" w:rsidRPr="00DE279E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</w:t>
      </w:r>
      <w:r w:rsidR="00DE279E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T</w:t>
      </w:r>
      <w:r w:rsidR="00DE279E" w:rsidRPr="00DE279E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he size of protein marker bands</w:t>
      </w:r>
      <w:r w:rsidR="00DE279E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</w:t>
      </w:r>
      <w:r w:rsidR="00DE279E" w:rsidRPr="00DE279E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are in</w:t>
      </w:r>
      <w:r w:rsidR="006D4272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kilodalton</w:t>
      </w:r>
      <w:r w:rsidR="00DE279E" w:rsidRPr="00DE279E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</w:t>
      </w:r>
      <w:r w:rsidR="006D4272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(</w:t>
      </w:r>
      <w:r w:rsidR="00DE279E" w:rsidRPr="00DE279E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kDa</w:t>
      </w:r>
      <w:r w:rsidR="006D4272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)</w:t>
      </w:r>
      <w:r w:rsidR="00DE279E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.</w:t>
      </w:r>
    </w:p>
    <w:p w14:paraId="1C7DE426" w14:textId="77777777" w:rsidR="00855BFF" w:rsidRDefault="00855BFF">
      <w:pPr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br w:type="page"/>
      </w:r>
    </w:p>
    <w:p w14:paraId="18B775FB" w14:textId="549D50B3" w:rsidR="008935C9" w:rsidRDefault="00DD5A0D" w:rsidP="000A5F9D">
      <w:pPr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lastRenderedPageBreak/>
        <w:t>3</w:t>
      </w:r>
      <w:r w:rsidR="008935C9" w:rsidRPr="0037087D">
        <w:rPr>
          <w:rFonts w:cstheme="minorHAnsi"/>
          <w:b/>
          <w:bCs/>
          <w:lang w:val="en-US"/>
        </w:rPr>
        <w:t>.</w:t>
      </w:r>
      <w:r w:rsidR="002C0072">
        <w:rPr>
          <w:rFonts w:cstheme="minorHAnsi"/>
          <w:b/>
          <w:bCs/>
          <w:lang w:val="en-US"/>
        </w:rPr>
        <w:t xml:space="preserve"> U</w:t>
      </w:r>
      <w:r w:rsidR="008935C9">
        <w:rPr>
          <w:rFonts w:cstheme="minorHAnsi"/>
          <w:b/>
          <w:bCs/>
          <w:lang w:val="en-US"/>
        </w:rPr>
        <w:t>ncropped Western blots</w:t>
      </w:r>
      <w:r>
        <w:rPr>
          <w:rFonts w:cstheme="minorHAnsi"/>
          <w:b/>
          <w:bCs/>
          <w:lang w:val="en-US"/>
        </w:rPr>
        <w:t xml:space="preserve"> for GPX4 and Actin B</w:t>
      </w:r>
    </w:p>
    <w:p w14:paraId="3551E326" w14:textId="4159FE85" w:rsidR="000C37E1" w:rsidRDefault="00855BFF" w:rsidP="000A5F9D">
      <w:pPr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34860431" wp14:editId="24A65515">
            <wp:extent cx="5731933" cy="3587496"/>
            <wp:effectExtent l="0" t="0" r="2540" b="0"/>
            <wp:docPr id="2101774630" name="Picture 2" descr="A close-up of a test resul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774630" name="Picture 2" descr="A close-up of a test results&#10;&#10;Description automatically generated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127"/>
                    <a:stretch/>
                  </pic:blipFill>
                  <pic:spPr bwMode="auto">
                    <a:xfrm>
                      <a:off x="0" y="0"/>
                      <a:ext cx="5742072" cy="35938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F3B147" w14:textId="508E90BA" w:rsidR="00E734E0" w:rsidRPr="0037087D" w:rsidRDefault="00E734E0" w:rsidP="00E734E0">
      <w:pPr>
        <w:pStyle w:val="Caption"/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</w:pPr>
      <w:r w:rsidRPr="0037087D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t xml:space="preserve">Figure </w:t>
      </w:r>
      <w:r w:rsidRPr="00E734E0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t>S3</w:t>
      </w:r>
      <w:r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</w:t>
      </w:r>
      <w:r w:rsidR="00D42B98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GPX4 was evaluated with Western blot analysis and </w:t>
      </w:r>
      <w:r w:rsidR="002C0072" w:rsidRPr="002C0072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t>a</w:t>
      </w:r>
      <w:r w:rsidR="002C0072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</w:t>
      </w:r>
      <w:r w:rsidR="00243275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t</w:t>
      </w:r>
      <w:r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he original, uncropped blot of</w:t>
      </w:r>
      <w:r w:rsidR="00D42B98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GPX4 </w:t>
      </w:r>
      <w:r w:rsidR="00243275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used in</w:t>
      </w:r>
      <w:r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</w:t>
      </w:r>
      <w:r w:rsidRPr="00DD5A0D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t xml:space="preserve">Figure </w:t>
      </w:r>
      <w:r w:rsidR="00DD5A0D" w:rsidRPr="00DD5A0D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t>6a</w:t>
      </w:r>
      <w:r w:rsidR="00DD5A0D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and </w:t>
      </w:r>
      <w:r w:rsidR="00DD5A0D" w:rsidRPr="00DD5A0D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t>b</w:t>
      </w:r>
      <w:r w:rsidR="00243275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is shown. </w:t>
      </w:r>
      <w:r w:rsidR="00120ECD" w:rsidRPr="00120ECD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t>b</w:t>
      </w:r>
      <w:r w:rsidR="00120ECD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</w:t>
      </w:r>
      <w:r w:rsidR="00243275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Representative Actin</w:t>
      </w:r>
      <w:r w:rsidR="00120ECD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b blot shows</w:t>
      </w:r>
      <w:r w:rsidR="00AD6204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</w:t>
      </w:r>
      <w:r w:rsidR="00FA4715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equivalent loading.</w:t>
      </w:r>
      <w:r w:rsidR="00F006FD" w:rsidRPr="00F006FD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</w:t>
      </w:r>
      <w:r w:rsidR="00F006FD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T</w:t>
      </w:r>
      <w:r w:rsidR="00F006FD" w:rsidRPr="00DE279E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he size of protein marker bands</w:t>
      </w:r>
      <w:r w:rsidR="00F006FD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</w:t>
      </w:r>
      <w:r w:rsidR="00F006FD" w:rsidRPr="00DE279E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are in</w:t>
      </w:r>
      <w:r w:rsidR="00F006FD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</w:t>
      </w:r>
      <w:r w:rsidR="00F006FD" w:rsidRPr="00DE279E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kDa</w:t>
      </w:r>
      <w:r w:rsidR="00F006FD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.</w:t>
      </w:r>
    </w:p>
    <w:p w14:paraId="55409B18" w14:textId="60458D30" w:rsidR="00D54301" w:rsidRPr="0037087D" w:rsidRDefault="00D54301" w:rsidP="00D54301">
      <w:pPr>
        <w:spacing w:line="276" w:lineRule="auto"/>
        <w:jc w:val="both"/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t>4</w:t>
      </w:r>
      <w:r w:rsidRPr="0037087D">
        <w:rPr>
          <w:rFonts w:cstheme="minorHAnsi"/>
          <w:b/>
          <w:bCs/>
          <w:lang w:val="en-US"/>
        </w:rPr>
        <w:t>. Caspase 3/7 positivity 48h after indirect NTP treatment</w:t>
      </w:r>
    </w:p>
    <w:p w14:paraId="2A8ACD2C" w14:textId="0F627633" w:rsidR="00D54301" w:rsidRPr="0037087D" w:rsidRDefault="00D54301" w:rsidP="00D54301">
      <w:pPr>
        <w:spacing w:line="360" w:lineRule="auto"/>
        <w:jc w:val="both"/>
        <w:rPr>
          <w:rFonts w:cstheme="minorHAnsi"/>
          <w:lang w:val="en-US"/>
        </w:rPr>
      </w:pPr>
      <w:r w:rsidRPr="0037087D">
        <w:rPr>
          <w:rFonts w:cstheme="minorHAnsi"/>
          <w:lang w:val="en-US"/>
        </w:rPr>
        <w:t>To follow up a possible delayed effect for the indirect NTP treatment regarding apoptosis induction, we examined the caspase 3/7 expression at 24 hours and 48 hours post NTP treatment. We observed that 48 hours post NTP treatment, caspase 3/7 positivity was indeed, increased in comparison to the expression at 24 hours after treatment (</w:t>
      </w:r>
      <w:r w:rsidRPr="0037087D">
        <w:rPr>
          <w:rFonts w:cstheme="minorHAnsi"/>
          <w:b/>
          <w:bCs/>
          <w:lang w:val="en-US"/>
        </w:rPr>
        <w:t>Figure S</w:t>
      </w:r>
      <w:r>
        <w:rPr>
          <w:rFonts w:cstheme="minorHAnsi"/>
          <w:b/>
          <w:bCs/>
          <w:lang w:val="en-US"/>
        </w:rPr>
        <w:t>4</w:t>
      </w:r>
      <w:r w:rsidRPr="0037087D">
        <w:rPr>
          <w:rFonts w:cstheme="minorHAnsi"/>
          <w:lang w:val="en-US"/>
        </w:rPr>
        <w:t>).</w:t>
      </w:r>
    </w:p>
    <w:p w14:paraId="29EDE894" w14:textId="77777777" w:rsidR="00D54301" w:rsidRPr="0037087D" w:rsidRDefault="00D54301" w:rsidP="00D54301">
      <w:pPr>
        <w:keepNext/>
        <w:spacing w:after="120" w:line="276" w:lineRule="auto"/>
        <w:jc w:val="center"/>
        <w:rPr>
          <w:rFonts w:cstheme="minorHAnsi"/>
        </w:rPr>
      </w:pPr>
      <w:r w:rsidRPr="0037087D">
        <w:rPr>
          <w:rFonts w:cstheme="minorHAnsi"/>
          <w:noProof/>
          <w:lang w:eastAsia="nl-BE"/>
        </w:rPr>
        <w:drawing>
          <wp:inline distT="0" distB="0" distL="0" distR="0" wp14:anchorId="4E2C4AD2" wp14:editId="143F43A4">
            <wp:extent cx="2828925" cy="2072987"/>
            <wp:effectExtent l="0" t="0" r="0" b="3810"/>
            <wp:docPr id="14352" name="Picture 14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43187" cy="208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E86A8" w14:textId="45D3B733" w:rsidR="00D54301" w:rsidRPr="00D54301" w:rsidRDefault="00D54301" w:rsidP="000A5F9D">
      <w:pPr>
        <w:rPr>
          <w:rFonts w:cstheme="minorHAnsi"/>
          <w:sz w:val="20"/>
          <w:szCs w:val="20"/>
        </w:rPr>
      </w:pPr>
      <w:r w:rsidRPr="0037087D">
        <w:rPr>
          <w:rFonts w:cstheme="minorHAnsi"/>
          <w:b/>
          <w:bCs/>
          <w:sz w:val="20"/>
          <w:szCs w:val="20"/>
          <w:lang w:val="en-US"/>
        </w:rPr>
        <w:t>Figure S</w:t>
      </w:r>
      <w:r>
        <w:rPr>
          <w:rFonts w:cstheme="minorHAnsi"/>
          <w:b/>
          <w:bCs/>
          <w:sz w:val="20"/>
          <w:szCs w:val="20"/>
          <w:lang w:val="en-US"/>
        </w:rPr>
        <w:t>4</w:t>
      </w:r>
      <w:r w:rsidRPr="0037087D">
        <w:rPr>
          <w:rFonts w:cstheme="minorHAnsi"/>
          <w:b/>
          <w:bCs/>
          <w:sz w:val="20"/>
          <w:szCs w:val="20"/>
          <w:lang w:val="en-US"/>
        </w:rPr>
        <w:t xml:space="preserve"> </w:t>
      </w:r>
      <w:r w:rsidRPr="0037087D">
        <w:rPr>
          <w:rFonts w:cstheme="minorHAnsi"/>
          <w:sz w:val="20"/>
          <w:szCs w:val="20"/>
          <w:lang w:val="en-US"/>
        </w:rPr>
        <w:t xml:space="preserve">Percentage of caspase 3/7 positive cells following indirect NTP treatment. The experiment was performed in triplicate and the data is presented as mean </w:t>
      </w:r>
      <w:r w:rsidRPr="0037087D">
        <w:rPr>
          <w:rFonts w:eastAsia="Symbol" w:cstheme="minorHAnsi"/>
          <w:sz w:val="20"/>
          <w:szCs w:val="20"/>
        </w:rPr>
        <w:sym w:font="Symbol" w:char="F0B1"/>
      </w:r>
      <w:r w:rsidRPr="0037087D">
        <w:rPr>
          <w:rFonts w:cstheme="minorHAnsi"/>
          <w:sz w:val="20"/>
          <w:szCs w:val="20"/>
          <w:lang w:val="en-US"/>
        </w:rPr>
        <w:t xml:space="preserve"> SEM. Statistical significance was calculated using the generalized linear mixed model.</w:t>
      </w:r>
      <w:r w:rsidRPr="0037087D">
        <w:rPr>
          <w:rFonts w:ascii="Arial Nova" w:hAnsi="Arial Nova"/>
          <w:sz w:val="20"/>
          <w:szCs w:val="20"/>
          <w:lang w:val="en-US"/>
        </w:rPr>
        <w:t xml:space="preserve"> </w:t>
      </w:r>
      <w:r w:rsidRPr="0037087D">
        <w:rPr>
          <w:rFonts w:cstheme="minorHAnsi"/>
          <w:i/>
          <w:iCs/>
          <w:sz w:val="20"/>
          <w:szCs w:val="20"/>
        </w:rPr>
        <w:t>**** p ≤ 0.0001</w:t>
      </w:r>
      <w:r w:rsidRPr="0037087D">
        <w:rPr>
          <w:rFonts w:cstheme="minorHAnsi"/>
          <w:sz w:val="20"/>
          <w:szCs w:val="20"/>
        </w:rPr>
        <w:t>.</w:t>
      </w:r>
    </w:p>
    <w:sectPr w:rsidR="00D54301" w:rsidRPr="00D54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338B3" w14:textId="77777777" w:rsidR="002C0072" w:rsidRDefault="002C0072" w:rsidP="002C0072">
      <w:pPr>
        <w:spacing w:after="0" w:line="240" w:lineRule="auto"/>
      </w:pPr>
      <w:r>
        <w:separator/>
      </w:r>
    </w:p>
  </w:endnote>
  <w:endnote w:type="continuationSeparator" w:id="0">
    <w:p w14:paraId="38101824" w14:textId="77777777" w:rsidR="002C0072" w:rsidRDefault="002C0072" w:rsidP="002C0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F67EB" w14:textId="77777777" w:rsidR="002C0072" w:rsidRDefault="002C0072" w:rsidP="002C0072">
      <w:pPr>
        <w:spacing w:after="0" w:line="240" w:lineRule="auto"/>
      </w:pPr>
      <w:r>
        <w:separator/>
      </w:r>
    </w:p>
  </w:footnote>
  <w:footnote w:type="continuationSeparator" w:id="0">
    <w:p w14:paraId="739AA3FD" w14:textId="77777777" w:rsidR="002C0072" w:rsidRDefault="002C0072" w:rsidP="002C00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F9D"/>
    <w:rsid w:val="000A39F8"/>
    <w:rsid w:val="000A5F9D"/>
    <w:rsid w:val="000A6CEB"/>
    <w:rsid w:val="000A757C"/>
    <w:rsid w:val="000B0134"/>
    <w:rsid w:val="000C37E1"/>
    <w:rsid w:val="000F6643"/>
    <w:rsid w:val="00120ECD"/>
    <w:rsid w:val="00144627"/>
    <w:rsid w:val="00243275"/>
    <w:rsid w:val="002677FE"/>
    <w:rsid w:val="00282949"/>
    <w:rsid w:val="00283DBB"/>
    <w:rsid w:val="002C0072"/>
    <w:rsid w:val="002C0C0B"/>
    <w:rsid w:val="002E6309"/>
    <w:rsid w:val="00302A94"/>
    <w:rsid w:val="0032074F"/>
    <w:rsid w:val="0037087D"/>
    <w:rsid w:val="00410422"/>
    <w:rsid w:val="0046055F"/>
    <w:rsid w:val="00531B5D"/>
    <w:rsid w:val="00595359"/>
    <w:rsid w:val="005C17A2"/>
    <w:rsid w:val="006102CB"/>
    <w:rsid w:val="006C0DDB"/>
    <w:rsid w:val="006D4272"/>
    <w:rsid w:val="00705832"/>
    <w:rsid w:val="00734ABC"/>
    <w:rsid w:val="00760F89"/>
    <w:rsid w:val="00775896"/>
    <w:rsid w:val="007845B0"/>
    <w:rsid w:val="00796A35"/>
    <w:rsid w:val="007E2204"/>
    <w:rsid w:val="00855BFF"/>
    <w:rsid w:val="008935C9"/>
    <w:rsid w:val="008B34AE"/>
    <w:rsid w:val="00975F5A"/>
    <w:rsid w:val="009825FC"/>
    <w:rsid w:val="00A02644"/>
    <w:rsid w:val="00AA4333"/>
    <w:rsid w:val="00AA550B"/>
    <w:rsid w:val="00AA7B0F"/>
    <w:rsid w:val="00AB35E7"/>
    <w:rsid w:val="00AD6204"/>
    <w:rsid w:val="00AF386F"/>
    <w:rsid w:val="00B90E92"/>
    <w:rsid w:val="00BE6F8D"/>
    <w:rsid w:val="00C26C3D"/>
    <w:rsid w:val="00C86190"/>
    <w:rsid w:val="00CA3C3C"/>
    <w:rsid w:val="00CC1904"/>
    <w:rsid w:val="00CE6912"/>
    <w:rsid w:val="00D42B98"/>
    <w:rsid w:val="00D54301"/>
    <w:rsid w:val="00D8363B"/>
    <w:rsid w:val="00DA35C6"/>
    <w:rsid w:val="00DD5A0D"/>
    <w:rsid w:val="00DE279E"/>
    <w:rsid w:val="00E62C4E"/>
    <w:rsid w:val="00E734E0"/>
    <w:rsid w:val="00E75B65"/>
    <w:rsid w:val="00E764A8"/>
    <w:rsid w:val="00EE3AA4"/>
    <w:rsid w:val="00F006FD"/>
    <w:rsid w:val="00F07D2C"/>
    <w:rsid w:val="00FA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BBC28"/>
  <w15:chartTrackingRefBased/>
  <w15:docId w15:val="{A0F78700-0CC2-4818-AE31-FDD85DDE2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F9D"/>
  </w:style>
  <w:style w:type="paragraph" w:styleId="Heading1">
    <w:name w:val="heading 1"/>
    <w:basedOn w:val="Normal"/>
    <w:next w:val="Normal"/>
    <w:link w:val="Heading1Char"/>
    <w:uiPriority w:val="9"/>
    <w:qFormat/>
    <w:rsid w:val="000A5F9D"/>
    <w:pPr>
      <w:keepNext/>
      <w:keepLines/>
      <w:spacing w:before="240" w:after="120"/>
      <w:outlineLvl w:val="0"/>
    </w:pPr>
    <w:rPr>
      <w:rFonts w:ascii="Arial Nova" w:eastAsiaTheme="majorEastAsia" w:hAnsi="Arial Nova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5F9D"/>
    <w:rPr>
      <w:rFonts w:ascii="Arial Nova" w:eastAsiaTheme="majorEastAsia" w:hAnsi="Arial Nova" w:cstheme="majorBidi"/>
      <w:b/>
      <w:sz w:val="28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0A5F9D"/>
    <w:pPr>
      <w:spacing w:after="200" w:line="240" w:lineRule="auto"/>
      <w:jc w:val="both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val="en-US" w:eastAsia="de-DE"/>
    </w:rPr>
  </w:style>
  <w:style w:type="paragraph" w:styleId="Revision">
    <w:name w:val="Revision"/>
    <w:hidden/>
    <w:uiPriority w:val="99"/>
    <w:semiHidden/>
    <w:rsid w:val="00BE6F8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5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B6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845B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363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A7B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0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072"/>
  </w:style>
  <w:style w:type="paragraph" w:styleId="Footer">
    <w:name w:val="footer"/>
    <w:basedOn w:val="Normal"/>
    <w:link w:val="FooterChar"/>
    <w:uiPriority w:val="99"/>
    <w:unhideWhenUsed/>
    <w:rsid w:val="002C0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0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braham.lin@uantwerpen.be" TargetMode="Externa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hyperlink" Target="mailto:eline.biscop@uantwerpen.be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971848CCAAE449A4ED33A9F8B8F117" ma:contentTypeVersion="11" ma:contentTypeDescription="Create a new document." ma:contentTypeScope="" ma:versionID="9be7ba69f17618f8c7825e282bf06651">
  <xsd:schema xmlns:xsd="http://www.w3.org/2001/XMLSchema" xmlns:xs="http://www.w3.org/2001/XMLSchema" xmlns:p="http://schemas.microsoft.com/office/2006/metadata/properties" xmlns:ns2="429dbdaa-a009-4a33-89b1-1787e8bd2228" xmlns:ns3="081b4299-dbb3-4923-8e99-0aea657402a7" targetNamespace="http://schemas.microsoft.com/office/2006/metadata/properties" ma:root="true" ma:fieldsID="ed14eecb3a8647e0e29e9652159810b0" ns2:_="" ns3:_="">
    <xsd:import namespace="429dbdaa-a009-4a33-89b1-1787e8bd2228"/>
    <xsd:import namespace="081b4299-dbb3-4923-8e99-0aea657402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9dbdaa-a009-4a33-89b1-1787e8bd22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9fc2d29-e47d-4962-b2bb-d877dae466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b4299-dbb3-4923-8e99-0aea657402a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f31995d-7d6b-479d-b716-02f06afe1f6e}" ma:internalName="TaxCatchAll" ma:showField="CatchAllData" ma:web="081b4299-dbb3-4923-8e99-0aea657402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9dbdaa-a009-4a33-89b1-1787e8bd2228">
      <Terms xmlns="http://schemas.microsoft.com/office/infopath/2007/PartnerControls"/>
    </lcf76f155ced4ddcb4097134ff3c332f>
    <TaxCatchAll xmlns="081b4299-dbb3-4923-8e99-0aea657402a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70E4A4-90AE-4952-A566-1F03B483E4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9dbdaa-a009-4a33-89b1-1787e8bd2228"/>
    <ds:schemaRef ds:uri="081b4299-dbb3-4923-8e99-0aea657402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7EDFCC-B170-49B3-8E74-BFDB1667F7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5D22CA-B7BE-4F62-BF67-0901AB136714}">
  <ds:schemaRefs>
    <ds:schemaRef ds:uri="http://schemas.microsoft.com/office/2006/metadata/properties"/>
    <ds:schemaRef ds:uri="http://schemas.microsoft.com/office/infopath/2007/PartnerControls"/>
    <ds:schemaRef ds:uri="429dbdaa-a009-4a33-89b1-1787e8bd2228"/>
    <ds:schemaRef ds:uri="081b4299-dbb3-4923-8e99-0aea657402a7"/>
  </ds:schemaRefs>
</ds:datastoreItem>
</file>

<file path=customXml/itemProps4.xml><?xml version="1.0" encoding="utf-8"?>
<ds:datastoreItem xmlns:ds="http://schemas.openxmlformats.org/officeDocument/2006/customXml" ds:itemID="{90FD1E75-9ADB-4288-8907-8EA23F3869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Biscop</dc:creator>
  <cp:keywords/>
  <dc:description/>
  <cp:lastModifiedBy>Abraham Lin</cp:lastModifiedBy>
  <cp:revision>40</cp:revision>
  <dcterms:created xsi:type="dcterms:W3CDTF">2024-06-19T16:20:00Z</dcterms:created>
  <dcterms:modified xsi:type="dcterms:W3CDTF">2024-09-02T18:58:00Z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0x0101002B971848CCAAE449A4ED33A9F8B8F117</vt:lpwstr>
  </property>
  <property fmtid="{D5CDD505-2E9C-101B-9397-08002B2CF9AE}" pid="3" name="MediaServiceImageTags">
    <vt:lpwstr/>
  </property>
</Properties>
</file>