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B36D5">
      <w:pPr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>upplementary material legends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: </w:t>
      </w:r>
      <w:r>
        <w:rPr>
          <w:rFonts w:hint="eastAsia" w:ascii="Times New Roman" w:hAnsi="Times New Roman" w:cs="Times New Roman"/>
          <w:sz w:val="24"/>
          <w:lang w:eastAsia="zh-CN"/>
        </w:rPr>
        <w:t xml:space="preserve">A </w:t>
      </w:r>
      <w:r>
        <w:rPr>
          <w:rFonts w:hint="eastAsia" w:ascii="Times New Roman" w:hAnsi="Times New Roman" w:cs="Times New Roman"/>
          <w:sz w:val="24"/>
          <w:lang w:val="en-US" w:eastAsia="zh-CN"/>
        </w:rPr>
        <w:t>list</w:t>
      </w:r>
      <w:r>
        <w:rPr>
          <w:rFonts w:hint="eastAsia" w:ascii="Times New Roman" w:hAnsi="Times New Roman" w:cs="Times New Roman"/>
          <w:sz w:val="24"/>
          <w:lang w:eastAsia="zh-CN"/>
        </w:rPr>
        <w:t xml:space="preserve"> contrasting the abbreviations with their corresponding full names</w:t>
      </w:r>
      <w:r>
        <w:rPr>
          <w:rFonts w:hint="eastAsia" w:ascii="Times New Roman" w:hAnsi="Times New Roman" w:cs="Times New Roman"/>
          <w:sz w:val="24"/>
          <w:lang w:val="en-US" w:eastAsia="zh-CN"/>
        </w:rPr>
        <w:t>. The abbreviations are</w:t>
      </w:r>
      <w:r>
        <w:rPr>
          <w:rFonts w:ascii="Times New Roman" w:hAnsi="Times New Roman" w:cs="Times New Roman"/>
          <w:sz w:val="24"/>
        </w:rPr>
        <w:t xml:space="preserve"> defined in the text at first use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  <w:bookmarkStart w:id="6" w:name="_GoBack"/>
      <w:bookmarkEnd w:id="6"/>
    </w:p>
    <w:p w14:paraId="521C71B3">
      <w:pPr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Abbreviations</w:t>
      </w:r>
      <w:r>
        <w:rPr>
          <w:rFonts w:ascii="Times New Roman" w:hAnsi="Times New Roman" w:cs="Times New Roman"/>
          <w:b/>
          <w:bCs/>
          <w:sz w:val="24"/>
        </w:rPr>
        <w:t>–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definitions:</w:t>
      </w:r>
    </w:p>
    <w:p w14:paraId="0691C7E2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cs="Times New Roman"/>
          <w:sz w:val="24"/>
        </w:rPr>
        <w:t>AA–</w:t>
      </w:r>
      <w:r>
        <w:rPr>
          <w:rFonts w:ascii="Times New Roman" w:hAnsi="Times New Roman" w:eastAsia="宋体" w:cs="Times New Roman"/>
          <w:sz w:val="24"/>
          <w:lang w:bidi="ar"/>
        </w:rPr>
        <w:t>arachidonic acid</w:t>
      </w:r>
    </w:p>
    <w:p w14:paraId="1D3C3526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cs="Times New Roman"/>
          <w:sz w:val="24"/>
        </w:rPr>
        <w:t>ACACA – acetyl-CoA carboxylase α</w:t>
      </w:r>
    </w:p>
    <w:p w14:paraId="3F70B2B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ACSL4 – Acyl-CoA synthetase long-chain family member 4</w:t>
      </w:r>
    </w:p>
    <w:p w14:paraId="54EE29E9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AdA</w:t>
      </w:r>
      <w:r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eastAsia="宋体" w:cs="Times New Roman"/>
          <w:sz w:val="24"/>
          <w:lang w:bidi="ar"/>
        </w:rPr>
        <w:t>adrenic acid</w:t>
      </w:r>
    </w:p>
    <w:p w14:paraId="0BED7C8C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ADAM23</w:t>
      </w:r>
      <w:r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eastAsia="宋体" w:cs="Times New Roman"/>
          <w:sz w:val="24"/>
          <w:lang w:bidi="ar"/>
        </w:rPr>
        <w:t>A Disintegrin And Metalloproteinase Domain 23</w:t>
      </w:r>
    </w:p>
    <w:p w14:paraId="6E85C9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AMPK – AMP-activated protein kinase</w:t>
      </w:r>
    </w:p>
    <w:p w14:paraId="2F86C22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ALOX – Arachidonate lipoxygenase</w:t>
      </w:r>
    </w:p>
    <w:p w14:paraId="3C4D910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ALI – Acute lung injury</w:t>
      </w:r>
    </w:p>
    <w:p w14:paraId="579B7A6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ARE – Antioxidant response element</w:t>
      </w:r>
    </w:p>
    <w:p w14:paraId="2BBE14C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ATP – Adenosine triphosphate</w:t>
      </w:r>
    </w:p>
    <w:p w14:paraId="2738885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BH4 – Tetrahydrobiopterin</w:t>
      </w:r>
    </w:p>
    <w:p w14:paraId="037608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CAF – Cancer-associated fibroblast</w:t>
      </w:r>
    </w:p>
    <w:p w14:paraId="3C04CB40">
      <w:pPr>
        <w:rPr>
          <w:rFonts w:ascii="Times New Roman" w:hAnsi="Times New Roman" w:cs="Times New Roman"/>
          <w:sz w:val="24"/>
        </w:rPr>
      </w:pPr>
      <w:bookmarkStart w:id="0" w:name="_Hlk202353341"/>
      <w:r>
        <w:rPr>
          <w:rFonts w:ascii="Times New Roman" w:hAnsi="Times New Roman" w:cs="Times New Roman"/>
          <w:sz w:val="24"/>
        </w:rPr>
        <w:t>CaMKIIα</w:t>
      </w:r>
      <w:bookmarkEnd w:id="0"/>
      <w:r>
        <w:rPr>
          <w:rFonts w:ascii="Times New Roman" w:hAnsi="Times New Roman" w:cs="Times New Roman"/>
          <w:sz w:val="24"/>
        </w:rPr>
        <w:t xml:space="preserve"> – Ca2+/calmodulin-dependent protein kinase IIα</w:t>
      </w:r>
    </w:p>
    <w:p w14:paraId="44C040E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ceRNA – Competing endogenous RNA</w:t>
      </w:r>
    </w:p>
    <w:p w14:paraId="1E5082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 – Clonal haematopoiesis</w:t>
      </w:r>
    </w:p>
    <w:p w14:paraId="7DBC10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CoQ10 – Ubiquinone-10 (coenzyme Q10)</w:t>
      </w:r>
    </w:p>
    <w:p w14:paraId="59EC7A8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CRL4</w:t>
      </w:r>
      <w:r>
        <w:rPr>
          <w:rFonts w:ascii="Times New Roman" w:hAnsi="Times New Roman" w:cs="Times New Roman"/>
          <w:sz w:val="24"/>
          <w:vertAlign w:val="superscript"/>
        </w:rPr>
        <w:t>DCAF1</w:t>
      </w:r>
      <w:r>
        <w:rPr>
          <w:rFonts w:ascii="Times New Roman" w:hAnsi="Times New Roman" w:cs="Times New Roman"/>
          <w:sz w:val="24"/>
        </w:rPr>
        <w:t xml:space="preserve"> – Cullin-RING ligase 4-DCAF1</w:t>
      </w:r>
    </w:p>
    <w:p w14:paraId="0C58825B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cs="Times New Roman"/>
          <w:sz w:val="24"/>
        </w:rPr>
        <w:t xml:space="preserve">Cys – </w:t>
      </w:r>
      <w:r>
        <w:rPr>
          <w:rFonts w:ascii="Times New Roman" w:hAnsi="Times New Roman" w:eastAsia="宋体" w:cs="Times New Roman"/>
          <w:sz w:val="24"/>
          <w:lang w:bidi="ar"/>
        </w:rPr>
        <w:t>cysteine</w:t>
      </w:r>
    </w:p>
    <w:p w14:paraId="3DF51B4A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Cys2</w:t>
      </w:r>
      <w:r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eastAsia="宋体" w:cs="Times New Roman"/>
          <w:sz w:val="24"/>
          <w:lang w:bidi="ar"/>
        </w:rPr>
        <w:t>cystine</w:t>
      </w:r>
    </w:p>
    <w:p w14:paraId="0840FD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DAMP – Damage-associated molecular pattern</w:t>
      </w:r>
    </w:p>
    <w:p w14:paraId="1F950E8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DC – Dendritic cell</w:t>
      </w:r>
    </w:p>
    <w:p w14:paraId="2BB5C75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DHODH – Dihydro-orotate dehydrogenase</w:t>
      </w:r>
    </w:p>
    <w:p w14:paraId="1BE149F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DNAJB6 – DnaJ heat-shock-protein family member B6</w:t>
      </w:r>
    </w:p>
    <w:p w14:paraId="40CC1C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DPP4 – Dipeptidyl-peptidase-4</w:t>
      </w:r>
    </w:p>
    <w:p w14:paraId="5D67363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EC – esophageal cancer</w:t>
      </w:r>
    </w:p>
    <w:p w14:paraId="6A1961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EAC – esophageal adenocarcinoma</w:t>
      </w:r>
    </w:p>
    <w:p w14:paraId="5269F09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EMT – Epithelial-to-mesenchymal transition</w:t>
      </w:r>
    </w:p>
    <w:p w14:paraId="0CE28B6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ER – Endoplasmic reticulum</w:t>
      </w:r>
    </w:p>
    <w:p w14:paraId="74177E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ESC – Embryonic stem cell / esophageal squamous cell (context-dependent)</w:t>
      </w:r>
    </w:p>
    <w:p w14:paraId="7B3F3F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ESCC – esophageal squamous cell carcinoma</w:t>
      </w:r>
    </w:p>
    <w:p w14:paraId="0429480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ETC – Electron-transport chain</w:t>
      </w:r>
    </w:p>
    <w:p w14:paraId="5628E2A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FIN – Ferroptosis inducer (e.g., FIN56)</w:t>
      </w:r>
    </w:p>
    <w:p w14:paraId="1EB4D4F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FRG – </w:t>
      </w:r>
      <w:r>
        <w:rPr>
          <w:rFonts w:ascii="Times New Roman" w:hAnsi="Times New Roman" w:eastAsia="宋体" w:cs="Times New Roman"/>
          <w:sz w:val="24"/>
          <w:lang w:bidi="ar"/>
        </w:rPr>
        <w:t>ferroptosis-related genes</w:t>
      </w:r>
    </w:p>
    <w:p w14:paraId="45CB3A3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FSP1 – Ferroptosis-suppressor protein 1 (AIFM2)</w:t>
      </w:r>
    </w:p>
    <w:p w14:paraId="11871B1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GCH1 – GTP-cyclohydrolase 1</w:t>
      </w:r>
    </w:p>
    <w:p w14:paraId="15C65E7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GCL – glutamate-cysteine ligase</w:t>
      </w:r>
    </w:p>
    <w:p w14:paraId="3F7982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GGT5 – γ-glutamyltransferase</w:t>
      </w:r>
    </w:p>
    <w:p w14:paraId="49CA68B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GLS – Glutaminase</w:t>
      </w:r>
    </w:p>
    <w:p w14:paraId="515CC91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Gln – </w:t>
      </w:r>
      <w:r>
        <w:rPr>
          <w:rFonts w:ascii="Times New Roman" w:hAnsi="Times New Roman" w:eastAsia="宋体" w:cs="Times New Roman"/>
          <w:sz w:val="24"/>
          <w:lang w:bidi="ar"/>
        </w:rPr>
        <w:t>glutamine</w:t>
      </w:r>
    </w:p>
    <w:p w14:paraId="56EFE81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GPX4 – Glutathione peroxidase 4</w:t>
      </w:r>
    </w:p>
    <w:p w14:paraId="5A861B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GSH – Glutathione (reduced)</w:t>
      </w:r>
    </w:p>
    <w:p w14:paraId="62E08FA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GSSG – Glutathione disulphide (oxidised glutathione)</w:t>
      </w:r>
    </w:p>
    <w:p w14:paraId="0FC09F9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</w:rPr>
        <w:t>– hydrogen peroxide</w:t>
      </w:r>
    </w:p>
    <w:p w14:paraId="0420152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HCAR1 – Hydroxy-carboxylate receptor 1</w:t>
      </w:r>
    </w:p>
    <w:p w14:paraId="3EC8F7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HCT – Haematopoietic cell transplantation</w:t>
      </w:r>
    </w:p>
    <w:p w14:paraId="6EA6DE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HIF – Hypoxia-inducible factor</w:t>
      </w:r>
    </w:p>
    <w:p w14:paraId="18A1E41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HMGB1 – High-mobility group box 1</w:t>
      </w:r>
    </w:p>
    <w:p w14:paraId="6F41859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HNE (4-HNE) – 4-Hydroxynonenal</w:t>
      </w:r>
    </w:p>
    <w:p w14:paraId="34E9E73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HSP – Heat-shock protein</w:t>
      </w:r>
    </w:p>
    <w:p w14:paraId="3D37FDD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ICD – Immunogenic cell death</w:t>
      </w:r>
    </w:p>
    <w:p w14:paraId="1E5B631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ICI – Immune-checkpoint inhibitor</w:t>
      </w:r>
    </w:p>
    <w:p w14:paraId="5D96159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IFN-γ – Interferon-gamma</w:t>
      </w:r>
    </w:p>
    <w:p w14:paraId="79684B0A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微软雅黑" w:cs="Times New Roman"/>
          <w:color w:val="000000" w:themeColor="text1"/>
          <w:spacing w:val="8"/>
          <w:sz w:val="24"/>
          <w14:textFill>
            <w14:solidFill>
              <w14:schemeClr w14:val="tx1"/>
            </w14:solidFill>
          </w14:textFill>
        </w:rPr>
        <w:t xml:space="preserve">IKE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– </w:t>
      </w:r>
      <w:r>
        <w:rPr>
          <w:rFonts w:ascii="Times New Roman" w:hAnsi="Times New Roman" w:eastAsia="微软雅黑" w:cs="Times New Roman"/>
          <w:color w:val="000000" w:themeColor="text1"/>
          <w:spacing w:val="8"/>
          <w:sz w:val="24"/>
          <w14:textFill>
            <w14:solidFill>
              <w14:schemeClr w14:val="tx1"/>
            </w14:solidFill>
          </w14:textFill>
        </w:rPr>
        <w:t>Imidazole Ketone Erastin</w:t>
      </w:r>
    </w:p>
    <w:p w14:paraId="50D595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iNOS – </w:t>
      </w:r>
      <w:r>
        <w:rPr>
          <w:rFonts w:ascii="Times New Roman" w:hAnsi="Times New Roman" w:eastAsia="宋体" w:cs="Times New Roman"/>
          <w:sz w:val="24"/>
          <w:lang w:bidi="ar"/>
        </w:rPr>
        <w:t>nitric oxide synthase 2</w:t>
      </w:r>
    </w:p>
    <w:p w14:paraId="2289C3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IR – Ionising radiation</w:t>
      </w:r>
    </w:p>
    <w:p w14:paraId="1928C1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IRF1 – interferon regulatory factor 1</w:t>
      </w:r>
    </w:p>
    <w:p w14:paraId="0D4A8E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KEAP1 – Kelch-like ECH-associated protein 1</w:t>
      </w:r>
    </w:p>
    <w:p w14:paraId="6EB9E9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LDH – Lactate dehydrogenase</w:t>
      </w:r>
    </w:p>
    <w:p w14:paraId="5CD647E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LIP – Labile iron pool</w:t>
      </w:r>
    </w:p>
    <w:p w14:paraId="2B30987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lncRNA – Long non-coding RNA</w:t>
      </w:r>
    </w:p>
    <w:p w14:paraId="3FA8AB07">
      <w:pPr>
        <w:rPr>
          <w:rFonts w:ascii="Times New Roman" w:hAnsi="Times New Roman" w:cs="Times New Roman"/>
          <w:sz w:val="24"/>
        </w:rPr>
      </w:pPr>
      <w:bookmarkStart w:id="1" w:name="_Hlk202352058"/>
      <w:r>
        <w:rPr>
          <w:rFonts w:ascii="Times New Roman" w:hAnsi="Times New Roman" w:cs="Times New Roman"/>
          <w:sz w:val="24"/>
        </w:rPr>
        <w:t>LO·</w:t>
      </w:r>
      <w:bookmarkEnd w:id="1"/>
      <w:r>
        <w:rPr>
          <w:rFonts w:ascii="Times New Roman" w:hAnsi="Times New Roman" w:cs="Times New Roman"/>
          <w:sz w:val="24"/>
        </w:rPr>
        <w:t xml:space="preserve"> – lipid hydroxyl radicals</w:t>
      </w:r>
    </w:p>
    <w:p w14:paraId="2D42815F">
      <w:pPr>
        <w:rPr>
          <w:rFonts w:ascii="Times New Roman" w:hAnsi="Times New Roman" w:cs="Times New Roman"/>
          <w:sz w:val="24"/>
        </w:rPr>
      </w:pPr>
      <w:bookmarkStart w:id="2" w:name="_Hlk202352063"/>
      <w:r>
        <w:rPr>
          <w:rFonts w:ascii="Times New Roman" w:hAnsi="Times New Roman" w:cs="Times New Roman"/>
          <w:sz w:val="24"/>
        </w:rPr>
        <w:t xml:space="preserve">LOO· </w:t>
      </w:r>
      <w:bookmarkEnd w:id="2"/>
      <w:r>
        <w:rPr>
          <w:rFonts w:ascii="Times New Roman" w:hAnsi="Times New Roman" w:cs="Times New Roman"/>
          <w:sz w:val="24"/>
        </w:rPr>
        <w:t>– lipid peroxyl radicals</w:t>
      </w:r>
    </w:p>
    <w:p w14:paraId="794EBEC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LOOH – Lipid hydroperoxide</w:t>
      </w:r>
    </w:p>
    <w:p w14:paraId="5D55B6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LPCAT3 – </w:t>
      </w:r>
      <w:r>
        <w:rPr>
          <w:rFonts w:ascii="Times New Roman" w:hAnsi="Times New Roman" w:eastAsia="宋体" w:cs="Times New Roman"/>
          <w:sz w:val="24"/>
          <w:lang w:bidi="ar"/>
        </w:rPr>
        <w:t>lysophosphatidylcholine acyltransferase 3</w:t>
      </w:r>
    </w:p>
    <w:p w14:paraId="6EAAF2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MAPK – Mitogen-activated protein kinase</w:t>
      </w:r>
    </w:p>
    <w:p w14:paraId="6C5B1F7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MBOAT – Membrane-bound O-acyl-transferase</w:t>
      </w:r>
    </w:p>
    <w:p w14:paraId="636C005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MCT1 – monocarboxylate transporter 1</w:t>
      </w:r>
    </w:p>
    <w:p w14:paraId="3247D5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MDS – Myelodysplastic syndrome</w:t>
      </w:r>
    </w:p>
    <w:p w14:paraId="743231F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MDSC – Myeloid-derived suppressor cell</w:t>
      </w:r>
    </w:p>
    <w:p w14:paraId="7F18745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MGUS – Monoclonal gammopathy of undetermined significance</w:t>
      </w:r>
    </w:p>
    <w:p w14:paraId="25722DC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MPO – Myeloperoxidase</w:t>
      </w:r>
    </w:p>
    <w:p w14:paraId="0ACCADB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微软雅黑" w:cs="Times New Roman"/>
          <w:color w:val="000000"/>
          <w:spacing w:val="8"/>
          <w:sz w:val="24"/>
        </w:rPr>
        <w:t xml:space="preserve">MREs 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eastAsia="微软雅黑" w:cs="Times New Roman"/>
          <w:color w:val="000000"/>
          <w:spacing w:val="8"/>
          <w:sz w:val="24"/>
        </w:rPr>
        <w:t>miRNA response effectors</w:t>
      </w:r>
    </w:p>
    <w:p w14:paraId="2DCE10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MUFAs – Monounsaturated fatty acids</w:t>
      </w:r>
    </w:p>
    <w:p w14:paraId="1D360C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MZB – marginal zone B cells</w:t>
      </w:r>
    </w:p>
    <w:p w14:paraId="477F714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NCOA4 – Nuclear receptor coactivator 4</w:t>
      </w:r>
    </w:p>
    <w:p w14:paraId="2271EAD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NF2 – Neurofibromin-2 (merlin)</w:t>
      </w:r>
    </w:p>
    <w:p w14:paraId="658665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NGS – Next-generation sequencing</w:t>
      </w:r>
    </w:p>
    <w:p w14:paraId="04D6C8A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NPs – </w:t>
      </w:r>
      <w:r>
        <w:rPr>
          <w:rFonts w:ascii="Times New Roman" w:hAnsi="Times New Roman" w:eastAsia="微软雅黑" w:cs="Times New Roman"/>
          <w:color w:val="000000" w:themeColor="text1"/>
          <w:spacing w:val="8"/>
          <w:sz w:val="24"/>
          <w14:textFill>
            <w14:solidFill>
              <w14:schemeClr w14:val="tx1"/>
            </w14:solidFill>
          </w14:textFill>
        </w:rPr>
        <w:t>Nanoparticles</w:t>
      </w:r>
    </w:p>
    <w:p w14:paraId="2A06E6B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NK – Natural-killer (cell)</w:t>
      </w:r>
    </w:p>
    <w:p w14:paraId="0E4848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NOX – NADPH oxidase</w:t>
      </w:r>
    </w:p>
    <w:p w14:paraId="7115553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NRF2 – Nuclear factor erythroid-2 related factor 2</w:t>
      </w:r>
    </w:p>
    <w:p w14:paraId="4D57C4F0">
      <w:pPr>
        <w:rPr>
          <w:rFonts w:ascii="Times New Roman" w:hAnsi="Times New Roman" w:cs="Times New Roman"/>
          <w:sz w:val="24"/>
        </w:rPr>
      </w:pPr>
      <w:bookmarkStart w:id="3" w:name="_Hlk202351796"/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>2</w:t>
      </w:r>
      <w:bookmarkEnd w:id="3"/>
      <w:r>
        <w:rPr>
          <w:rFonts w:ascii="Times New Roman" w:hAnsi="Times New Roman" w:cs="Times New Roman"/>
          <w:sz w:val="24"/>
        </w:rPr>
        <w:t xml:space="preserve"> – oxygen</w:t>
      </w:r>
    </w:p>
    <w:p w14:paraId="6C781A38">
      <w:pPr>
        <w:rPr>
          <w:rFonts w:ascii="Times New Roman" w:hAnsi="Times New Roman" w:cs="Times New Roman"/>
          <w:sz w:val="24"/>
        </w:rPr>
      </w:pPr>
      <w:bookmarkStart w:id="4" w:name="_Hlk202351801"/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  <w:vertAlign w:val="superscript"/>
        </w:rPr>
        <w:t>−</w:t>
      </w:r>
      <w:bookmarkEnd w:id="4"/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</w:rPr>
        <w:t>– superoxide radicals</w:t>
      </w:r>
    </w:p>
    <w:p w14:paraId="3B37E99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OAA – Oxalo-acetic acid (contextually GOT1)</w:t>
      </w:r>
    </w:p>
    <w:p w14:paraId="3E8C3E6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OX-LDL – Oxidised low-density lipoprotein</w:t>
      </w:r>
    </w:p>
    <w:p w14:paraId="725EC9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OXPHOS – Oxidative phosphorylation</w:t>
      </w:r>
    </w:p>
    <w:p w14:paraId="1D0C7E1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PDAC – Pancreatic ductal adenocarcinoma</w:t>
      </w:r>
    </w:p>
    <w:p w14:paraId="418993CC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微软雅黑" w:cs="Times New Roman"/>
          <w:color w:val="000000" w:themeColor="text1"/>
          <w:spacing w:val="8"/>
          <w:sz w:val="24"/>
          <w14:textFill>
            <w14:solidFill>
              <w14:schemeClr w14:val="tx1"/>
            </w14:solidFill>
          </w14:textFill>
        </w:rPr>
        <w:t xml:space="preserve">PDT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– </w:t>
      </w:r>
      <w:r>
        <w:rPr>
          <w:rFonts w:ascii="Times New Roman" w:hAnsi="Times New Roman" w:eastAsia="微软雅黑" w:cs="Times New Roman"/>
          <w:color w:val="000000" w:themeColor="text1"/>
          <w:spacing w:val="8"/>
          <w:sz w:val="24"/>
          <w14:textFill>
            <w14:solidFill>
              <w14:schemeClr w14:val="tx1"/>
            </w14:solidFill>
          </w14:textFill>
        </w:rPr>
        <w:t>photodynamic therapy</w:t>
      </w:r>
    </w:p>
    <w:p w14:paraId="7108B69F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cs="Times New Roman"/>
          <w:sz w:val="24"/>
        </w:rPr>
        <w:t xml:space="preserve">PE – </w:t>
      </w:r>
      <w:r>
        <w:rPr>
          <w:rFonts w:ascii="Times New Roman" w:hAnsi="Times New Roman" w:eastAsia="宋体" w:cs="Times New Roman"/>
          <w:sz w:val="24"/>
          <w:lang w:bidi="ar"/>
        </w:rPr>
        <w:t>phosphatidylethanolamines</w:t>
      </w:r>
    </w:p>
    <w:p w14:paraId="05518224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PEBP1</w:t>
      </w:r>
      <w:r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eastAsia="宋体" w:cs="Times New Roman"/>
          <w:sz w:val="24"/>
          <w:lang w:bidi="ar"/>
        </w:rPr>
        <w:t>Phosphatidylethanolamine-binding protein 1</w:t>
      </w:r>
    </w:p>
    <w:p w14:paraId="37424C2B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PHLDA2</w:t>
      </w:r>
      <w:r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eastAsia="宋体" w:cs="Times New Roman"/>
          <w:sz w:val="24"/>
          <w:lang w:bidi="ar"/>
        </w:rPr>
        <w:t>pleckstrin homology domain family A member 2</w:t>
      </w:r>
    </w:p>
    <w:p w14:paraId="1BA9AC90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PMN</w:t>
      </w:r>
      <w:r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eastAsia="宋体" w:cs="Times New Roman"/>
          <w:sz w:val="24"/>
          <w:lang w:bidi="ar"/>
        </w:rPr>
        <w:t>polymorphonuclear</w:t>
      </w:r>
    </w:p>
    <w:p w14:paraId="5103653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PNH – Paroxysmal nocturnal haemoglobinuria</w:t>
      </w:r>
    </w:p>
    <w:p w14:paraId="141045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 – Cytochrome P450 oxidoreductase</w:t>
      </w:r>
    </w:p>
    <w:p w14:paraId="5E3074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PPAR – Peroxisome proliferator-activated receptor</w:t>
      </w:r>
    </w:p>
    <w:p w14:paraId="75E75E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PUFA – Polyunsaturated fatty acid</w:t>
      </w:r>
    </w:p>
    <w:p w14:paraId="1FCA5D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RCD – Regulated cell death</w:t>
      </w:r>
    </w:p>
    <w:p w14:paraId="2EE6A9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ROS – Reactive oxygen species</w:t>
      </w:r>
    </w:p>
    <w:p w14:paraId="44FD451A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 xml:space="preserve">RSL3 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eastAsia="宋体" w:cs="Times New Roman"/>
          <w:sz w:val="24"/>
          <w:lang w:bidi="ar"/>
        </w:rPr>
        <w:t>RAS-selective lethal 3</w:t>
      </w:r>
    </w:p>
    <w:p w14:paraId="4DEE234B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RTA</w:t>
      </w:r>
      <w:r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eastAsia="宋体" w:cs="Times New Roman"/>
          <w:sz w:val="24"/>
          <w:lang w:bidi="ar"/>
        </w:rPr>
        <w:t>radical trapping antioxidant</w:t>
      </w:r>
    </w:p>
    <w:p w14:paraId="1C665C64">
      <w:pPr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微软雅黑" w:cs="Times New Roman"/>
          <w:color w:val="000000"/>
          <w:spacing w:val="8"/>
          <w:sz w:val="24"/>
        </w:rPr>
        <w:t xml:space="preserve">SAT1 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eastAsia="微软雅黑" w:cs="Times New Roman"/>
          <w:color w:val="000000"/>
          <w:spacing w:val="8"/>
          <w:sz w:val="24"/>
        </w:rPr>
        <w:t>spermidine/spermine N-acetyltransferase 1</w:t>
      </w:r>
    </w:p>
    <w:p w14:paraId="5B4B909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SCD1 – Stearoyl-CoA desaturase 1</w:t>
      </w:r>
    </w:p>
    <w:p w14:paraId="547A79E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SFA – </w:t>
      </w:r>
      <w:r>
        <w:rPr>
          <w:rFonts w:ascii="Times New Roman" w:hAnsi="Times New Roman" w:eastAsia="宋体" w:cs="Times New Roman"/>
          <w:sz w:val="24"/>
          <w:lang w:bidi="ar"/>
        </w:rPr>
        <w:t>saturated fatty acids</w:t>
      </w:r>
    </w:p>
    <w:p w14:paraId="4002814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SLC – Solute carrier family member (e.g., SLC7A11)</w:t>
      </w:r>
    </w:p>
    <w:p w14:paraId="0C4AB0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SNAT – Sodium-coupled neutral amino-acid transporter</w:t>
      </w:r>
    </w:p>
    <w:p w14:paraId="22C720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SOD – Superoxide dismutase</w:t>
      </w:r>
    </w:p>
    <w:p w14:paraId="57620F0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STAT – Signal transducer and activator of transcription</w:t>
      </w:r>
    </w:p>
    <w:p w14:paraId="4EE973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STEAP – </w:t>
      </w:r>
      <w:r>
        <w:rPr>
          <w:rFonts w:ascii="Times New Roman" w:hAnsi="Times New Roman" w:eastAsia="宋体" w:cs="Times New Roman"/>
          <w:sz w:val="24"/>
          <w:lang w:bidi="ar"/>
        </w:rPr>
        <w:t>Six-Transmembrane Epithelial Antigen of Prostate</w:t>
      </w:r>
    </w:p>
    <w:p w14:paraId="19B85DF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TAM, TANK – Tumour-associated macrophage, NK cell</w:t>
      </w:r>
    </w:p>
    <w:p w14:paraId="1EA6EA0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TCA – tricarboxylic acid</w:t>
      </w:r>
    </w:p>
    <w:p w14:paraId="6E4590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TF – Transferrin</w:t>
      </w:r>
    </w:p>
    <w:p w14:paraId="585F75A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TFRC – Transferrin receptor</w:t>
      </w:r>
    </w:p>
    <w:p w14:paraId="3A1B254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Th17 – T-helper-17 cell</w:t>
      </w:r>
    </w:p>
    <w:p w14:paraId="0613A0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TIME – Tumor immune microenvironment</w:t>
      </w:r>
    </w:p>
    <w:p w14:paraId="4C9E60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TMEM161B-AS1 – Transmembrane protein 161B antisense RNA 1</w:t>
      </w:r>
    </w:p>
    <w:p w14:paraId="0D05F8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TME – Tumour micro-environment</w:t>
      </w:r>
    </w:p>
    <w:p w14:paraId="7D40CD8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Treg – Regulatory T cell</w:t>
      </w:r>
    </w:p>
    <w:p w14:paraId="5E67F27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TXNRD – </w:t>
      </w:r>
      <w:r>
        <w:rPr>
          <w:rFonts w:ascii="Times New Roman" w:hAnsi="Times New Roman" w:eastAsia="宋体" w:cs="Times New Roman"/>
          <w:sz w:val="24"/>
          <w:lang w:bidi="ar"/>
        </w:rPr>
        <w:t>thioredoxin reductase</w:t>
      </w:r>
    </w:p>
    <w:p w14:paraId="1E9A1C4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UBE1A/UBA1 – Ubiquitin-like modifier activating enzyme 1</w:t>
      </w:r>
    </w:p>
    <w:p w14:paraId="6F0664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VDAC – Voltage-dependent anion channel</w:t>
      </w:r>
    </w:p>
    <w:p w14:paraId="56F6E9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VTE – Venous thrombo-embolism</w:t>
      </w:r>
    </w:p>
    <w:p w14:paraId="6DD72F7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WTAP – Wilms’ tumour 1-associating protein</w:t>
      </w:r>
    </w:p>
    <w:p w14:paraId="76D790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YAP – Yes-associated protein</w:t>
      </w:r>
    </w:p>
    <w:p w14:paraId="26AB64C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·OH – hydroxyl radical</w:t>
      </w:r>
    </w:p>
    <w:p w14:paraId="41E506D9">
      <w:pPr>
        <w:rPr>
          <w:rFonts w:ascii="Times New Roman" w:hAnsi="Times New Roman" w:cs="Times New Roman"/>
          <w:sz w:val="24"/>
        </w:rPr>
      </w:pPr>
      <w:bookmarkStart w:id="5" w:name="_Hlk202352980"/>
      <w:r>
        <w:rPr>
          <w:rFonts w:ascii="Times New Roman" w:hAnsi="Times New Roman" w:cs="Times New Roman"/>
          <w:sz w:val="24"/>
        </w:rPr>
        <w:t>α-KG</w:t>
      </w:r>
      <w:bookmarkEnd w:id="5"/>
      <w:r>
        <w:rPr>
          <w:rFonts w:ascii="Times New Roman" w:hAnsi="Times New Roman" w:cs="Times New Roman"/>
          <w:sz w:val="24"/>
        </w:rPr>
        <w:t xml:space="preserve"> – α-ketoglutarate</w:t>
      </w:r>
    </w:p>
    <w:p w14:paraId="18648A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5-ALA – 5-Aminolevulinic acid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312"/>
    <w:rsid w:val="00024454"/>
    <w:rsid w:val="000F5312"/>
    <w:rsid w:val="002317EA"/>
    <w:rsid w:val="002D4FE6"/>
    <w:rsid w:val="003A186E"/>
    <w:rsid w:val="00457DBC"/>
    <w:rsid w:val="00621371"/>
    <w:rsid w:val="007366EF"/>
    <w:rsid w:val="0095412F"/>
    <w:rsid w:val="00CD08EE"/>
    <w:rsid w:val="10754EC6"/>
    <w:rsid w:val="309A0DD7"/>
    <w:rsid w:val="633A57A6"/>
    <w:rsid w:val="70B9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603</Words>
  <Characters>3736</Characters>
  <Lines>132</Lines>
  <Paragraphs>144</Paragraphs>
  <TotalTime>0</TotalTime>
  <ScaleCrop>false</ScaleCrop>
  <LinksUpToDate>false</LinksUpToDate>
  <CharactersWithSpaces>4213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2025-05-13T11:13:00Z</dcterms:created>
  <dc:creator>赵</dc:creator>
  <cp:lastModifiedBy>zdf</cp:lastModifiedBy>
  <dcterms:modified xsi:type="dcterms:W3CDTF">2025-08-07T15:01:53Z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eyJoZGlkIjoiMzEwNTM5NzYwMDRjMzkwZTVkZjY2ODkwMGIxNGU0OTUiLCJ1c2VySWQiOiI2NzA3MDYwMzkifQ==</vt:lpwstr>
  </property>
  <property fmtid="{D5CDD505-2E9C-101B-9397-08002B2CF9AE}" pid="4" name="ICV">
    <vt:lpwstr>2847D12DC83B4BD3B54FE8554DA5E8B8_12</vt:lpwstr>
  </property>
</Properties>
</file>