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FC26E" w14:textId="77777777" w:rsidR="000A4BA0" w:rsidRPr="003239EB" w:rsidRDefault="000A4BA0" w:rsidP="000A4BA0">
      <w:pPr>
        <w:spacing w:line="360" w:lineRule="auto"/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3239EB">
        <w:rPr>
          <w:rFonts w:ascii="Times New Roman" w:hAnsi="Times New Roman" w:cs="Times New Roman"/>
          <w:b/>
          <w:bCs/>
          <w:sz w:val="24"/>
          <w:szCs w:val="24"/>
        </w:rPr>
        <w:t>Supplementary Figures</w:t>
      </w:r>
    </w:p>
    <w:p w14:paraId="7D92E8BF" w14:textId="77777777" w:rsidR="000A4BA0" w:rsidRPr="003239EB" w:rsidRDefault="000A4BA0" w:rsidP="000A4BA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39EB">
        <w:rPr>
          <w:rFonts w:ascii="Times New Roman" w:hAnsi="Times New Roman" w:cs="Times New Roman"/>
          <w:b/>
          <w:bCs/>
          <w:sz w:val="24"/>
          <w:szCs w:val="24"/>
        </w:rPr>
        <w:t>Figure S1</w:t>
      </w:r>
    </w:p>
    <w:p w14:paraId="07F7F215" w14:textId="77777777" w:rsidR="000A4BA0" w:rsidRPr="003239EB" w:rsidRDefault="000A4BA0" w:rsidP="000A4BA0">
      <w:pPr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  <w:r w:rsidRPr="003239EB">
        <w:rPr>
          <w:rFonts w:ascii="Times New Roman" w:hAnsi="Times New Roman" w:cs="Times New Roman"/>
          <w:sz w:val="24"/>
          <w:szCs w:val="24"/>
        </w:rPr>
        <w:t>A. Diagram of establishing the co-culture model. Anti-CD20, Anti-CD20 with RMT1</w:t>
      </w:r>
      <w:r w:rsidRPr="003239EB">
        <w:rPr>
          <w:rFonts w:ascii="Times New Roman" w:hAnsi="Times New Roman" w:cs="Times New Roman"/>
          <w:sz w:val="24"/>
          <w:szCs w:val="24"/>
        </w:rPr>
        <w:noBreakHyphen/>
        <w:t>10, or Normal Saline was administered to wild-type mice 1 day before IRI; mice were harvested on day 1 after IRI. B. Gating strategies for TIM1</w:t>
      </w:r>
      <w:r w:rsidRPr="003239E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323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39EB">
        <w:rPr>
          <w:rFonts w:ascii="Times New Roman" w:hAnsi="Times New Roman" w:cs="Times New Roman"/>
          <w:sz w:val="24"/>
          <w:szCs w:val="24"/>
        </w:rPr>
        <w:t>Bregs</w:t>
      </w:r>
      <w:proofErr w:type="spellEnd"/>
      <w:r w:rsidRPr="003239EB">
        <w:rPr>
          <w:rFonts w:ascii="Times New Roman" w:hAnsi="Times New Roman" w:cs="Times New Roman"/>
          <w:sz w:val="24"/>
          <w:szCs w:val="24"/>
        </w:rPr>
        <w:t xml:space="preserve"> in the spleen, heart, and blood. C.</w:t>
      </w:r>
      <w:r w:rsidRPr="003239EB">
        <w:t xml:space="preserve"> </w:t>
      </w:r>
      <w:r w:rsidRPr="003239EB">
        <w:rPr>
          <w:rFonts w:ascii="Times New Roman" w:hAnsi="Times New Roman" w:cs="Times New Roman"/>
          <w:sz w:val="24"/>
          <w:szCs w:val="24"/>
        </w:rPr>
        <w:t>Immunohistochemical analysis of the level of TIM1 in the sham, IRI, and IRI+RMT1-10 groups.</w:t>
      </w:r>
    </w:p>
    <w:p w14:paraId="4E0ECB7F" w14:textId="77777777" w:rsidR="000A4BA0" w:rsidRPr="003239EB" w:rsidRDefault="000A4BA0" w:rsidP="000A4BA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39EB">
        <w:rPr>
          <w:rFonts w:ascii="Times New Roman" w:hAnsi="Times New Roman" w:cs="Times New Roman"/>
          <w:b/>
          <w:bCs/>
          <w:sz w:val="24"/>
          <w:szCs w:val="24"/>
        </w:rPr>
        <w:t>Figure S2</w:t>
      </w:r>
    </w:p>
    <w:p w14:paraId="28A1A5FF" w14:textId="77777777" w:rsidR="000A4BA0" w:rsidRDefault="000A4BA0" w:rsidP="000A4BA0">
      <w:pPr>
        <w:spacing w:line="360" w:lineRule="auto"/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3239EB">
        <w:rPr>
          <w:rFonts w:ascii="Times New Roman" w:hAnsi="Times New Roman" w:cs="Times New Roman"/>
          <w:sz w:val="24"/>
          <w:szCs w:val="24"/>
        </w:rPr>
        <w:t>A. The number of Treg cells (CD4</w:t>
      </w:r>
      <w:r w:rsidRPr="003239E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3239EB">
        <w:rPr>
          <w:rFonts w:ascii="Times New Roman" w:hAnsi="Times New Roman" w:cs="Times New Roman"/>
          <w:sz w:val="24"/>
          <w:szCs w:val="24"/>
        </w:rPr>
        <w:t xml:space="preserve"> CD25</w:t>
      </w:r>
      <w:r w:rsidRPr="003239E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3239EB">
        <w:rPr>
          <w:rFonts w:ascii="Times New Roman" w:hAnsi="Times New Roman" w:cs="Times New Roman"/>
          <w:sz w:val="24"/>
          <w:szCs w:val="24"/>
        </w:rPr>
        <w:t xml:space="preserve"> Foxp3</w:t>
      </w:r>
      <w:r w:rsidRPr="003239E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3239EB">
        <w:rPr>
          <w:rFonts w:ascii="Times New Roman" w:hAnsi="Times New Roman" w:cs="Times New Roman"/>
          <w:sz w:val="24"/>
          <w:szCs w:val="24"/>
        </w:rPr>
        <w:t>) in the Sham, IRI, and IRI+RMT1</w:t>
      </w:r>
      <w:r w:rsidRPr="003239EB">
        <w:rPr>
          <w:rFonts w:ascii="Times New Roman" w:hAnsi="Times New Roman" w:cs="Times New Roman"/>
          <w:sz w:val="24"/>
          <w:szCs w:val="24"/>
        </w:rPr>
        <w:noBreakHyphen/>
        <w:t>10 groups were determined in the spleen, heart, and blood using Flow cytometry. B. Flow cytometry analysis of the number of Treg cells (CD4</w:t>
      </w:r>
      <w:r w:rsidRPr="003239E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3239EB">
        <w:rPr>
          <w:rFonts w:ascii="Times New Roman" w:hAnsi="Times New Roman" w:cs="Times New Roman"/>
          <w:sz w:val="24"/>
          <w:szCs w:val="24"/>
        </w:rPr>
        <w:t xml:space="preserve"> CD25</w:t>
      </w:r>
      <w:r w:rsidRPr="003239E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3239EB">
        <w:rPr>
          <w:rFonts w:ascii="Times New Roman" w:hAnsi="Times New Roman" w:cs="Times New Roman"/>
          <w:sz w:val="24"/>
          <w:szCs w:val="24"/>
        </w:rPr>
        <w:t xml:space="preserve"> Foxp3</w:t>
      </w:r>
      <w:r w:rsidRPr="003239E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3239EB">
        <w:rPr>
          <w:rFonts w:ascii="Times New Roman" w:hAnsi="Times New Roman" w:cs="Times New Roman"/>
          <w:sz w:val="24"/>
          <w:szCs w:val="24"/>
        </w:rPr>
        <w:t>) in spleen, heart, and blood of three groups (IRI, IRI+RMT1-10, Anti-CD20+IRI+RMT1-10). C. The percent of CD4</w:t>
      </w:r>
      <w:r w:rsidRPr="003239E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3239EB">
        <w:rPr>
          <w:rFonts w:ascii="Times New Roman" w:hAnsi="Times New Roman" w:cs="Times New Roman"/>
          <w:sz w:val="24"/>
          <w:szCs w:val="24"/>
        </w:rPr>
        <w:t xml:space="preserve"> and CD8</w:t>
      </w:r>
      <w:r w:rsidRPr="003239E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3239EB">
        <w:rPr>
          <w:rFonts w:ascii="Times New Roman" w:hAnsi="Times New Roman" w:cs="Times New Roman"/>
          <w:sz w:val="24"/>
          <w:szCs w:val="24"/>
        </w:rPr>
        <w:t xml:space="preserve"> cells in the different groups, as determined using Flow cytometry.</w:t>
      </w:r>
    </w:p>
    <w:p w14:paraId="5C69FFD3" w14:textId="77777777" w:rsidR="000A4BA0" w:rsidRPr="003239EB" w:rsidRDefault="000A4BA0" w:rsidP="000A4BA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39EB">
        <w:rPr>
          <w:rFonts w:ascii="Times New Roman" w:hAnsi="Times New Roman" w:cs="Times New Roman"/>
          <w:b/>
          <w:bCs/>
          <w:sz w:val="24"/>
          <w:szCs w:val="24"/>
        </w:rPr>
        <w:t>Figure S3</w:t>
      </w:r>
    </w:p>
    <w:p w14:paraId="698839D6" w14:textId="77777777" w:rsidR="000A4BA0" w:rsidRPr="00585F10" w:rsidRDefault="000A4BA0" w:rsidP="000A4BA0">
      <w:pPr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  <w:r w:rsidRPr="003239EB">
        <w:rPr>
          <w:rFonts w:ascii="Times New Roman" w:hAnsi="Times New Roman" w:cs="Times New Roman"/>
          <w:sz w:val="24"/>
          <w:szCs w:val="24"/>
        </w:rPr>
        <w:t>KEGG enriched EGFR signaling pathways</w:t>
      </w:r>
    </w:p>
    <w:p w14:paraId="2A1FAE12" w14:textId="77777777" w:rsidR="000A4BA0" w:rsidRPr="003239EB" w:rsidRDefault="000A4BA0" w:rsidP="000A4BA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39EB">
        <w:rPr>
          <w:rFonts w:ascii="Times New Roman" w:hAnsi="Times New Roman" w:cs="Times New Roman" w:hint="eastAsia"/>
          <w:b/>
          <w:bCs/>
          <w:sz w:val="24"/>
          <w:szCs w:val="24"/>
        </w:rPr>
        <w:t>Figure S4</w:t>
      </w:r>
    </w:p>
    <w:p w14:paraId="1C65AE86" w14:textId="77777777" w:rsidR="000A4BA0" w:rsidRPr="003239EB" w:rsidRDefault="000A4BA0" w:rsidP="000A4BA0">
      <w:pPr>
        <w:rPr>
          <w:rFonts w:ascii="Times New Roman" w:hAnsi="Times New Roman" w:cs="Times New Roman"/>
          <w:sz w:val="24"/>
        </w:rPr>
      </w:pPr>
      <w:r w:rsidRPr="003239EB">
        <w:rPr>
          <w:rFonts w:ascii="Times New Roman" w:hAnsi="Times New Roman" w:cs="Times New Roman"/>
          <w:sz w:val="24"/>
        </w:rPr>
        <w:t>The</w:t>
      </w:r>
      <w:r w:rsidRPr="003239EB">
        <w:rPr>
          <w:rFonts w:ascii="Times New Roman" w:hAnsi="Times New Roman" w:cs="Times New Roman" w:hint="eastAsia"/>
          <w:sz w:val="24"/>
        </w:rPr>
        <w:t xml:space="preserve"> PCA graph was used to demonstrate that the differences between groups are greater than those within groups.</w:t>
      </w:r>
    </w:p>
    <w:p w14:paraId="03E5172F" w14:textId="77777777" w:rsidR="000A4BA0" w:rsidRPr="003239EB" w:rsidRDefault="000A4BA0" w:rsidP="000A4BA0">
      <w:pPr>
        <w:rPr>
          <w:rFonts w:hint="eastAsia"/>
        </w:rPr>
      </w:pPr>
    </w:p>
    <w:p w14:paraId="2814CC0F" w14:textId="77777777" w:rsidR="00F50C0E" w:rsidRPr="000A4BA0" w:rsidRDefault="00F50C0E"/>
    <w:sectPr w:rsidR="00F50C0E" w:rsidRPr="000A4BA0" w:rsidSect="000A4BA0">
      <w:footerReference w:type="even" r:id="rId6"/>
      <w:footerReference w:type="default" r:id="rId7"/>
      <w:pgSz w:w="11906" w:h="16838"/>
      <w:pgMar w:top="1440" w:right="1797" w:bottom="1440" w:left="1797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AAEB4" w14:textId="77777777" w:rsidR="007933DD" w:rsidRDefault="007933DD" w:rsidP="000A4BA0">
      <w:pPr>
        <w:rPr>
          <w:rFonts w:hint="eastAsia"/>
        </w:rPr>
      </w:pPr>
      <w:r>
        <w:separator/>
      </w:r>
    </w:p>
  </w:endnote>
  <w:endnote w:type="continuationSeparator" w:id="0">
    <w:p w14:paraId="5012FD83" w14:textId="77777777" w:rsidR="007933DD" w:rsidRDefault="007933DD" w:rsidP="000A4BA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2"/>
      </w:rPr>
      <w:id w:val="873508153"/>
      <w:docPartObj>
        <w:docPartGallery w:val="Page Numbers (Bottom of Page)"/>
        <w:docPartUnique/>
      </w:docPartObj>
    </w:sdtPr>
    <w:sdtContent>
      <w:p w14:paraId="06B72B03" w14:textId="77777777" w:rsidR="00000000" w:rsidRDefault="00000000" w:rsidP="00B11882">
        <w:pPr>
          <w:pStyle w:val="af0"/>
          <w:framePr w:wrap="none" w:vAnchor="text" w:hAnchor="margin" w:xAlign="right" w:y="1"/>
          <w:rPr>
            <w:rStyle w:val="af2"/>
            <w:rFonts w:hint="eastAsia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end"/>
        </w:r>
      </w:p>
    </w:sdtContent>
  </w:sdt>
  <w:p w14:paraId="3BF9C9C3" w14:textId="77777777" w:rsidR="00000000" w:rsidRDefault="00000000">
    <w:pPr>
      <w:pStyle w:val="af0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9171732"/>
      <w:docPartObj>
        <w:docPartGallery w:val="Page Numbers (Bottom of Page)"/>
        <w:docPartUnique/>
      </w:docPartObj>
    </w:sdtPr>
    <w:sdtContent>
      <w:p w14:paraId="2F62E29A" w14:textId="77777777" w:rsidR="00000000" w:rsidRDefault="00000000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F9BEADC" w14:textId="77777777" w:rsidR="00000000" w:rsidRDefault="00000000">
    <w:pPr>
      <w:pStyle w:val="af0"/>
      <w:ind w:right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269A9" w14:textId="77777777" w:rsidR="007933DD" w:rsidRDefault="007933DD" w:rsidP="000A4BA0">
      <w:pPr>
        <w:rPr>
          <w:rFonts w:hint="eastAsia"/>
        </w:rPr>
      </w:pPr>
      <w:r>
        <w:separator/>
      </w:r>
    </w:p>
  </w:footnote>
  <w:footnote w:type="continuationSeparator" w:id="0">
    <w:p w14:paraId="600ECA35" w14:textId="77777777" w:rsidR="007933DD" w:rsidRDefault="007933DD" w:rsidP="000A4BA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C0E"/>
    <w:rsid w:val="000A4BA0"/>
    <w:rsid w:val="007933DD"/>
    <w:rsid w:val="00BB20C0"/>
    <w:rsid w:val="00F5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3B0E409-D366-47EF-AB1D-09FCB966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BA0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50C0E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0C0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0C0E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0C0E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0C0E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0C0E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0C0E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0C0E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0C0E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50C0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50C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50C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50C0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50C0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50C0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50C0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50C0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50C0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50C0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50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0C0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50C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0C0E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50C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0C0E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F50C0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0C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50C0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50C0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A4BA0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0A4BA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A4BA0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0A4BA0"/>
    <w:rPr>
      <w:sz w:val="18"/>
      <w:szCs w:val="18"/>
    </w:rPr>
  </w:style>
  <w:style w:type="character" w:styleId="af2">
    <w:name w:val="page number"/>
    <w:basedOn w:val="a0"/>
    <w:uiPriority w:val="99"/>
    <w:semiHidden/>
    <w:unhideWhenUsed/>
    <w:rsid w:val="000A4BA0"/>
  </w:style>
  <w:style w:type="character" w:styleId="af3">
    <w:name w:val="line number"/>
    <w:basedOn w:val="a0"/>
    <w:uiPriority w:val="99"/>
    <w:semiHidden/>
    <w:unhideWhenUsed/>
    <w:rsid w:val="000A4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C</dc:creator>
  <cp:keywords/>
  <dc:description/>
  <cp:lastModifiedBy>Y C</cp:lastModifiedBy>
  <cp:revision>2</cp:revision>
  <dcterms:created xsi:type="dcterms:W3CDTF">2025-07-31T05:50:00Z</dcterms:created>
  <dcterms:modified xsi:type="dcterms:W3CDTF">2025-07-31T05:50:00Z</dcterms:modified>
</cp:coreProperties>
</file>