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82375">
      <w:pPr>
        <w:spacing w:line="480" w:lineRule="auto"/>
        <w:rPr>
          <w:rFonts w:ascii="Times New Roman" w:hAnsi="Times New Roman"/>
          <w:b/>
          <w:bCs/>
          <w:sz w:val="32"/>
          <w:szCs w:val="56"/>
        </w:rPr>
      </w:pPr>
      <w:r>
        <w:rPr>
          <w:rFonts w:ascii="Times New Roman" w:hAnsi="Times New Roman"/>
          <w:b/>
          <w:bCs/>
          <w:sz w:val="32"/>
          <w:szCs w:val="56"/>
        </w:rPr>
        <w:t>Supporting Information</w:t>
      </w:r>
    </w:p>
    <w:p w14:paraId="653ABA51">
      <w:pPr>
        <w:spacing w:line="480" w:lineRule="auto"/>
        <w:rPr>
          <w:rFonts w:hint="eastAsia" w:ascii="Times New Roman" w:hAnsi="Times New Roman" w:cs="Times New Roman"/>
          <w:b/>
          <w:bCs/>
          <w:sz w:val="28"/>
          <w:szCs w:val="28"/>
        </w:rPr>
      </w:pPr>
      <w:r>
        <w:rPr>
          <w:rFonts w:hint="eastAsia" w:ascii="Times New Roman" w:hAnsi="Times New Roman" w:cs="Times New Roman"/>
          <w:b/>
          <w:bCs/>
          <w:sz w:val="28"/>
          <w:szCs w:val="28"/>
        </w:rPr>
        <w:t>Single-cell and spatial transcriptomics reveal necroptosis-driven MDK-NCL signaling in lymph node metastasis of gastric cancer</w:t>
      </w:r>
    </w:p>
    <w:p w14:paraId="6A4CA26A">
      <w:pPr>
        <w:spacing w:line="480" w:lineRule="auto"/>
        <w:rPr>
          <w:rFonts w:ascii="Times New Roman" w:hAnsi="Times New Roman"/>
          <w:sz w:val="24"/>
          <w:szCs w:val="21"/>
        </w:rPr>
      </w:pPr>
      <w:r>
        <w:rPr>
          <w:rFonts w:ascii="Times New Roman" w:hAnsi="Times New Roman"/>
          <w:sz w:val="24"/>
          <w:szCs w:val="21"/>
        </w:rPr>
        <w:t>Yuhua Hu</w:t>
      </w:r>
      <w:r>
        <w:rPr>
          <w:rFonts w:ascii="Times New Roman" w:hAnsi="Times New Roman"/>
          <w:sz w:val="24"/>
          <w:szCs w:val="28"/>
          <w:vertAlign w:val="superscript"/>
        </w:rPr>
        <w:t>#</w:t>
      </w:r>
      <w:r>
        <w:rPr>
          <w:rFonts w:hint="eastAsia" w:ascii="Times New Roman" w:hAnsi="Times New Roman"/>
          <w:sz w:val="24"/>
          <w:szCs w:val="28"/>
          <w:vertAlign w:val="superscript"/>
        </w:rPr>
        <w:t>,</w:t>
      </w:r>
      <w:r>
        <w:rPr>
          <w:rFonts w:ascii="Times New Roman" w:hAnsi="Times New Roman"/>
          <w:sz w:val="24"/>
          <w:szCs w:val="28"/>
          <w:vertAlign w:val="superscript"/>
        </w:rPr>
        <w:t>2</w:t>
      </w:r>
      <w:r>
        <w:rPr>
          <w:rFonts w:ascii="Times New Roman" w:hAnsi="Times New Roman"/>
          <w:sz w:val="24"/>
          <w:szCs w:val="21"/>
        </w:rPr>
        <w:t>,</w:t>
      </w:r>
      <w:r>
        <w:rPr>
          <w:rFonts w:hint="eastAsia" w:ascii="Times New Roman" w:hAnsi="Times New Roman"/>
          <w:sz w:val="24"/>
          <w:szCs w:val="21"/>
        </w:rPr>
        <w:t xml:space="preserve"> Honghong Zhang</w:t>
      </w:r>
      <w:r>
        <w:rPr>
          <w:rFonts w:hint="eastAsia" w:ascii="Times New Roman" w:hAnsi="Times New Roman"/>
          <w:sz w:val="24"/>
          <w:szCs w:val="24"/>
          <w:vertAlign w:val="superscript"/>
        </w:rPr>
        <w:t>#1</w:t>
      </w:r>
      <w:r>
        <w:rPr>
          <w:rFonts w:hint="eastAsia" w:ascii="Times New Roman" w:hAnsi="Times New Roman"/>
          <w:sz w:val="24"/>
          <w:szCs w:val="21"/>
        </w:rPr>
        <w:t>, Feng Shen</w:t>
      </w:r>
      <w:r>
        <w:rPr>
          <w:rFonts w:hint="eastAsia" w:ascii="Times New Roman" w:hAnsi="Times New Roman"/>
          <w:sz w:val="24"/>
          <w:szCs w:val="24"/>
          <w:vertAlign w:val="superscript"/>
        </w:rPr>
        <w:t>#1</w:t>
      </w:r>
      <w:r>
        <w:rPr>
          <w:rFonts w:hint="eastAsia" w:ascii="Times New Roman" w:hAnsi="Times New Roman"/>
          <w:sz w:val="24"/>
          <w:szCs w:val="21"/>
        </w:rPr>
        <w:t>, Xiaojun Zhao</w:t>
      </w:r>
      <w:r>
        <w:rPr>
          <w:rFonts w:hint="eastAsia" w:ascii="Times New Roman" w:hAnsi="Times New Roman"/>
          <w:sz w:val="24"/>
          <w:szCs w:val="24"/>
          <w:vertAlign w:val="superscript"/>
        </w:rPr>
        <w:t>#1</w:t>
      </w:r>
      <w:r>
        <w:rPr>
          <w:rFonts w:hint="eastAsia" w:ascii="Times New Roman" w:hAnsi="Times New Roman"/>
          <w:sz w:val="24"/>
          <w:szCs w:val="21"/>
        </w:rPr>
        <w:t>,</w:t>
      </w:r>
      <w:r>
        <w:rPr>
          <w:rFonts w:ascii="Times New Roman" w:hAnsi="Times New Roman"/>
          <w:sz w:val="24"/>
          <w:szCs w:val="21"/>
        </w:rPr>
        <w:t xml:space="preserve"> Zhuowen Long</w:t>
      </w:r>
      <w:r>
        <w:rPr>
          <w:rFonts w:ascii="Times New Roman" w:hAnsi="Times New Roman"/>
          <w:sz w:val="24"/>
          <w:szCs w:val="28"/>
          <w:vertAlign w:val="superscript"/>
        </w:rPr>
        <w:t>#</w:t>
      </w:r>
      <w:r>
        <w:rPr>
          <w:rFonts w:hint="eastAsia" w:ascii="Times New Roman" w:hAnsi="Times New Roman"/>
          <w:sz w:val="24"/>
          <w:szCs w:val="28"/>
          <w:vertAlign w:val="superscript"/>
        </w:rPr>
        <w:t>3</w:t>
      </w:r>
      <w:r>
        <w:rPr>
          <w:rFonts w:hint="eastAsia" w:ascii="Times New Roman" w:hAnsi="Times New Roman"/>
          <w:sz w:val="24"/>
          <w:szCs w:val="21"/>
        </w:rPr>
        <w:t xml:space="preserve">, </w:t>
      </w:r>
      <w:r>
        <w:rPr>
          <w:rFonts w:ascii="Times New Roman" w:hAnsi="Times New Roman"/>
          <w:sz w:val="24"/>
          <w:szCs w:val="21"/>
        </w:rPr>
        <w:t>Jiale Wen</w:t>
      </w:r>
      <w:r>
        <w:rPr>
          <w:rFonts w:hint="eastAsia" w:ascii="Times New Roman" w:hAnsi="Times New Roman"/>
          <w:sz w:val="24"/>
          <w:szCs w:val="24"/>
          <w:vertAlign w:val="superscript"/>
        </w:rPr>
        <w:t>1,2</w:t>
      </w:r>
      <w:r>
        <w:rPr>
          <w:rFonts w:hint="eastAsia" w:ascii="Times New Roman" w:hAnsi="Times New Roman"/>
          <w:sz w:val="24"/>
          <w:szCs w:val="21"/>
        </w:rPr>
        <w:t>,</w:t>
      </w:r>
      <w:r>
        <w:rPr>
          <w:rFonts w:ascii="Times New Roman" w:hAnsi="Times New Roman"/>
          <w:sz w:val="24"/>
          <w:szCs w:val="21"/>
        </w:rPr>
        <w:t xml:space="preserve"> Junxing Huang</w:t>
      </w:r>
      <w:r>
        <w:rPr>
          <w:rFonts w:ascii="Times New Roman" w:hAnsi="Times New Roman"/>
          <w:sz w:val="24"/>
          <w:szCs w:val="28"/>
          <w:vertAlign w:val="superscript"/>
        </w:rPr>
        <w:t>*1</w:t>
      </w:r>
      <w:r>
        <w:rPr>
          <w:rFonts w:hint="eastAsia" w:ascii="Times New Roman" w:hAnsi="Times New Roman"/>
          <w:sz w:val="24"/>
          <w:szCs w:val="28"/>
          <w:vertAlign w:val="superscript"/>
        </w:rPr>
        <w:t>,3</w:t>
      </w:r>
      <w:r>
        <w:rPr>
          <w:rFonts w:hint="eastAsia" w:ascii="Times New Roman" w:hAnsi="Times New Roman"/>
          <w:sz w:val="24"/>
          <w:szCs w:val="21"/>
        </w:rPr>
        <w:t>,</w:t>
      </w:r>
      <w:r>
        <w:rPr>
          <w:rFonts w:ascii="Times New Roman" w:hAnsi="Times New Roman"/>
          <w:sz w:val="24"/>
          <w:szCs w:val="21"/>
        </w:rPr>
        <w:t xml:space="preserve"> </w:t>
      </w:r>
      <w:r>
        <w:rPr>
          <w:rFonts w:hint="eastAsia" w:ascii="Times New Roman" w:hAnsi="Times New Roman"/>
          <w:sz w:val="24"/>
          <w:szCs w:val="21"/>
        </w:rPr>
        <w:t>Yan Chen</w:t>
      </w:r>
      <w:r>
        <w:rPr>
          <w:rFonts w:hint="eastAsia" w:ascii="Times New Roman" w:hAnsi="Times New Roman"/>
          <w:sz w:val="24"/>
          <w:szCs w:val="24"/>
          <w:vertAlign w:val="superscript"/>
        </w:rPr>
        <w:t>*1</w:t>
      </w:r>
      <w:r>
        <w:rPr>
          <w:rFonts w:hint="eastAsia" w:ascii="Times New Roman" w:hAnsi="Times New Roman"/>
          <w:sz w:val="24"/>
          <w:szCs w:val="21"/>
        </w:rPr>
        <w:t>,</w:t>
      </w:r>
      <w:r>
        <w:rPr>
          <w:rFonts w:ascii="Times New Roman" w:hAnsi="Times New Roman"/>
          <w:sz w:val="24"/>
          <w:szCs w:val="21"/>
        </w:rPr>
        <w:t xml:space="preserve"> Qing Guo</w:t>
      </w:r>
      <w:r>
        <w:rPr>
          <w:rFonts w:ascii="Times New Roman" w:hAnsi="Times New Roman"/>
          <w:sz w:val="24"/>
          <w:szCs w:val="28"/>
          <w:vertAlign w:val="superscript"/>
        </w:rPr>
        <w:t>*1</w:t>
      </w:r>
    </w:p>
    <w:p w14:paraId="4AA62D06">
      <w:pPr>
        <w:spacing w:line="480" w:lineRule="auto"/>
        <w:rPr>
          <w:rFonts w:ascii="Times New Roman" w:hAnsi="Times New Roman"/>
          <w:b/>
          <w:bCs/>
          <w:sz w:val="24"/>
          <w:szCs w:val="32"/>
        </w:rPr>
      </w:pPr>
    </w:p>
    <w:p w14:paraId="71DC9E4C">
      <w:pPr>
        <w:spacing w:line="480" w:lineRule="auto"/>
        <w:rPr>
          <w:rFonts w:ascii="Times New Roman" w:hAnsi="Times New Roman"/>
          <w:b/>
          <w:bCs/>
          <w:sz w:val="24"/>
          <w:szCs w:val="32"/>
        </w:rPr>
      </w:pPr>
      <w:r>
        <w:rPr>
          <w:rFonts w:ascii="Times New Roman" w:hAnsi="Times New Roman"/>
          <w:b/>
          <w:bCs/>
          <w:sz w:val="24"/>
          <w:szCs w:val="32"/>
        </w:rPr>
        <w:t>This supporting information includes:</w:t>
      </w:r>
    </w:p>
    <w:p w14:paraId="551DDFF4">
      <w:pPr>
        <w:spacing w:line="480" w:lineRule="auto"/>
        <w:rPr>
          <w:rFonts w:hint="default" w:ascii="Times New Roman" w:hAnsi="Times New Roman" w:eastAsiaTheme="minorEastAsia"/>
          <w:sz w:val="24"/>
          <w:szCs w:val="32"/>
          <w:lang w:val="en-US" w:eastAsia="zh-CN"/>
        </w:rPr>
      </w:pPr>
      <w:r>
        <w:rPr>
          <w:rFonts w:hint="eastAsia" w:ascii="Times New Roman" w:hAnsi="Times New Roman"/>
          <w:sz w:val="24"/>
          <w:szCs w:val="32"/>
          <w:lang w:val="en-US" w:eastAsia="zh-CN"/>
        </w:rPr>
        <w:t>A:Table 1-2      B:Data S1     C:</w:t>
      </w:r>
      <w:r>
        <w:rPr>
          <w:rFonts w:ascii="Times New Roman" w:hAnsi="Times New Roman"/>
          <w:sz w:val="24"/>
          <w:szCs w:val="32"/>
        </w:rPr>
        <w:t>Figures. S1 to S</w:t>
      </w:r>
      <w:r>
        <w:rPr>
          <w:rFonts w:hint="eastAsia" w:ascii="Times New Roman" w:hAnsi="Times New Roman"/>
          <w:sz w:val="24"/>
          <w:szCs w:val="32"/>
        </w:rPr>
        <w:t>4</w:t>
      </w:r>
      <w:r>
        <w:rPr>
          <w:rFonts w:hint="eastAsia" w:ascii="Times New Roman" w:hAnsi="Times New Roman"/>
          <w:sz w:val="24"/>
          <w:szCs w:val="32"/>
          <w:lang w:val="en-US" w:eastAsia="zh-CN"/>
        </w:rPr>
        <w:t xml:space="preserve">     D:</w:t>
      </w:r>
      <w:r>
        <w:rPr>
          <w:rFonts w:ascii="Times New Roman" w:hAnsi="Times New Roman"/>
          <w:sz w:val="24"/>
          <w:szCs w:val="32"/>
        </w:rPr>
        <w:t>Legends for S1 to S</w:t>
      </w:r>
      <w:r>
        <w:rPr>
          <w:rFonts w:hint="eastAsia" w:ascii="Times New Roman" w:hAnsi="Times New Roman"/>
          <w:sz w:val="24"/>
          <w:szCs w:val="32"/>
          <w:lang w:val="en-US" w:eastAsia="zh-CN"/>
        </w:rPr>
        <w:t xml:space="preserve">4  </w:t>
      </w:r>
    </w:p>
    <w:p w14:paraId="68C1076D">
      <w:pPr>
        <w:spacing w:line="480" w:lineRule="auto"/>
        <w:rPr>
          <w:rFonts w:ascii="Times New Roman" w:hAnsi="Times New Roman"/>
          <w:sz w:val="24"/>
          <w:szCs w:val="32"/>
        </w:rPr>
      </w:pPr>
    </w:p>
    <w:p w14:paraId="6178362B">
      <w:pPr>
        <w:spacing w:line="480" w:lineRule="auto"/>
        <w:rPr>
          <w:rFonts w:ascii="Times New Roman" w:hAnsi="Times New Roman"/>
          <w:sz w:val="24"/>
          <w:szCs w:val="32"/>
        </w:rPr>
      </w:pPr>
      <w:r>
        <w:rPr>
          <w:rFonts w:ascii="Times New Roman" w:hAnsi="Times New Roman"/>
          <w:b/>
          <w:bCs/>
          <w:sz w:val="24"/>
          <w:szCs w:val="32"/>
        </w:rPr>
        <w:t>Table</w:t>
      </w:r>
      <w:r>
        <w:rPr>
          <w:rFonts w:hint="eastAsia" w:ascii="Times New Roman" w:hAnsi="Times New Roman"/>
          <w:b/>
          <w:bCs/>
          <w:sz w:val="24"/>
          <w:szCs w:val="32"/>
        </w:rPr>
        <w:t xml:space="preserve"> </w:t>
      </w:r>
      <w:r>
        <w:rPr>
          <w:rFonts w:ascii="Times New Roman" w:hAnsi="Times New Roman"/>
          <w:b/>
          <w:bCs/>
          <w:sz w:val="24"/>
          <w:szCs w:val="32"/>
        </w:rPr>
        <w:t>1.</w:t>
      </w:r>
      <w:r>
        <w:rPr>
          <w:rFonts w:ascii="Times New Roman" w:hAnsi="Times New Roman"/>
          <w:sz w:val="24"/>
          <w:szCs w:val="32"/>
        </w:rPr>
        <w:t>Demographics and clinicopathological characteristics of the study population</w:t>
      </w:r>
    </w:p>
    <w:p w14:paraId="557E1405">
      <w:pPr>
        <w:spacing w:line="480" w:lineRule="auto"/>
        <w:rPr>
          <w:rFonts w:ascii="Times New Roman" w:hAnsi="Times New Roman"/>
          <w:sz w:val="24"/>
          <w:szCs w:val="32"/>
        </w:rPr>
      </w:pPr>
      <w:r>
        <w:rPr>
          <w:rFonts w:ascii="Times New Roman" w:hAnsi="Times New Roman"/>
          <w:b/>
          <w:bCs/>
          <w:sz w:val="24"/>
          <w:szCs w:val="32"/>
        </w:rPr>
        <w:t>Table</w:t>
      </w:r>
      <w:r>
        <w:rPr>
          <w:rFonts w:hint="eastAsia" w:ascii="Times New Roman" w:hAnsi="Times New Roman"/>
          <w:b/>
          <w:bCs/>
          <w:sz w:val="24"/>
          <w:szCs w:val="32"/>
        </w:rPr>
        <w:t xml:space="preserve"> </w:t>
      </w:r>
      <w:r>
        <w:rPr>
          <w:rFonts w:hint="eastAsia" w:ascii="Times New Roman" w:hAnsi="Times New Roman"/>
          <w:b/>
          <w:bCs/>
          <w:sz w:val="24"/>
          <w:szCs w:val="32"/>
          <w:lang w:val="en-US" w:eastAsia="zh-CN"/>
        </w:rPr>
        <w:t>2</w:t>
      </w:r>
      <w:r>
        <w:rPr>
          <w:rFonts w:ascii="Times New Roman" w:hAnsi="Times New Roman"/>
          <w:b/>
          <w:bCs/>
          <w:sz w:val="24"/>
          <w:szCs w:val="32"/>
        </w:rPr>
        <w:t>.</w:t>
      </w:r>
      <w:r>
        <w:rPr>
          <w:rFonts w:ascii="Times New Roman" w:hAnsi="Times New Roman"/>
          <w:sz w:val="24"/>
          <w:szCs w:val="32"/>
        </w:rPr>
        <w:t>Results of sing</w:t>
      </w:r>
      <w:bookmarkStart w:id="0" w:name="_GoBack"/>
      <w:bookmarkEnd w:id="0"/>
      <w:r>
        <w:rPr>
          <w:rFonts w:ascii="Times New Roman" w:hAnsi="Times New Roman"/>
          <w:sz w:val="24"/>
          <w:szCs w:val="32"/>
        </w:rPr>
        <w:t>le - gene Logistic regression analysis</w:t>
      </w:r>
      <w:r>
        <w:rPr>
          <w:rFonts w:ascii="Segoe UI" w:hAnsi="Segoe UI" w:eastAsia="Segoe UI" w:cs="Segoe UI"/>
          <w:i w:val="0"/>
          <w:iCs w:val="0"/>
          <w:caps w:val="0"/>
          <w:spacing w:val="0"/>
          <w:sz w:val="19"/>
          <w:szCs w:val="19"/>
          <w:shd w:val="clear" w:fill="FFFFFF"/>
        </w:rPr>
        <w:t>.</w:t>
      </w:r>
      <w:r>
        <w:rPr>
          <w:rFonts w:hint="default" w:ascii="Segoe UI" w:hAnsi="Segoe UI" w:eastAsia="Segoe UI" w:cs="Segoe UI"/>
          <w:i w:val="0"/>
          <w:iCs w:val="0"/>
          <w:caps w:val="0"/>
          <w:spacing w:val="0"/>
          <w:sz w:val="19"/>
          <w:szCs w:val="19"/>
          <w:shd w:val="clear" w:fill="FFFFFF"/>
        </w:rPr>
        <w:t> </w:t>
      </w:r>
    </w:p>
    <w:p w14:paraId="7BBA0A77">
      <w:pPr>
        <w:spacing w:line="480" w:lineRule="auto"/>
        <w:rPr>
          <w:rFonts w:ascii="Times New Roman" w:hAnsi="Times New Roman"/>
          <w:sz w:val="24"/>
          <w:szCs w:val="32"/>
        </w:rPr>
      </w:pPr>
      <w:r>
        <w:rPr>
          <w:rFonts w:ascii="Times New Roman" w:hAnsi="Times New Roman"/>
          <w:b/>
          <w:bCs/>
          <w:sz w:val="24"/>
          <w:szCs w:val="32"/>
        </w:rPr>
        <w:t>Data S</w:t>
      </w:r>
      <w:r>
        <w:rPr>
          <w:rFonts w:hint="eastAsia" w:ascii="Times New Roman" w:hAnsi="Times New Roman"/>
          <w:b/>
          <w:bCs/>
          <w:sz w:val="24"/>
          <w:szCs w:val="32"/>
          <w:lang w:val="en-US" w:eastAsia="zh-CN"/>
        </w:rPr>
        <w:t>1</w:t>
      </w:r>
      <w:r>
        <w:rPr>
          <w:rFonts w:ascii="Times New Roman" w:hAnsi="Times New Roman"/>
          <w:b/>
          <w:bCs/>
          <w:sz w:val="24"/>
          <w:szCs w:val="32"/>
        </w:rPr>
        <w:t>.</w:t>
      </w:r>
      <w:r>
        <w:rPr>
          <w:rFonts w:hint="eastAsia" w:ascii="Times New Roman" w:hAnsi="Times New Roman"/>
          <w:sz w:val="24"/>
          <w:szCs w:val="32"/>
        </w:rPr>
        <w:t>The gene list acquired from ImmPort is utilized for the purpose of immunological scoring in the context of spatial transcriptomics.</w:t>
      </w:r>
    </w:p>
    <w:p w14:paraId="1AD7C33F">
      <w:pPr>
        <w:spacing w:line="480" w:lineRule="auto"/>
        <w:rPr>
          <w:rFonts w:ascii="Times New Roman" w:hAnsi="Times New Roman"/>
          <w:sz w:val="24"/>
          <w:szCs w:val="32"/>
        </w:rPr>
      </w:pPr>
      <w:r>
        <w:rPr>
          <w:rFonts w:hint="eastAsia" w:ascii="Times New Roman" w:hAnsi="Times New Roman"/>
          <w:sz w:val="24"/>
          <w:szCs w:val="32"/>
        </w:rPr>
        <w:t xml:space="preserve">                                                                       </w:t>
      </w:r>
    </w:p>
    <w:p w14:paraId="347A9A9D">
      <w:pPr>
        <w:spacing w:line="480" w:lineRule="auto"/>
        <w:rPr>
          <w:rFonts w:ascii="Times New Roman" w:hAnsi="Times New Roman"/>
          <w:color w:val="FF0000"/>
          <w:sz w:val="24"/>
          <w:szCs w:val="32"/>
        </w:rPr>
      </w:pPr>
      <w:r>
        <w:rPr>
          <w:rFonts w:ascii="Times New Roman" w:hAnsi="Times New Roman"/>
          <w:sz w:val="24"/>
        </w:rPr>
        <w:drawing>
          <wp:inline distT="0" distB="0" distL="0" distR="0">
            <wp:extent cx="5274310" cy="6423660"/>
            <wp:effectExtent l="0" t="0" r="2540" b="0"/>
            <wp:docPr id="1850373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37387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6423660"/>
                    </a:xfrm>
                    <a:prstGeom prst="rect">
                      <a:avLst/>
                    </a:prstGeom>
                    <a:noFill/>
                    <a:ln>
                      <a:noFill/>
                    </a:ln>
                  </pic:spPr>
                </pic:pic>
              </a:graphicData>
            </a:graphic>
          </wp:inline>
        </w:drawing>
      </w:r>
    </w:p>
    <w:p w14:paraId="4090A908">
      <w:pPr>
        <w:spacing w:line="480" w:lineRule="auto"/>
        <w:rPr>
          <w:rFonts w:ascii="Times New Roman" w:hAnsi="Times New Roman"/>
          <w:sz w:val="24"/>
          <w:szCs w:val="32"/>
        </w:rPr>
      </w:pPr>
      <w:r>
        <w:rPr>
          <w:rFonts w:ascii="Times New Roman" w:hAnsi="Times New Roman"/>
          <w:b/>
          <w:bCs/>
          <w:sz w:val="24"/>
          <w:szCs w:val="32"/>
        </w:rPr>
        <w:t>Figure S1. Cell types identified by mark genes of sc-RNA seq clusters. (A)</w:t>
      </w:r>
      <w:r>
        <w:rPr>
          <w:rFonts w:ascii="Times New Roman" w:hAnsi="Times New Roman"/>
          <w:sz w:val="24"/>
          <w:szCs w:val="32"/>
        </w:rPr>
        <w:t xml:space="preserve"> The bar chart illustrates the relative proportions of various cell types in four primary tumors and their corresponding lymph nodes. Each cell type is represented by a distinct color. </w:t>
      </w:r>
      <w:r>
        <w:rPr>
          <w:rFonts w:ascii="Times New Roman" w:hAnsi="Times New Roman"/>
          <w:b/>
          <w:bCs/>
          <w:sz w:val="24"/>
          <w:szCs w:val="32"/>
        </w:rPr>
        <w:t>(B)</w:t>
      </w:r>
      <w:r>
        <w:rPr>
          <w:rFonts w:ascii="Times New Roman" w:hAnsi="Times New Roman"/>
          <w:sz w:val="24"/>
          <w:szCs w:val="32"/>
        </w:rPr>
        <w:t xml:space="preserve"> Volcano plots shows the changes in expression levels of marker genes in different cell populations. The figure shows the log2 fold change and the difference in expression proportion for the top 5 marker genes in each sc-RNA seq cluster. </w:t>
      </w:r>
      <w:r>
        <w:rPr>
          <w:rFonts w:ascii="Times New Roman" w:hAnsi="Times New Roman"/>
          <w:b/>
          <w:bCs/>
          <w:sz w:val="24"/>
          <w:szCs w:val="32"/>
        </w:rPr>
        <w:t xml:space="preserve">(C) </w:t>
      </w:r>
      <w:r>
        <w:rPr>
          <w:rFonts w:ascii="Times New Roman" w:hAnsi="Times New Roman"/>
          <w:sz w:val="24"/>
          <w:szCs w:val="32"/>
        </w:rPr>
        <w:t>Expression levels of selected known marker genes across 5</w:t>
      </w:r>
      <w:r>
        <w:rPr>
          <w:rFonts w:hint="eastAsia" w:ascii="Times New Roman" w:hAnsi="Times New Roman"/>
          <w:sz w:val="24"/>
          <w:szCs w:val="32"/>
        </w:rPr>
        <w:t>0 599</w:t>
      </w:r>
      <w:r>
        <w:rPr>
          <w:rFonts w:ascii="Times New Roman" w:hAnsi="Times New Roman"/>
          <w:sz w:val="24"/>
          <w:szCs w:val="32"/>
        </w:rPr>
        <w:t xml:space="preserve"> unsorted cells illustrated in t-SNE plots from both primary cancer and lymph node tissue in gastric adenocarcinoma patients</w:t>
      </w:r>
    </w:p>
    <w:p w14:paraId="36A6D73B">
      <w:pPr>
        <w:spacing w:line="480" w:lineRule="auto"/>
        <w:rPr>
          <w:rFonts w:ascii="Times New Roman" w:hAnsi="Times New Roman"/>
          <w:sz w:val="24"/>
          <w:szCs w:val="32"/>
        </w:rPr>
      </w:pPr>
    </w:p>
    <w:p w14:paraId="4D0C4E39">
      <w:pPr>
        <w:spacing w:line="480" w:lineRule="auto"/>
        <w:rPr>
          <w:rFonts w:ascii="Times New Roman" w:hAnsi="Times New Roman"/>
          <w:sz w:val="24"/>
          <w:szCs w:val="32"/>
        </w:rPr>
      </w:pPr>
    </w:p>
    <w:p w14:paraId="661B08BB">
      <w:pPr>
        <w:spacing w:line="480" w:lineRule="auto"/>
        <w:rPr>
          <w:rFonts w:ascii="Times New Roman" w:hAnsi="Times New Roman"/>
          <w:sz w:val="24"/>
          <w:szCs w:val="32"/>
        </w:rPr>
      </w:pPr>
    </w:p>
    <w:p w14:paraId="22EB40D8">
      <w:pPr>
        <w:spacing w:line="480" w:lineRule="auto"/>
        <w:rPr>
          <w:rFonts w:ascii="Times New Roman" w:hAnsi="Times New Roman"/>
          <w:sz w:val="24"/>
          <w:szCs w:val="32"/>
        </w:rPr>
      </w:pPr>
    </w:p>
    <w:p w14:paraId="072A9EA3">
      <w:pPr>
        <w:spacing w:line="480" w:lineRule="auto"/>
        <w:rPr>
          <w:rFonts w:ascii="Times New Roman" w:hAnsi="Times New Roman"/>
          <w:sz w:val="24"/>
          <w:szCs w:val="32"/>
        </w:rPr>
      </w:pPr>
    </w:p>
    <w:p w14:paraId="7437FDB1">
      <w:pPr>
        <w:spacing w:line="480" w:lineRule="auto"/>
        <w:rPr>
          <w:rFonts w:ascii="Times New Roman" w:hAnsi="Times New Roman"/>
          <w:sz w:val="24"/>
          <w:szCs w:val="32"/>
        </w:rPr>
      </w:pPr>
    </w:p>
    <w:p w14:paraId="2FC5321C">
      <w:pPr>
        <w:spacing w:line="480" w:lineRule="auto"/>
        <w:rPr>
          <w:rFonts w:ascii="Times New Roman" w:hAnsi="Times New Roman"/>
          <w:sz w:val="24"/>
          <w:szCs w:val="32"/>
        </w:rPr>
      </w:pPr>
    </w:p>
    <w:p w14:paraId="5D6BC6C5">
      <w:pPr>
        <w:spacing w:line="480" w:lineRule="auto"/>
        <w:rPr>
          <w:rFonts w:ascii="Times New Roman" w:hAnsi="Times New Roman"/>
          <w:sz w:val="24"/>
          <w:szCs w:val="32"/>
        </w:rPr>
      </w:pPr>
    </w:p>
    <w:p w14:paraId="6A3BEB5F">
      <w:pPr>
        <w:spacing w:line="480" w:lineRule="auto"/>
        <w:rPr>
          <w:rFonts w:ascii="Times New Roman" w:hAnsi="Times New Roman"/>
          <w:sz w:val="24"/>
          <w:szCs w:val="32"/>
        </w:rPr>
      </w:pPr>
    </w:p>
    <w:p w14:paraId="76800FAE">
      <w:pPr>
        <w:spacing w:line="480" w:lineRule="auto"/>
        <w:rPr>
          <w:rFonts w:ascii="Times New Roman" w:hAnsi="Times New Roman"/>
          <w:sz w:val="24"/>
          <w:szCs w:val="32"/>
        </w:rPr>
      </w:pPr>
    </w:p>
    <w:p w14:paraId="09D99830">
      <w:pPr>
        <w:spacing w:line="480" w:lineRule="auto"/>
        <w:rPr>
          <w:rFonts w:ascii="Times New Roman" w:hAnsi="Times New Roman"/>
          <w:sz w:val="24"/>
          <w:szCs w:val="32"/>
        </w:rPr>
      </w:pPr>
    </w:p>
    <w:p w14:paraId="313A8D2F">
      <w:pPr>
        <w:spacing w:line="480" w:lineRule="auto"/>
        <w:rPr>
          <w:rFonts w:ascii="Times New Roman" w:hAnsi="Times New Roman"/>
          <w:sz w:val="24"/>
          <w:szCs w:val="32"/>
        </w:rPr>
      </w:pPr>
    </w:p>
    <w:p w14:paraId="7A4AA08E">
      <w:pPr>
        <w:spacing w:line="480" w:lineRule="auto"/>
        <w:rPr>
          <w:rFonts w:ascii="Times New Roman" w:hAnsi="Times New Roman"/>
          <w:sz w:val="24"/>
          <w:szCs w:val="32"/>
        </w:rPr>
      </w:pPr>
    </w:p>
    <w:p w14:paraId="087092B0">
      <w:pPr>
        <w:spacing w:line="480" w:lineRule="auto"/>
        <w:rPr>
          <w:rFonts w:ascii="Times New Roman" w:hAnsi="Times New Roman"/>
          <w:sz w:val="24"/>
          <w:szCs w:val="32"/>
        </w:rPr>
      </w:pPr>
    </w:p>
    <w:p w14:paraId="2949FB0D">
      <w:pPr>
        <w:spacing w:line="480" w:lineRule="auto"/>
        <w:rPr>
          <w:rFonts w:ascii="Times New Roman" w:hAnsi="Times New Roman"/>
          <w:sz w:val="24"/>
          <w:szCs w:val="32"/>
        </w:rPr>
      </w:pPr>
      <w:r>
        <w:rPr>
          <w:rFonts w:ascii="Times New Roman" w:hAnsi="Times New Roman"/>
          <w:sz w:val="24"/>
        </w:rPr>
        <w:drawing>
          <wp:inline distT="0" distB="0" distL="0" distR="0">
            <wp:extent cx="5274310" cy="8045450"/>
            <wp:effectExtent l="0" t="0" r="2540" b="0"/>
            <wp:docPr id="10366657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65755"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8045450"/>
                    </a:xfrm>
                    <a:prstGeom prst="rect">
                      <a:avLst/>
                    </a:prstGeom>
                    <a:noFill/>
                    <a:ln>
                      <a:noFill/>
                    </a:ln>
                  </pic:spPr>
                </pic:pic>
              </a:graphicData>
            </a:graphic>
          </wp:inline>
        </w:drawing>
      </w:r>
    </w:p>
    <w:p w14:paraId="589B9B41">
      <w:pPr>
        <w:spacing w:line="480" w:lineRule="auto"/>
        <w:rPr>
          <w:rFonts w:ascii="Times New Roman" w:hAnsi="Times New Roman"/>
          <w:sz w:val="24"/>
          <w:szCs w:val="32"/>
        </w:rPr>
      </w:pPr>
      <w:r>
        <w:rPr>
          <w:rFonts w:ascii="Times New Roman" w:hAnsi="Times New Roman"/>
          <w:b/>
          <w:bCs/>
          <w:sz w:val="24"/>
          <w:szCs w:val="32"/>
        </w:rPr>
        <w:t>Figure S2. Malignant epithelial cells identified by CNV levels.</w:t>
      </w:r>
    </w:p>
    <w:p w14:paraId="0A26A77D">
      <w:pPr>
        <w:spacing w:line="480" w:lineRule="auto"/>
        <w:rPr>
          <w:rFonts w:ascii="Times New Roman" w:hAnsi="Times New Roman"/>
          <w:sz w:val="24"/>
          <w:szCs w:val="32"/>
        </w:rPr>
      </w:pPr>
      <w:r>
        <w:rPr>
          <w:rFonts w:ascii="Times New Roman" w:hAnsi="Times New Roman"/>
          <w:b/>
          <w:bCs/>
          <w:sz w:val="24"/>
          <w:szCs w:val="32"/>
        </w:rPr>
        <w:t xml:space="preserve">(A) </w:t>
      </w:r>
      <w:r>
        <w:rPr>
          <w:rFonts w:ascii="Times New Roman" w:hAnsi="Times New Roman"/>
          <w:sz w:val="24"/>
          <w:szCs w:val="32"/>
        </w:rPr>
        <w:t>The bar chart displays the reclassification of epithelial cell clusters in each lymph node and tumor sample. Each cell type is shown in a different color.</w:t>
      </w:r>
      <w:r>
        <w:rPr>
          <w:rFonts w:ascii="Times New Roman" w:hAnsi="Times New Roman" w:cs="Segoe UI"/>
          <w:color w:val="1A2029"/>
          <w:sz w:val="24"/>
          <w:szCs w:val="23"/>
          <w:shd w:val="clear" w:color="auto" w:fill="FFFFFF"/>
        </w:rPr>
        <w:t xml:space="preserve"> </w:t>
      </w:r>
      <w:r>
        <w:rPr>
          <w:rFonts w:ascii="Times New Roman" w:hAnsi="Times New Roman"/>
          <w:b/>
          <w:bCs/>
          <w:sz w:val="24"/>
          <w:szCs w:val="32"/>
        </w:rPr>
        <w:t>(</w:t>
      </w:r>
      <w:r>
        <w:rPr>
          <w:rFonts w:hint="eastAsia" w:ascii="Times New Roman" w:hAnsi="Times New Roman"/>
          <w:b/>
          <w:bCs/>
          <w:sz w:val="24"/>
          <w:szCs w:val="32"/>
        </w:rPr>
        <w:t>B</w:t>
      </w:r>
      <w:r>
        <w:rPr>
          <w:rFonts w:ascii="Times New Roman" w:hAnsi="Times New Roman"/>
          <w:b/>
          <w:bCs/>
          <w:sz w:val="24"/>
          <w:szCs w:val="32"/>
        </w:rPr>
        <w:t xml:space="preserve">) </w:t>
      </w:r>
      <w:r>
        <w:rPr>
          <w:rFonts w:ascii="Times New Roman" w:hAnsi="Times New Roman"/>
          <w:sz w:val="24"/>
          <w:szCs w:val="32"/>
        </w:rPr>
        <w:t xml:space="preserve">The scatter plot is utilized to illustrate the trajectories and distributions of cells originating from various tissues during the process of tumor metastasis. The points of different colors represent cells derived from different tissues. It is noteworthy that there are no tumor cells observed in the L4 MLN, a significant reason for which may be the small volume of the lymph tissue sample used for single-cell sequencing. Pathological data indicate that this lymph node had undergone metastasis. The lymph node was divided into two parts: one part was used for sequencing analysis, while the other was provided by the hospital for pathological reporting of normal patients. </w:t>
      </w:r>
      <w:r>
        <w:rPr>
          <w:rFonts w:ascii="Times New Roman" w:hAnsi="Times New Roman"/>
          <w:b/>
          <w:bCs/>
          <w:sz w:val="24"/>
          <w:szCs w:val="32"/>
        </w:rPr>
        <w:t>(</w:t>
      </w:r>
      <w:r>
        <w:rPr>
          <w:rFonts w:hint="eastAsia" w:ascii="Times New Roman" w:hAnsi="Times New Roman"/>
          <w:b/>
          <w:bCs/>
          <w:sz w:val="24"/>
          <w:szCs w:val="32"/>
        </w:rPr>
        <w:t>C</w:t>
      </w:r>
      <w:r>
        <w:rPr>
          <w:rFonts w:ascii="Times New Roman" w:hAnsi="Times New Roman"/>
          <w:b/>
          <w:bCs/>
          <w:sz w:val="24"/>
          <w:szCs w:val="32"/>
        </w:rPr>
        <w:t>)</w:t>
      </w:r>
      <w:r>
        <w:rPr>
          <w:rFonts w:ascii="Times New Roman" w:hAnsi="Times New Roman"/>
          <w:sz w:val="24"/>
          <w:szCs w:val="32"/>
        </w:rPr>
        <w:t>The UMAP plot is used to visualize the results of CNV (copy number variation) analysis for different epithelial cell clusters, where the CNV levels of each cluster are distinguished by different colors.</w:t>
      </w:r>
      <w:r>
        <w:rPr>
          <w:rFonts w:ascii="Times New Roman" w:hAnsi="Times New Roman"/>
          <w:b/>
          <w:bCs/>
          <w:sz w:val="24"/>
          <w:szCs w:val="32"/>
        </w:rPr>
        <w:t xml:space="preserve"> (</w:t>
      </w:r>
      <w:r>
        <w:rPr>
          <w:rFonts w:hint="eastAsia" w:ascii="Times New Roman" w:hAnsi="Times New Roman"/>
          <w:b/>
          <w:bCs/>
          <w:sz w:val="24"/>
          <w:szCs w:val="32"/>
        </w:rPr>
        <w:t>D</w:t>
      </w:r>
      <w:r>
        <w:rPr>
          <w:rFonts w:ascii="Times New Roman" w:hAnsi="Times New Roman"/>
          <w:b/>
          <w:bCs/>
          <w:sz w:val="24"/>
          <w:szCs w:val="32"/>
        </w:rPr>
        <w:t>)</w:t>
      </w:r>
      <w:r>
        <w:rPr>
          <w:rFonts w:ascii="Times New Roman" w:hAnsi="Times New Roman" w:eastAsia="宋体" w:cs="Segoe UI"/>
          <w:color w:val="1A2029"/>
          <w:kern w:val="0"/>
          <w:sz w:val="24"/>
          <w:szCs w:val="23"/>
        </w:rPr>
        <w:t xml:space="preserve"> </w:t>
      </w:r>
      <w:r>
        <w:rPr>
          <w:rFonts w:ascii="Times New Roman" w:hAnsi="Times New Roman"/>
          <w:sz w:val="24"/>
          <w:szCs w:val="32"/>
        </w:rPr>
        <w:t>The heat map shows the large-scale copy number variations (CNVs) of individual cells (rows) from several clusters, which are calculated based on the average expression of 100 genes surrounding each chromosome position (columns). Red: amplification; Blue: deletion.</w:t>
      </w:r>
      <w:r>
        <w:rPr>
          <w:rFonts w:hint="eastAsia" w:ascii="Times New Roman" w:hAnsi="Times New Roman"/>
          <w:sz w:val="24"/>
          <w:szCs w:val="32"/>
        </w:rPr>
        <w:t xml:space="preserve"> </w:t>
      </w:r>
      <w:r>
        <w:rPr>
          <w:rFonts w:ascii="Times New Roman" w:hAnsi="Times New Roman"/>
          <w:b/>
          <w:bCs/>
          <w:sz w:val="24"/>
          <w:szCs w:val="32"/>
        </w:rPr>
        <w:t>(</w:t>
      </w:r>
      <w:r>
        <w:rPr>
          <w:rFonts w:hint="eastAsia" w:ascii="Times New Roman" w:hAnsi="Times New Roman"/>
          <w:b/>
          <w:bCs/>
          <w:sz w:val="24"/>
          <w:szCs w:val="32"/>
        </w:rPr>
        <w:t>E</w:t>
      </w:r>
      <w:r>
        <w:rPr>
          <w:rFonts w:ascii="Times New Roman" w:hAnsi="Times New Roman"/>
          <w:b/>
          <w:bCs/>
          <w:sz w:val="24"/>
          <w:szCs w:val="32"/>
        </w:rPr>
        <w:t>)</w:t>
      </w:r>
      <w:r>
        <w:rPr>
          <w:rFonts w:ascii="Times New Roman" w:hAnsi="Times New Roman" w:eastAsia="宋体" w:cs="Segoe UI"/>
          <w:color w:val="1A2029"/>
          <w:kern w:val="0"/>
          <w:sz w:val="24"/>
          <w:szCs w:val="23"/>
        </w:rPr>
        <w:t xml:space="preserve"> </w:t>
      </w:r>
      <w:r>
        <w:rPr>
          <w:rFonts w:hint="eastAsia" w:ascii="Times New Roman" w:hAnsi="Times New Roman"/>
          <w:sz w:val="24"/>
          <w:szCs w:val="32"/>
        </w:rPr>
        <w:t>The UMAP plot is used to illustrate the classification of 3403 gastric cancer cells from different branches of cellular trajectory analysis. Tumor cells from various branches are displayed in distinct colors.</w:t>
      </w:r>
      <w:r>
        <w:rPr>
          <w:rFonts w:ascii="Times New Roman" w:hAnsi="Times New Roman"/>
          <w:b/>
          <w:bCs/>
          <w:sz w:val="24"/>
          <w:szCs w:val="32"/>
        </w:rPr>
        <w:t xml:space="preserve"> (</w:t>
      </w:r>
      <w:r>
        <w:rPr>
          <w:rFonts w:hint="eastAsia" w:ascii="Times New Roman" w:hAnsi="Times New Roman"/>
          <w:b/>
          <w:bCs/>
          <w:sz w:val="24"/>
          <w:szCs w:val="32"/>
        </w:rPr>
        <w:t>F</w:t>
      </w:r>
      <w:r>
        <w:rPr>
          <w:rFonts w:ascii="Times New Roman" w:hAnsi="Times New Roman"/>
          <w:b/>
          <w:bCs/>
          <w:sz w:val="24"/>
          <w:szCs w:val="32"/>
        </w:rPr>
        <w:t xml:space="preserve">) </w:t>
      </w:r>
      <w:r>
        <w:rPr>
          <w:rFonts w:hint="eastAsia" w:ascii="Times New Roman" w:hAnsi="Times New Roman"/>
          <w:sz w:val="24"/>
          <w:szCs w:val="32"/>
        </w:rPr>
        <w:t>The volcano plot reveals the changes in the expression levels of marker genes in different branches of gastric cancer cells. The expression level changes of the top 5 marker genes in each sc-RNA sequence cluster are depicted in the figure.</w:t>
      </w:r>
    </w:p>
    <w:p w14:paraId="1E5F623E">
      <w:pPr>
        <w:spacing w:line="480" w:lineRule="auto"/>
        <w:rPr>
          <w:rFonts w:ascii="Times New Roman" w:hAnsi="Times New Roman"/>
          <w:sz w:val="24"/>
          <w:szCs w:val="32"/>
        </w:rPr>
      </w:pPr>
    </w:p>
    <w:p w14:paraId="0F5AA6D3">
      <w:pPr>
        <w:spacing w:line="480" w:lineRule="auto"/>
        <w:rPr>
          <w:rFonts w:ascii="Times New Roman" w:hAnsi="Times New Roman"/>
          <w:sz w:val="24"/>
          <w:szCs w:val="32"/>
        </w:rPr>
      </w:pPr>
    </w:p>
    <w:p w14:paraId="451CE968">
      <w:pPr>
        <w:spacing w:line="480" w:lineRule="auto"/>
        <w:rPr>
          <w:rFonts w:ascii="Times New Roman" w:hAnsi="Times New Roman"/>
          <w:sz w:val="24"/>
          <w:szCs w:val="32"/>
        </w:rPr>
      </w:pPr>
      <w:r>
        <w:rPr>
          <w:rFonts w:hint="eastAsia" w:ascii="Times New Roman" w:hAnsi="Times New Roman"/>
          <w:sz w:val="24"/>
          <w:szCs w:val="32"/>
        </w:rPr>
        <w:drawing>
          <wp:anchor distT="0" distB="0" distL="114300" distR="114300" simplePos="0" relativeHeight="251659264" behindDoc="0" locked="0" layoutInCell="1" allowOverlap="1">
            <wp:simplePos x="0" y="0"/>
            <wp:positionH relativeFrom="margin">
              <wp:posOffset>0</wp:posOffset>
            </wp:positionH>
            <wp:positionV relativeFrom="paragraph">
              <wp:posOffset>20955</wp:posOffset>
            </wp:positionV>
            <wp:extent cx="5274310" cy="8839200"/>
            <wp:effectExtent l="0" t="0" r="2540" b="0"/>
            <wp:wrapTopAndBottom/>
            <wp:docPr id="146615218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52181" name="图片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8839200"/>
                    </a:xfrm>
                    <a:prstGeom prst="rect">
                      <a:avLst/>
                    </a:prstGeom>
                    <a:noFill/>
                    <a:ln>
                      <a:noFill/>
                    </a:ln>
                  </pic:spPr>
                </pic:pic>
              </a:graphicData>
            </a:graphic>
          </wp:anchor>
        </w:drawing>
      </w:r>
    </w:p>
    <w:p w14:paraId="785B1801">
      <w:pPr>
        <w:spacing w:line="480" w:lineRule="auto"/>
        <w:rPr>
          <w:rFonts w:ascii="Times New Roman" w:hAnsi="Times New Roman"/>
          <w:sz w:val="24"/>
          <w:szCs w:val="32"/>
        </w:rPr>
      </w:pPr>
      <w:r>
        <w:rPr>
          <w:rFonts w:ascii="Times New Roman" w:hAnsi="Times New Roman"/>
          <w:b/>
          <w:bCs/>
          <w:sz w:val="24"/>
          <w:szCs w:val="32"/>
        </w:rPr>
        <w:t>Figure S</w:t>
      </w:r>
      <w:r>
        <w:rPr>
          <w:rFonts w:hint="eastAsia" w:ascii="Times New Roman" w:hAnsi="Times New Roman"/>
          <w:b/>
          <w:bCs/>
          <w:sz w:val="24"/>
          <w:szCs w:val="32"/>
        </w:rPr>
        <w:t>3</w:t>
      </w:r>
      <w:r>
        <w:rPr>
          <w:rFonts w:ascii="Times New Roman" w:hAnsi="Times New Roman"/>
          <w:b/>
          <w:bCs/>
          <w:sz w:val="24"/>
          <w:szCs w:val="32"/>
        </w:rPr>
        <w:t xml:space="preserve">. </w:t>
      </w:r>
      <w:r>
        <w:rPr>
          <w:rFonts w:hint="eastAsia" w:ascii="Times New Roman" w:hAnsi="Times New Roman"/>
          <w:b/>
          <w:bCs/>
          <w:sz w:val="24"/>
          <w:szCs w:val="32"/>
        </w:rPr>
        <w:t>The expression of the 8 genes involved in MK signaling network.</w:t>
      </w:r>
      <w:r>
        <w:rPr>
          <w:rFonts w:ascii="Times New Roman" w:hAnsi="Times New Roman"/>
          <w:b/>
          <w:bCs/>
          <w:sz w:val="24"/>
          <w:szCs w:val="32"/>
        </w:rPr>
        <w:t xml:space="preserve"> (A)</w:t>
      </w:r>
      <w:r>
        <w:rPr>
          <w:rFonts w:ascii="Times New Roman" w:hAnsi="Times New Roman"/>
          <w:sz w:val="24"/>
          <w:szCs w:val="32"/>
        </w:rPr>
        <w:t xml:space="preserve"> The box plot illustrates the expression levels in pan-cancer tissues and normal endometrial tissues.</w:t>
      </w:r>
      <w:r>
        <w:rPr>
          <w:rFonts w:ascii="Times New Roman" w:hAnsi="Times New Roman"/>
          <w:b/>
          <w:bCs/>
          <w:sz w:val="24"/>
          <w:szCs w:val="32"/>
        </w:rPr>
        <w:t>(</w:t>
      </w:r>
      <w:r>
        <w:rPr>
          <w:rFonts w:hint="eastAsia" w:ascii="Times New Roman" w:hAnsi="Times New Roman"/>
          <w:b/>
          <w:bCs/>
          <w:sz w:val="24"/>
          <w:szCs w:val="32"/>
        </w:rPr>
        <w:t>B</w:t>
      </w:r>
      <w:r>
        <w:rPr>
          <w:rFonts w:ascii="Times New Roman" w:hAnsi="Times New Roman"/>
          <w:b/>
          <w:bCs/>
          <w:sz w:val="24"/>
          <w:szCs w:val="32"/>
        </w:rPr>
        <w:t>)</w:t>
      </w:r>
      <w:r>
        <w:rPr>
          <w:rFonts w:ascii="Times New Roman" w:hAnsi="Times New Roman"/>
          <w:sz w:val="24"/>
          <w:szCs w:val="32"/>
        </w:rPr>
        <w:t>Lollipop chart showing the significant associations between the 8 genes and the scores estimated by “estimate” package with the TCGA data. ***P&lt;0.001.</w:t>
      </w:r>
      <w:r>
        <w:rPr>
          <w:rFonts w:ascii="Times New Roman" w:hAnsi="Times New Roman" w:eastAsia="宋体" w:cs="宋体"/>
          <w:color w:val="7F7F7E"/>
          <w:kern w:val="0"/>
          <w:sz w:val="24"/>
          <w:szCs w:val="14"/>
        </w:rPr>
        <w:t xml:space="preserve"> </w:t>
      </w:r>
      <w:r>
        <w:rPr>
          <w:rFonts w:ascii="Times New Roman" w:hAnsi="Times New Roman"/>
          <w:b/>
          <w:bCs/>
          <w:sz w:val="24"/>
          <w:szCs w:val="32"/>
        </w:rPr>
        <w:t>(</w:t>
      </w:r>
      <w:r>
        <w:rPr>
          <w:rFonts w:hint="eastAsia" w:ascii="Times New Roman" w:hAnsi="Times New Roman"/>
          <w:b/>
          <w:bCs/>
          <w:sz w:val="24"/>
          <w:szCs w:val="32"/>
        </w:rPr>
        <w:t>C</w:t>
      </w:r>
      <w:r>
        <w:rPr>
          <w:rFonts w:ascii="Times New Roman" w:hAnsi="Times New Roman"/>
          <w:b/>
          <w:bCs/>
          <w:sz w:val="24"/>
          <w:szCs w:val="32"/>
        </w:rPr>
        <w:t>)</w:t>
      </w:r>
      <w:r>
        <w:rPr>
          <w:rFonts w:ascii="Times New Roman" w:hAnsi="Times New Roman"/>
          <w:sz w:val="24"/>
          <w:szCs w:val="32"/>
        </w:rPr>
        <w:t xml:space="preserve"> The scatter plot depicts the Spearman correlation between NCL and SDC1 with ImmuneScore or StromalScore</w:t>
      </w:r>
    </w:p>
    <w:p w14:paraId="20E15B78">
      <w:pPr>
        <w:spacing w:line="480" w:lineRule="auto"/>
        <w:rPr>
          <w:rFonts w:ascii="Times New Roman" w:hAnsi="Times New Roman"/>
          <w:sz w:val="24"/>
          <w:szCs w:val="32"/>
        </w:rPr>
      </w:pPr>
    </w:p>
    <w:p w14:paraId="1B87BC1C">
      <w:pPr>
        <w:spacing w:line="480" w:lineRule="auto"/>
        <w:rPr>
          <w:rFonts w:ascii="Times New Roman" w:hAnsi="Times New Roman"/>
          <w:sz w:val="24"/>
          <w:szCs w:val="32"/>
        </w:rPr>
      </w:pPr>
    </w:p>
    <w:p w14:paraId="0A3993D2">
      <w:pPr>
        <w:spacing w:line="480" w:lineRule="auto"/>
        <w:rPr>
          <w:rFonts w:ascii="Times New Roman" w:hAnsi="Times New Roman"/>
          <w:sz w:val="24"/>
          <w:szCs w:val="32"/>
        </w:rPr>
      </w:pPr>
    </w:p>
    <w:p w14:paraId="40448480">
      <w:pPr>
        <w:spacing w:line="480" w:lineRule="auto"/>
        <w:rPr>
          <w:rFonts w:ascii="Times New Roman" w:hAnsi="Times New Roman"/>
          <w:sz w:val="24"/>
          <w:szCs w:val="32"/>
        </w:rPr>
      </w:pPr>
    </w:p>
    <w:p w14:paraId="407F6C82">
      <w:pPr>
        <w:spacing w:line="480" w:lineRule="auto"/>
        <w:rPr>
          <w:rFonts w:ascii="Times New Roman" w:hAnsi="Times New Roman"/>
          <w:sz w:val="24"/>
          <w:szCs w:val="32"/>
        </w:rPr>
      </w:pPr>
    </w:p>
    <w:p w14:paraId="0BC6FB47">
      <w:pPr>
        <w:spacing w:line="480" w:lineRule="auto"/>
        <w:rPr>
          <w:rFonts w:ascii="Times New Roman" w:hAnsi="Times New Roman"/>
          <w:sz w:val="24"/>
          <w:szCs w:val="32"/>
        </w:rPr>
      </w:pPr>
    </w:p>
    <w:p w14:paraId="52E96F0D">
      <w:pPr>
        <w:spacing w:line="480" w:lineRule="auto"/>
        <w:rPr>
          <w:rFonts w:ascii="Times New Roman" w:hAnsi="Times New Roman"/>
          <w:sz w:val="24"/>
          <w:szCs w:val="32"/>
        </w:rPr>
      </w:pPr>
    </w:p>
    <w:p w14:paraId="64199C91">
      <w:pPr>
        <w:spacing w:line="480" w:lineRule="auto"/>
        <w:rPr>
          <w:rFonts w:ascii="Times New Roman" w:hAnsi="Times New Roman"/>
          <w:sz w:val="24"/>
          <w:szCs w:val="32"/>
        </w:rPr>
      </w:pPr>
    </w:p>
    <w:p w14:paraId="00D26CE2">
      <w:pPr>
        <w:spacing w:line="480" w:lineRule="auto"/>
        <w:rPr>
          <w:rFonts w:ascii="Times New Roman" w:hAnsi="Times New Roman"/>
          <w:sz w:val="24"/>
          <w:szCs w:val="32"/>
        </w:rPr>
      </w:pPr>
    </w:p>
    <w:p w14:paraId="767E0455">
      <w:pPr>
        <w:spacing w:line="480" w:lineRule="auto"/>
        <w:rPr>
          <w:rFonts w:ascii="Times New Roman" w:hAnsi="Times New Roman"/>
          <w:sz w:val="24"/>
          <w:szCs w:val="32"/>
        </w:rPr>
      </w:pPr>
    </w:p>
    <w:p w14:paraId="54584919">
      <w:pPr>
        <w:spacing w:line="480" w:lineRule="auto"/>
        <w:rPr>
          <w:rFonts w:ascii="Times New Roman" w:hAnsi="Times New Roman"/>
          <w:sz w:val="24"/>
          <w:szCs w:val="32"/>
        </w:rPr>
      </w:pPr>
    </w:p>
    <w:p w14:paraId="4431A197">
      <w:pPr>
        <w:spacing w:line="480" w:lineRule="auto"/>
        <w:rPr>
          <w:rFonts w:ascii="Times New Roman" w:hAnsi="Times New Roman"/>
          <w:sz w:val="24"/>
          <w:szCs w:val="32"/>
        </w:rPr>
      </w:pPr>
    </w:p>
    <w:p w14:paraId="06C4F2D1">
      <w:pPr>
        <w:spacing w:line="480" w:lineRule="auto"/>
        <w:rPr>
          <w:rFonts w:ascii="Times New Roman" w:hAnsi="Times New Roman"/>
          <w:sz w:val="24"/>
          <w:szCs w:val="32"/>
        </w:rPr>
      </w:pPr>
    </w:p>
    <w:p w14:paraId="1D2E7018">
      <w:pPr>
        <w:spacing w:line="480" w:lineRule="auto"/>
        <w:rPr>
          <w:rFonts w:ascii="Times New Roman" w:hAnsi="Times New Roman"/>
          <w:sz w:val="24"/>
          <w:szCs w:val="32"/>
        </w:rPr>
      </w:pPr>
    </w:p>
    <w:p w14:paraId="2523F557">
      <w:pPr>
        <w:spacing w:line="480" w:lineRule="auto"/>
        <w:rPr>
          <w:rFonts w:ascii="Times New Roman" w:hAnsi="Times New Roman"/>
          <w:sz w:val="24"/>
          <w:szCs w:val="32"/>
        </w:rPr>
      </w:pPr>
      <w:r>
        <w:rPr>
          <w:rFonts w:hint="eastAsia" w:ascii="Times New Roman" w:hAnsi="Times New Roman"/>
          <w:sz w:val="24"/>
          <w:szCs w:val="32"/>
        </w:rPr>
        <w:drawing>
          <wp:inline distT="0" distB="0" distL="0" distR="0">
            <wp:extent cx="5274310" cy="8629015"/>
            <wp:effectExtent l="0" t="0" r="2540" b="635"/>
            <wp:docPr id="11983678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67809"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8629015"/>
                    </a:xfrm>
                    <a:prstGeom prst="rect">
                      <a:avLst/>
                    </a:prstGeom>
                    <a:noFill/>
                    <a:ln>
                      <a:noFill/>
                    </a:ln>
                  </pic:spPr>
                </pic:pic>
              </a:graphicData>
            </a:graphic>
          </wp:inline>
        </w:drawing>
      </w:r>
    </w:p>
    <w:p w14:paraId="6555E1F1">
      <w:pPr>
        <w:spacing w:line="480" w:lineRule="auto"/>
        <w:rPr>
          <w:rFonts w:ascii="Times New Roman" w:hAnsi="Times New Roman"/>
          <w:sz w:val="24"/>
          <w:szCs w:val="32"/>
        </w:rPr>
      </w:pPr>
    </w:p>
    <w:p w14:paraId="35BC2E4F">
      <w:pPr>
        <w:spacing w:line="480" w:lineRule="auto"/>
        <w:rPr>
          <w:rFonts w:ascii="Times New Roman" w:hAnsi="Times New Roman"/>
          <w:sz w:val="24"/>
          <w:szCs w:val="32"/>
        </w:rPr>
      </w:pPr>
      <w:r>
        <w:rPr>
          <w:rFonts w:ascii="Times New Roman" w:hAnsi="Times New Roman"/>
          <w:b/>
          <w:bCs/>
          <w:sz w:val="24"/>
          <w:szCs w:val="32"/>
        </w:rPr>
        <w:t>Figure S</w:t>
      </w:r>
      <w:r>
        <w:rPr>
          <w:rFonts w:hint="eastAsia" w:ascii="Times New Roman" w:hAnsi="Times New Roman"/>
          <w:b/>
          <w:bCs/>
          <w:sz w:val="24"/>
          <w:szCs w:val="32"/>
        </w:rPr>
        <w:t>4</w:t>
      </w:r>
      <w:r>
        <w:rPr>
          <w:rFonts w:ascii="Times New Roman" w:hAnsi="Times New Roman"/>
          <w:b/>
          <w:bCs/>
          <w:sz w:val="24"/>
          <w:szCs w:val="32"/>
        </w:rPr>
        <w:t>. Features of spatial transcriptomics dataset from primary tumors. (A)</w:t>
      </w:r>
      <w:r>
        <w:rPr>
          <w:rFonts w:ascii="Times New Roman" w:hAnsi="Times New Roman"/>
          <w:sz w:val="24"/>
          <w:szCs w:val="32"/>
        </w:rPr>
        <w:t xml:space="preserve"> H&amp;E staining of T2 tissue section (left), with the deconvolution results of ST spots in four tumor samples showing the proportion of cell type composition (middle), and the spatial distribution patterns of tumor metastatic and non-metastatic regions (right).</w:t>
      </w:r>
      <w:r>
        <w:rPr>
          <w:rFonts w:ascii="Times New Roman" w:hAnsi="Times New Roman"/>
          <w:b/>
          <w:bCs/>
          <w:sz w:val="24"/>
          <w:szCs w:val="32"/>
        </w:rPr>
        <w:t xml:space="preserve"> (B)</w:t>
      </w:r>
      <w:r>
        <w:rPr>
          <w:rFonts w:ascii="Times New Roman" w:hAnsi="Times New Roman"/>
          <w:sz w:val="24"/>
          <w:szCs w:val="32"/>
        </w:rPr>
        <w:t xml:space="preserve"> The progression trajectory of gastric cancer (right), along with apoptosis scores, EMT scores, and immune scores based on the regions of cancer progression trajectory (left).</w:t>
      </w:r>
      <w:r>
        <w:rPr>
          <w:rFonts w:ascii="Times New Roman" w:hAnsi="Times New Roman"/>
          <w:b/>
          <w:bCs/>
          <w:sz w:val="24"/>
          <w:szCs w:val="32"/>
        </w:rPr>
        <w:t xml:space="preserve"> (</w:t>
      </w:r>
      <w:r>
        <w:rPr>
          <w:rFonts w:hint="eastAsia" w:ascii="Times New Roman" w:hAnsi="Times New Roman"/>
          <w:b/>
          <w:bCs/>
          <w:sz w:val="24"/>
          <w:szCs w:val="32"/>
        </w:rPr>
        <w:t>C</w:t>
      </w:r>
      <w:r>
        <w:rPr>
          <w:rFonts w:ascii="Times New Roman" w:hAnsi="Times New Roman"/>
          <w:b/>
          <w:bCs/>
          <w:sz w:val="24"/>
          <w:szCs w:val="32"/>
        </w:rPr>
        <w:t>)</w:t>
      </w:r>
      <w:r>
        <w:rPr>
          <w:rFonts w:ascii="Times New Roman" w:hAnsi="Times New Roman"/>
          <w:sz w:val="24"/>
          <w:szCs w:val="32"/>
        </w:rPr>
        <w:t xml:space="preserve"> H&amp;E staining of T3 tissue section (left), with the deconvolution results of ST spots in four tumor samples showing the proportion of cell type composition (middle), and the spatial distribution patterns of tumor metastatic and non-metastatic regions (right). </w:t>
      </w:r>
      <w:r>
        <w:rPr>
          <w:rFonts w:ascii="Times New Roman" w:hAnsi="Times New Roman"/>
          <w:b/>
          <w:bCs/>
          <w:sz w:val="24"/>
          <w:szCs w:val="32"/>
        </w:rPr>
        <w:t>(D)</w:t>
      </w:r>
      <w:r>
        <w:rPr>
          <w:rFonts w:ascii="Times New Roman" w:hAnsi="Times New Roman"/>
          <w:sz w:val="24"/>
          <w:szCs w:val="32"/>
        </w:rPr>
        <w:t xml:space="preserve"> The progression trajectory of gastric cancer (right), along with apoptosis scores, EMT scores, and immune scores based on the regions of cancer progression trajectory (left).</w:t>
      </w:r>
    </w:p>
    <w:p w14:paraId="771EC32B">
      <w:pPr>
        <w:spacing w:line="480" w:lineRule="auto"/>
        <w:rPr>
          <w:rFonts w:ascii="Times New Roman" w:hAnsi="Times New Roman"/>
          <w:sz w:val="24"/>
          <w:szCs w:val="32"/>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F24"/>
    <w:rsid w:val="00007B18"/>
    <w:rsid w:val="000A612D"/>
    <w:rsid w:val="000C16C0"/>
    <w:rsid w:val="001A161A"/>
    <w:rsid w:val="002330C5"/>
    <w:rsid w:val="00280068"/>
    <w:rsid w:val="002F4886"/>
    <w:rsid w:val="003006E4"/>
    <w:rsid w:val="00366EEA"/>
    <w:rsid w:val="003777A7"/>
    <w:rsid w:val="00394468"/>
    <w:rsid w:val="003B6E7D"/>
    <w:rsid w:val="003D7065"/>
    <w:rsid w:val="003E7866"/>
    <w:rsid w:val="003F5FB6"/>
    <w:rsid w:val="004271E0"/>
    <w:rsid w:val="004E244B"/>
    <w:rsid w:val="004F6CFA"/>
    <w:rsid w:val="00550B72"/>
    <w:rsid w:val="00562B85"/>
    <w:rsid w:val="005F2B10"/>
    <w:rsid w:val="00641581"/>
    <w:rsid w:val="00670FBD"/>
    <w:rsid w:val="006B5674"/>
    <w:rsid w:val="006E47E9"/>
    <w:rsid w:val="006F63F9"/>
    <w:rsid w:val="00702F13"/>
    <w:rsid w:val="00714916"/>
    <w:rsid w:val="00763A78"/>
    <w:rsid w:val="007957EB"/>
    <w:rsid w:val="008545B8"/>
    <w:rsid w:val="00871D5A"/>
    <w:rsid w:val="0087246A"/>
    <w:rsid w:val="008914B7"/>
    <w:rsid w:val="008D7B33"/>
    <w:rsid w:val="009A5131"/>
    <w:rsid w:val="00A11273"/>
    <w:rsid w:val="00A43F96"/>
    <w:rsid w:val="00A51223"/>
    <w:rsid w:val="00A91AD7"/>
    <w:rsid w:val="00AB1AD8"/>
    <w:rsid w:val="00BE10A2"/>
    <w:rsid w:val="00BF6461"/>
    <w:rsid w:val="00C67578"/>
    <w:rsid w:val="00C8273D"/>
    <w:rsid w:val="00CD74C5"/>
    <w:rsid w:val="00D734D3"/>
    <w:rsid w:val="00DD06C7"/>
    <w:rsid w:val="00DE38B7"/>
    <w:rsid w:val="00E44DEC"/>
    <w:rsid w:val="00E4748B"/>
    <w:rsid w:val="00E64B00"/>
    <w:rsid w:val="00EE4DC5"/>
    <w:rsid w:val="00FC2F24"/>
    <w:rsid w:val="18C46D16"/>
    <w:rsid w:val="2FD47F04"/>
    <w:rsid w:val="671921DC"/>
    <w:rsid w:val="77A44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rPr>
      <w:rFonts w:ascii="Times New Roman" w:hAnsi="Times New Roman" w:cs="Times New Roman"/>
      <w:sz w:val="24"/>
      <w:szCs w:val="24"/>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line number"/>
    <w:basedOn w:val="17"/>
    <w:semiHidden/>
    <w:unhideWhenUsed/>
    <w:qFormat/>
    <w:uiPriority w:val="99"/>
  </w:style>
  <w:style w:type="character" w:customStyle="1" w:styleId="19">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qFormat/>
    <w:uiPriority w:val="9"/>
    <w:rPr>
      <w:rFonts w:cstheme="majorBidi"/>
      <w:color w:val="2F5597" w:themeColor="accent1" w:themeShade="BF"/>
      <w:sz w:val="24"/>
      <w:szCs w:val="24"/>
    </w:rPr>
  </w:style>
  <w:style w:type="character" w:customStyle="1" w:styleId="24">
    <w:name w:val="标题 6 字符"/>
    <w:basedOn w:val="17"/>
    <w:link w:val="7"/>
    <w:semiHidden/>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Intense Reference"/>
    <w:basedOn w:val="17"/>
    <w:qFormat/>
    <w:uiPriority w:val="32"/>
    <w:rPr>
      <w:b/>
      <w:bCs/>
      <w:smallCaps/>
      <w:color w:val="2F5597" w:themeColor="accent1" w:themeShade="BF"/>
      <w:spacing w:val="5"/>
    </w:rPr>
  </w:style>
  <w:style w:type="character" w:customStyle="1" w:styleId="37">
    <w:name w:val="页眉 字符"/>
    <w:basedOn w:val="17"/>
    <w:link w:val="12"/>
    <w:qFormat/>
    <w:uiPriority w:val="99"/>
    <w:rPr>
      <w:sz w:val="18"/>
      <w:szCs w:val="18"/>
    </w:rPr>
  </w:style>
  <w:style w:type="character" w:customStyle="1" w:styleId="38">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684</Words>
  <Characters>3852</Characters>
  <Lines>36</Lines>
  <Paragraphs>10</Paragraphs>
  <TotalTime>3</TotalTime>
  <ScaleCrop>false</ScaleCrop>
  <LinksUpToDate>false</LinksUpToDate>
  <CharactersWithSpaces>4611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2025-03-05T12:17:00Z</dcterms:created>
  <dc:creator>宇华 胡</dc:creator>
  <cp:lastModifiedBy>John_huu</cp:lastModifiedBy>
  <dcterms:modified xsi:type="dcterms:W3CDTF">2025-07-22T02:04:31Z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eyJoZGlkIjoiNjgwYWYyZWU2ZDc1YzliMWY1NWQzZTEyZGVjNDVlNmYiLCJ1c2VySWQiOiI0MTA0MDA3OTgifQ==</vt:lpwstr>
  </property>
  <property fmtid="{D5CDD505-2E9C-101B-9397-08002B2CF9AE}" pid="3" name="KSOProductBuildVer">
    <vt:lpwstr>2052-12.1.0.21915</vt:lpwstr>
  </property>
  <property fmtid="{D5CDD505-2E9C-101B-9397-08002B2CF9AE}" pid="4" name="ICV">
    <vt:lpwstr>0A768ADBC7C2492C954FD958391BBCEF_13</vt:lpwstr>
  </property>
</Properties>
</file>