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6A27A" w14:textId="3BD09DEC" w:rsidR="00A13E8C" w:rsidRPr="00A81780" w:rsidRDefault="006D2044" w:rsidP="00A13E8C">
      <w:pPr>
        <w:spacing w:line="480" w:lineRule="auto"/>
        <w:jc w:val="center"/>
        <w:rPr>
          <w:rFonts w:ascii="Arial" w:hAnsi="Arial" w:cs="Arial"/>
          <w:b/>
          <w:lang w:val="en-US"/>
        </w:rPr>
      </w:pPr>
      <w:r w:rsidRPr="00A81780">
        <w:rPr>
          <w:rFonts w:ascii="Arial" w:hAnsi="Arial" w:cs="Arial"/>
          <w:b/>
          <w:lang w:val="en-US"/>
        </w:rPr>
        <w:t>Supplementary Material</w:t>
      </w:r>
    </w:p>
    <w:p w14:paraId="00691365" w14:textId="1EBD387D" w:rsidR="00A13E8C" w:rsidRPr="00A81780" w:rsidRDefault="006D2044" w:rsidP="00CF06FA">
      <w:pPr>
        <w:spacing w:line="480" w:lineRule="auto"/>
        <w:jc w:val="center"/>
        <w:rPr>
          <w:rFonts w:ascii="Arial" w:hAnsi="Arial" w:cs="Arial"/>
          <w:b/>
          <w:lang w:val="en-US"/>
        </w:rPr>
      </w:pPr>
      <w:r w:rsidRPr="00A81780">
        <w:rPr>
          <w:rFonts w:ascii="Arial" w:hAnsi="Arial" w:cs="Arial"/>
          <w:b/>
          <w:lang w:val="en-US"/>
        </w:rPr>
        <w:t>Supplementary</w:t>
      </w:r>
      <w:r w:rsidR="00A13E8C" w:rsidRPr="00A81780">
        <w:rPr>
          <w:rFonts w:ascii="Arial" w:hAnsi="Arial" w:cs="Arial"/>
          <w:b/>
          <w:lang w:val="en-US"/>
        </w:rPr>
        <w:t xml:space="preserve"> Tables</w:t>
      </w:r>
    </w:p>
    <w:p w14:paraId="5E790EA1" w14:textId="77777777" w:rsidR="00543837" w:rsidRDefault="00543837" w:rsidP="00CF06FA">
      <w:pPr>
        <w:spacing w:line="360" w:lineRule="auto"/>
        <w:rPr>
          <w:rStyle w:val="Enfasigrassetto"/>
          <w:rFonts w:ascii="Arial" w:hAnsi="Arial" w:cs="Arial"/>
          <w:lang w:val="en-US"/>
        </w:rPr>
      </w:pPr>
    </w:p>
    <w:p w14:paraId="0B3D884B" w14:textId="26EB19C3" w:rsidR="00543837" w:rsidRDefault="00543837" w:rsidP="00543837">
      <w:pPr>
        <w:spacing w:line="360" w:lineRule="auto"/>
        <w:jc w:val="both"/>
        <w:rPr>
          <w:rStyle w:val="Enfasigrassetto"/>
          <w:rFonts w:ascii="Arial" w:hAnsi="Arial" w:cs="Arial"/>
          <w:b w:val="0"/>
          <w:lang w:val="en-US"/>
        </w:rPr>
      </w:pPr>
      <w:r w:rsidRPr="00543837">
        <w:rPr>
          <w:rStyle w:val="Enfasigrassetto"/>
          <w:rFonts w:ascii="Arial" w:hAnsi="Arial" w:cs="Arial"/>
          <w:lang w:val="en-US"/>
        </w:rPr>
        <w:t>Supplementary Table 1</w:t>
      </w:r>
      <w:r w:rsidRPr="00543837">
        <w:rPr>
          <w:rStyle w:val="Enfasigrassetto"/>
          <w:rFonts w:ascii="Arial" w:hAnsi="Arial" w:cs="Arial"/>
          <w:b w:val="0"/>
          <w:lang w:val="en-US"/>
        </w:rPr>
        <w:t>. Normalized expression l</w:t>
      </w:r>
      <w:r>
        <w:rPr>
          <w:rStyle w:val="Enfasigrassetto"/>
          <w:rFonts w:ascii="Arial" w:hAnsi="Arial" w:cs="Arial"/>
          <w:b w:val="0"/>
          <w:lang w:val="en-US"/>
        </w:rPr>
        <w:t xml:space="preserve">evels of genes belonging to the </w:t>
      </w:r>
      <w:r w:rsidRPr="00543837">
        <w:rPr>
          <w:rStyle w:val="Enfasigrassetto"/>
          <w:rFonts w:ascii="Arial" w:hAnsi="Arial" w:cs="Arial"/>
          <w:b w:val="0"/>
          <w:lang w:val="en-US"/>
        </w:rPr>
        <w:t>HALLMARK_OXIDATIVE_PHOSPHORYLATION gene set.</w:t>
      </w:r>
    </w:p>
    <w:p w14:paraId="244812ED" w14:textId="77777777" w:rsidR="00543837" w:rsidRPr="00543837" w:rsidRDefault="00543837" w:rsidP="00543837">
      <w:pPr>
        <w:spacing w:line="360" w:lineRule="auto"/>
        <w:jc w:val="both"/>
        <w:rPr>
          <w:rStyle w:val="Enfasigrassetto"/>
          <w:rFonts w:ascii="Arial" w:hAnsi="Arial" w:cs="Arial"/>
          <w:b w:val="0"/>
          <w:lang w:val="en-US"/>
        </w:rPr>
      </w:pPr>
    </w:p>
    <w:p w14:paraId="020037D2" w14:textId="2FFC4F84" w:rsidR="00ED163B" w:rsidRDefault="00ED163B" w:rsidP="00CF06FA">
      <w:pPr>
        <w:spacing w:line="360" w:lineRule="auto"/>
        <w:rPr>
          <w:rFonts w:ascii="Arial" w:hAnsi="Arial" w:cs="Arial"/>
          <w:lang w:val="en-US"/>
        </w:rPr>
      </w:pPr>
      <w:r w:rsidRPr="00A81780">
        <w:rPr>
          <w:rStyle w:val="Enfasigrassetto"/>
          <w:rFonts w:ascii="Arial" w:hAnsi="Arial" w:cs="Arial"/>
          <w:lang w:val="en-US"/>
        </w:rPr>
        <w:t>Supplementary Table 2.</w:t>
      </w:r>
      <w:r w:rsidRPr="00A81780">
        <w:rPr>
          <w:rFonts w:ascii="Arial" w:hAnsi="Arial" w:cs="Arial"/>
          <w:lang w:val="en-US"/>
        </w:rPr>
        <w:t xml:space="preserve"> Genes induced during early </w:t>
      </w:r>
      <w:proofErr w:type="spellStart"/>
      <w:r w:rsidRPr="00A81780">
        <w:rPr>
          <w:rFonts w:ascii="Arial" w:hAnsi="Arial" w:cs="Arial"/>
          <w:lang w:val="en-US"/>
        </w:rPr>
        <w:t>sorafenib</w:t>
      </w:r>
      <w:proofErr w:type="spellEnd"/>
      <w:r w:rsidRPr="00A81780">
        <w:rPr>
          <w:rFonts w:ascii="Arial" w:hAnsi="Arial" w:cs="Arial"/>
          <w:lang w:val="en-US"/>
        </w:rPr>
        <w:t xml:space="preserve"> exposure in Hep55.1C cells and further upregulated upon acquisition of </w:t>
      </w:r>
      <w:proofErr w:type="spellStart"/>
      <w:r w:rsidRPr="00A81780">
        <w:rPr>
          <w:rFonts w:ascii="Arial" w:hAnsi="Arial" w:cs="Arial"/>
          <w:lang w:val="en-US"/>
        </w:rPr>
        <w:t>sorafenib</w:t>
      </w:r>
      <w:proofErr w:type="spellEnd"/>
      <w:r w:rsidRPr="00A81780">
        <w:rPr>
          <w:rFonts w:ascii="Arial" w:hAnsi="Arial" w:cs="Arial"/>
          <w:lang w:val="en-US"/>
        </w:rPr>
        <w:t xml:space="preserve"> resistance.</w:t>
      </w:r>
    </w:p>
    <w:p w14:paraId="7D83444E" w14:textId="77777777" w:rsidR="00543837" w:rsidRPr="00543837" w:rsidRDefault="00543837" w:rsidP="00CF06FA">
      <w:pPr>
        <w:spacing w:line="360" w:lineRule="auto"/>
        <w:rPr>
          <w:rFonts w:ascii="Arial" w:hAnsi="Arial" w:cs="Arial"/>
          <w:lang w:val="en-US"/>
        </w:rPr>
      </w:pPr>
    </w:p>
    <w:p w14:paraId="5D84A71E" w14:textId="6A53FF52" w:rsidR="00ED163B" w:rsidRPr="00A81780" w:rsidRDefault="00ED163B" w:rsidP="00CF06FA">
      <w:pPr>
        <w:spacing w:after="0" w:line="360" w:lineRule="auto"/>
        <w:rPr>
          <w:rFonts w:ascii="Arial" w:hAnsi="Arial" w:cs="Arial"/>
          <w:lang w:val="en-US"/>
        </w:rPr>
      </w:pPr>
      <w:r w:rsidRPr="00A81780">
        <w:rPr>
          <w:rStyle w:val="Enfasigrassetto"/>
          <w:rFonts w:ascii="Arial" w:hAnsi="Arial" w:cs="Arial"/>
          <w:lang w:val="en-US"/>
        </w:rPr>
        <w:t>Supplementary Table 3.</w:t>
      </w:r>
      <w:r w:rsidRPr="00A81780">
        <w:rPr>
          <w:rFonts w:ascii="Arial" w:hAnsi="Arial" w:cs="Arial"/>
          <w:lang w:val="en-US"/>
        </w:rPr>
        <w:t xml:space="preserve"> Comparative Gene Set Enrichment Analysis (GSEA) of apoptosis-related pathways in Hep55.1C cells treated with the combination of </w:t>
      </w:r>
      <w:proofErr w:type="spellStart"/>
      <w:r w:rsidRPr="00A81780">
        <w:rPr>
          <w:rFonts w:ascii="Arial" w:hAnsi="Arial" w:cs="Arial"/>
          <w:lang w:val="en-US"/>
        </w:rPr>
        <w:t>sorafenib</w:t>
      </w:r>
      <w:proofErr w:type="spellEnd"/>
      <w:r w:rsidRPr="00A81780">
        <w:rPr>
          <w:rFonts w:ascii="Arial" w:hAnsi="Arial" w:cs="Arial"/>
          <w:lang w:val="en-US"/>
        </w:rPr>
        <w:t xml:space="preserve"> and SR9009 (SF+SR) versus </w:t>
      </w:r>
      <w:proofErr w:type="spellStart"/>
      <w:r w:rsidRPr="00A81780">
        <w:rPr>
          <w:rFonts w:ascii="Arial" w:hAnsi="Arial" w:cs="Arial"/>
          <w:lang w:val="en-US"/>
        </w:rPr>
        <w:t>sorafenib</w:t>
      </w:r>
      <w:proofErr w:type="spellEnd"/>
      <w:r w:rsidRPr="00A81780">
        <w:rPr>
          <w:rFonts w:ascii="Arial" w:hAnsi="Arial" w:cs="Arial"/>
          <w:lang w:val="en-US"/>
        </w:rPr>
        <w:t xml:space="preserve"> (SF) alone.</w:t>
      </w:r>
    </w:p>
    <w:tbl>
      <w:tblPr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6"/>
        <w:gridCol w:w="1840"/>
        <w:gridCol w:w="1557"/>
      </w:tblGrid>
      <w:tr w:rsidR="00A13E8C" w:rsidRPr="00543837" w14:paraId="6CDA5C9C" w14:textId="77777777" w:rsidTr="00543837">
        <w:trPr>
          <w:trHeight w:val="1268"/>
        </w:trPr>
        <w:tc>
          <w:tcPr>
            <w:tcW w:w="5946" w:type="dxa"/>
            <w:shd w:val="clear" w:color="000000" w:fill="808080"/>
            <w:vAlign w:val="center"/>
            <w:hideMark/>
          </w:tcPr>
          <w:p w14:paraId="7F933BAA" w14:textId="77777777" w:rsidR="00A13E8C" w:rsidRPr="00543837" w:rsidRDefault="00A13E8C" w:rsidP="00A13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US" w:eastAsia="it-IT"/>
              </w:rPr>
            </w:pPr>
            <w:r w:rsidRPr="0054383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US" w:eastAsia="it-IT"/>
              </w:rPr>
              <w:t>SR+SF vs SF enriched pathways</w:t>
            </w:r>
          </w:p>
        </w:tc>
        <w:tc>
          <w:tcPr>
            <w:tcW w:w="1840" w:type="dxa"/>
            <w:shd w:val="clear" w:color="000000" w:fill="808080"/>
            <w:vAlign w:val="center"/>
            <w:hideMark/>
          </w:tcPr>
          <w:p w14:paraId="4E64EB35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</w:pPr>
            <w:proofErr w:type="spellStart"/>
            <w:r w:rsidRPr="0054383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  <w:t>Normalized</w:t>
            </w:r>
            <w:proofErr w:type="spellEnd"/>
            <w:r w:rsidRPr="0054383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383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  <w:t>Enrichment</w:t>
            </w:r>
            <w:proofErr w:type="spellEnd"/>
            <w:r w:rsidRPr="0054383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  <w:t xml:space="preserve"> Score</w:t>
            </w:r>
          </w:p>
        </w:tc>
        <w:tc>
          <w:tcPr>
            <w:tcW w:w="1557" w:type="dxa"/>
            <w:shd w:val="clear" w:color="000000" w:fill="808080"/>
            <w:vAlign w:val="center"/>
            <w:hideMark/>
          </w:tcPr>
          <w:p w14:paraId="10A0333D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</w:pPr>
            <w:proofErr w:type="spellStart"/>
            <w:r w:rsidRPr="0054383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  <w:t>Adjusted</w:t>
            </w:r>
            <w:proofErr w:type="spellEnd"/>
            <w:r w:rsidRPr="0054383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383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  <w:t>pValue</w:t>
            </w:r>
            <w:proofErr w:type="spellEnd"/>
          </w:p>
        </w:tc>
      </w:tr>
      <w:tr w:rsidR="00A13E8C" w:rsidRPr="00543837" w14:paraId="03DED9B4" w14:textId="77777777" w:rsidTr="00543837">
        <w:trPr>
          <w:trHeight w:val="421"/>
        </w:trPr>
        <w:tc>
          <w:tcPr>
            <w:tcW w:w="5946" w:type="dxa"/>
            <w:shd w:val="clear" w:color="000000" w:fill="F2F2F2"/>
            <w:vAlign w:val="center"/>
          </w:tcPr>
          <w:p w14:paraId="101FC862" w14:textId="77777777" w:rsidR="00A13E8C" w:rsidRPr="00543837" w:rsidRDefault="00A13E8C" w:rsidP="00A13E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3837">
              <w:rPr>
                <w:rFonts w:ascii="Arial" w:hAnsi="Arial" w:cs="Arial"/>
                <w:sz w:val="20"/>
                <w:szCs w:val="20"/>
                <w:lang w:val="en-US"/>
              </w:rPr>
              <w:t xml:space="preserve">positive regulation of mitochondrial outer membrane </w:t>
            </w:r>
            <w:proofErr w:type="spellStart"/>
            <w:r w:rsidRPr="00543837">
              <w:rPr>
                <w:rFonts w:ascii="Arial" w:hAnsi="Arial" w:cs="Arial"/>
                <w:sz w:val="20"/>
                <w:szCs w:val="20"/>
                <w:lang w:val="en-US"/>
              </w:rPr>
              <w:t>permeabilization</w:t>
            </w:r>
            <w:proofErr w:type="spellEnd"/>
            <w:r w:rsidRPr="00543837">
              <w:rPr>
                <w:rFonts w:ascii="Arial" w:hAnsi="Arial" w:cs="Arial"/>
                <w:sz w:val="20"/>
                <w:szCs w:val="20"/>
                <w:lang w:val="en-US"/>
              </w:rPr>
              <w:t xml:space="preserve"> involved in apoptotic signaling pathway</w:t>
            </w:r>
          </w:p>
        </w:tc>
        <w:tc>
          <w:tcPr>
            <w:tcW w:w="1840" w:type="dxa"/>
            <w:shd w:val="clear" w:color="000000" w:fill="F2F2F2"/>
            <w:vAlign w:val="center"/>
          </w:tcPr>
          <w:p w14:paraId="2E5706E2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1,864</w:t>
            </w:r>
          </w:p>
        </w:tc>
        <w:tc>
          <w:tcPr>
            <w:tcW w:w="1557" w:type="dxa"/>
            <w:shd w:val="clear" w:color="000000" w:fill="F2F2F2"/>
            <w:vAlign w:val="center"/>
          </w:tcPr>
          <w:p w14:paraId="5BAFD72E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2,51E-03</w:t>
            </w:r>
          </w:p>
        </w:tc>
      </w:tr>
      <w:tr w:rsidR="00A13E8C" w:rsidRPr="00543837" w14:paraId="302D548D" w14:textId="77777777" w:rsidTr="00543837">
        <w:trPr>
          <w:trHeight w:val="421"/>
        </w:trPr>
        <w:tc>
          <w:tcPr>
            <w:tcW w:w="5946" w:type="dxa"/>
            <w:shd w:val="clear" w:color="auto" w:fill="auto"/>
            <w:vAlign w:val="center"/>
          </w:tcPr>
          <w:p w14:paraId="175287A3" w14:textId="77777777" w:rsidR="00A13E8C" w:rsidRPr="00543837" w:rsidRDefault="00A13E8C" w:rsidP="00A13E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3837">
              <w:rPr>
                <w:rFonts w:ascii="Arial" w:hAnsi="Arial" w:cs="Arial"/>
                <w:sz w:val="20"/>
                <w:szCs w:val="20"/>
                <w:lang w:val="en-US"/>
              </w:rPr>
              <w:t>negative regulation of toll-like receptor signaling pathway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42A495C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1,650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754D43C2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3,32E-02</w:t>
            </w:r>
          </w:p>
        </w:tc>
      </w:tr>
      <w:tr w:rsidR="00A13E8C" w:rsidRPr="00543837" w14:paraId="4DCBA9F9" w14:textId="77777777" w:rsidTr="00543837">
        <w:trPr>
          <w:trHeight w:val="421"/>
        </w:trPr>
        <w:tc>
          <w:tcPr>
            <w:tcW w:w="5946" w:type="dxa"/>
            <w:shd w:val="clear" w:color="000000" w:fill="F2F2F2"/>
            <w:vAlign w:val="center"/>
          </w:tcPr>
          <w:p w14:paraId="56116E6D" w14:textId="77777777" w:rsidR="00A13E8C" w:rsidRPr="00543837" w:rsidRDefault="00A13E8C" w:rsidP="00A13E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3837">
              <w:rPr>
                <w:rFonts w:ascii="Arial" w:hAnsi="Arial" w:cs="Arial"/>
                <w:sz w:val="20"/>
                <w:szCs w:val="20"/>
                <w:lang w:val="en-US"/>
              </w:rPr>
              <w:t xml:space="preserve">regulation of mitochondrial outer membrane </w:t>
            </w:r>
            <w:proofErr w:type="spellStart"/>
            <w:r w:rsidRPr="00543837">
              <w:rPr>
                <w:rFonts w:ascii="Arial" w:hAnsi="Arial" w:cs="Arial"/>
                <w:sz w:val="20"/>
                <w:szCs w:val="20"/>
                <w:lang w:val="en-US"/>
              </w:rPr>
              <w:t>permeabilization</w:t>
            </w:r>
            <w:proofErr w:type="spellEnd"/>
            <w:r w:rsidRPr="00543837">
              <w:rPr>
                <w:rFonts w:ascii="Arial" w:hAnsi="Arial" w:cs="Arial"/>
                <w:sz w:val="20"/>
                <w:szCs w:val="20"/>
                <w:lang w:val="en-US"/>
              </w:rPr>
              <w:t xml:space="preserve"> involved in apoptotic signaling pathway</w:t>
            </w:r>
          </w:p>
        </w:tc>
        <w:tc>
          <w:tcPr>
            <w:tcW w:w="1840" w:type="dxa"/>
            <w:shd w:val="clear" w:color="000000" w:fill="F2F2F2"/>
            <w:vAlign w:val="center"/>
          </w:tcPr>
          <w:p w14:paraId="75C63731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1,609</w:t>
            </w:r>
          </w:p>
        </w:tc>
        <w:tc>
          <w:tcPr>
            <w:tcW w:w="1557" w:type="dxa"/>
            <w:shd w:val="clear" w:color="000000" w:fill="F2F2F2"/>
            <w:vAlign w:val="center"/>
          </w:tcPr>
          <w:p w14:paraId="50404CB5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3,58E-02</w:t>
            </w:r>
          </w:p>
        </w:tc>
      </w:tr>
      <w:tr w:rsidR="00A13E8C" w:rsidRPr="00543837" w14:paraId="569E6C28" w14:textId="77777777" w:rsidTr="00543837">
        <w:trPr>
          <w:trHeight w:val="421"/>
        </w:trPr>
        <w:tc>
          <w:tcPr>
            <w:tcW w:w="5946" w:type="dxa"/>
            <w:shd w:val="clear" w:color="auto" w:fill="auto"/>
            <w:vAlign w:val="center"/>
          </w:tcPr>
          <w:p w14:paraId="194496B7" w14:textId="77777777" w:rsidR="00A13E8C" w:rsidRPr="00543837" w:rsidRDefault="00A13E8C" w:rsidP="00A13E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3837">
              <w:rPr>
                <w:rFonts w:ascii="Arial" w:hAnsi="Arial" w:cs="Arial"/>
                <w:sz w:val="20"/>
                <w:szCs w:val="20"/>
                <w:lang w:val="en-US"/>
              </w:rPr>
              <w:t>positive regulation of TRAIL-activated apoptotic signaling pathway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756BB7A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1,480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55631EB8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6,82E-02</w:t>
            </w:r>
          </w:p>
        </w:tc>
      </w:tr>
      <w:tr w:rsidR="00A13E8C" w:rsidRPr="00543837" w14:paraId="6DD84206" w14:textId="77777777" w:rsidTr="00543837">
        <w:trPr>
          <w:trHeight w:val="414"/>
        </w:trPr>
        <w:tc>
          <w:tcPr>
            <w:tcW w:w="5946" w:type="dxa"/>
            <w:shd w:val="clear" w:color="000000" w:fill="F2F2F2"/>
            <w:vAlign w:val="center"/>
          </w:tcPr>
          <w:p w14:paraId="16A82947" w14:textId="77777777" w:rsidR="00A13E8C" w:rsidRPr="00543837" w:rsidRDefault="00A13E8C" w:rsidP="00A13E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3837">
              <w:rPr>
                <w:rFonts w:ascii="Arial" w:hAnsi="Arial" w:cs="Arial"/>
                <w:sz w:val="20"/>
                <w:szCs w:val="20"/>
                <w:lang w:val="en-US"/>
              </w:rPr>
              <w:t>activation of cysteine-type endopeptidase activity involved in apoptotic process</w:t>
            </w:r>
          </w:p>
        </w:tc>
        <w:tc>
          <w:tcPr>
            <w:tcW w:w="1840" w:type="dxa"/>
            <w:shd w:val="clear" w:color="000000" w:fill="F2F2F2"/>
            <w:vAlign w:val="center"/>
          </w:tcPr>
          <w:p w14:paraId="4C444E1A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1,346</w:t>
            </w:r>
          </w:p>
        </w:tc>
        <w:tc>
          <w:tcPr>
            <w:tcW w:w="1557" w:type="dxa"/>
            <w:shd w:val="clear" w:color="000000" w:fill="F2F2F2"/>
            <w:vAlign w:val="center"/>
          </w:tcPr>
          <w:p w14:paraId="737515F5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1,02E-01</w:t>
            </w:r>
          </w:p>
        </w:tc>
      </w:tr>
      <w:tr w:rsidR="00A13E8C" w:rsidRPr="00543837" w14:paraId="3A2B59D7" w14:textId="77777777" w:rsidTr="00543837">
        <w:trPr>
          <w:trHeight w:val="421"/>
        </w:trPr>
        <w:tc>
          <w:tcPr>
            <w:tcW w:w="5946" w:type="dxa"/>
            <w:shd w:val="clear" w:color="auto" w:fill="auto"/>
            <w:vAlign w:val="center"/>
          </w:tcPr>
          <w:p w14:paraId="1C69E149" w14:textId="77777777" w:rsidR="00A13E8C" w:rsidRPr="00543837" w:rsidRDefault="00A13E8C" w:rsidP="00A13E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3837">
              <w:rPr>
                <w:rFonts w:ascii="Arial" w:hAnsi="Arial" w:cs="Arial"/>
                <w:sz w:val="20"/>
                <w:szCs w:val="20"/>
              </w:rPr>
              <w:t>podocyte</w:t>
            </w:r>
            <w:proofErr w:type="spellEnd"/>
            <w:r w:rsidRPr="005438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3837">
              <w:rPr>
                <w:rFonts w:ascii="Arial" w:hAnsi="Arial" w:cs="Arial"/>
                <w:sz w:val="20"/>
                <w:szCs w:val="20"/>
              </w:rPr>
              <w:t>apoptotic</w:t>
            </w:r>
            <w:proofErr w:type="spellEnd"/>
            <w:r w:rsidRPr="005438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3837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1840" w:type="dxa"/>
            <w:shd w:val="clear" w:color="auto" w:fill="auto"/>
            <w:vAlign w:val="center"/>
          </w:tcPr>
          <w:p w14:paraId="24F45FCC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1,393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4E0BEA61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1,35E-01</w:t>
            </w:r>
          </w:p>
        </w:tc>
      </w:tr>
      <w:tr w:rsidR="00A13E8C" w:rsidRPr="00543837" w14:paraId="3DAEAEAD" w14:textId="77777777" w:rsidTr="00543837">
        <w:trPr>
          <w:trHeight w:val="421"/>
        </w:trPr>
        <w:tc>
          <w:tcPr>
            <w:tcW w:w="5946" w:type="dxa"/>
            <w:shd w:val="clear" w:color="000000" w:fill="F2F2F2"/>
            <w:vAlign w:val="center"/>
          </w:tcPr>
          <w:p w14:paraId="2C225556" w14:textId="77777777" w:rsidR="00A13E8C" w:rsidRPr="00543837" w:rsidRDefault="00A13E8C" w:rsidP="00A13E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3837">
              <w:rPr>
                <w:rFonts w:ascii="Arial" w:hAnsi="Arial" w:cs="Arial"/>
                <w:sz w:val="20"/>
                <w:szCs w:val="20"/>
                <w:lang w:val="en-US"/>
              </w:rPr>
              <w:t>regulation of mitochondrial membrane permeability involved in apoptotic process</w:t>
            </w:r>
          </w:p>
        </w:tc>
        <w:tc>
          <w:tcPr>
            <w:tcW w:w="1840" w:type="dxa"/>
            <w:shd w:val="clear" w:color="000000" w:fill="F2F2F2"/>
            <w:vAlign w:val="center"/>
          </w:tcPr>
          <w:p w14:paraId="3C30A1FA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1,313</w:t>
            </w:r>
          </w:p>
        </w:tc>
        <w:tc>
          <w:tcPr>
            <w:tcW w:w="1557" w:type="dxa"/>
            <w:shd w:val="clear" w:color="000000" w:fill="F2F2F2"/>
            <w:vAlign w:val="center"/>
          </w:tcPr>
          <w:p w14:paraId="30C2D694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1,43E-01</w:t>
            </w:r>
          </w:p>
        </w:tc>
      </w:tr>
      <w:tr w:rsidR="00A13E8C" w:rsidRPr="00543837" w14:paraId="6A267045" w14:textId="77777777" w:rsidTr="00543837">
        <w:trPr>
          <w:trHeight w:val="421"/>
        </w:trPr>
        <w:tc>
          <w:tcPr>
            <w:tcW w:w="5946" w:type="dxa"/>
            <w:shd w:val="clear" w:color="auto" w:fill="auto"/>
            <w:vAlign w:val="center"/>
          </w:tcPr>
          <w:p w14:paraId="7170048D" w14:textId="77777777" w:rsidR="00A13E8C" w:rsidRPr="00543837" w:rsidRDefault="00A13E8C" w:rsidP="00A13E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3837">
              <w:rPr>
                <w:rFonts w:ascii="Arial" w:hAnsi="Arial" w:cs="Arial"/>
                <w:sz w:val="20"/>
                <w:szCs w:val="20"/>
                <w:lang w:val="en-US"/>
              </w:rPr>
              <w:t>positive regulation of mitochondrial membrane permeability involved in apoptotic process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16B9007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1,316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468151A8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1,46E-01</w:t>
            </w:r>
          </w:p>
        </w:tc>
      </w:tr>
      <w:tr w:rsidR="00A13E8C" w:rsidRPr="00543837" w14:paraId="578F3F0B" w14:textId="77777777" w:rsidTr="00543837">
        <w:trPr>
          <w:trHeight w:val="421"/>
        </w:trPr>
        <w:tc>
          <w:tcPr>
            <w:tcW w:w="5946" w:type="dxa"/>
            <w:shd w:val="clear" w:color="000000" w:fill="F2F2F2"/>
            <w:vAlign w:val="center"/>
          </w:tcPr>
          <w:p w14:paraId="5FAE09E4" w14:textId="77777777" w:rsidR="00A13E8C" w:rsidRPr="00543837" w:rsidRDefault="00A13E8C" w:rsidP="00A13E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3837">
              <w:rPr>
                <w:rFonts w:ascii="Arial" w:hAnsi="Arial" w:cs="Arial"/>
                <w:sz w:val="20"/>
                <w:szCs w:val="20"/>
                <w:lang w:val="en-US"/>
              </w:rPr>
              <w:t>regulation of TRAIL-activated apoptotic signaling pathway</w:t>
            </w:r>
          </w:p>
        </w:tc>
        <w:tc>
          <w:tcPr>
            <w:tcW w:w="1840" w:type="dxa"/>
            <w:shd w:val="clear" w:color="000000" w:fill="F2F2F2"/>
            <w:vAlign w:val="center"/>
          </w:tcPr>
          <w:p w14:paraId="32BE4F37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1,391</w:t>
            </w:r>
          </w:p>
        </w:tc>
        <w:tc>
          <w:tcPr>
            <w:tcW w:w="1557" w:type="dxa"/>
            <w:shd w:val="clear" w:color="000000" w:fill="F2F2F2"/>
            <w:vAlign w:val="center"/>
          </w:tcPr>
          <w:p w14:paraId="49F1AD39" w14:textId="77777777" w:rsidR="00A13E8C" w:rsidRPr="00543837" w:rsidRDefault="00A13E8C" w:rsidP="00A13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837">
              <w:rPr>
                <w:rFonts w:ascii="Arial" w:hAnsi="Arial" w:cs="Arial"/>
                <w:sz w:val="20"/>
                <w:szCs w:val="20"/>
              </w:rPr>
              <w:t>1,48E-01</w:t>
            </w:r>
          </w:p>
        </w:tc>
      </w:tr>
    </w:tbl>
    <w:p w14:paraId="2D7272F2" w14:textId="77777777" w:rsidR="00A13E8C" w:rsidRPr="00A81780" w:rsidRDefault="00A13E8C" w:rsidP="00A13E8C">
      <w:pPr>
        <w:spacing w:after="0" w:line="480" w:lineRule="auto"/>
        <w:rPr>
          <w:rFonts w:ascii="Arial" w:hAnsi="Arial" w:cs="Arial"/>
          <w:lang w:val="en-US"/>
        </w:rPr>
      </w:pPr>
    </w:p>
    <w:p w14:paraId="45DABFF9" w14:textId="14B3718C" w:rsidR="00A13E8C" w:rsidRPr="00A81780" w:rsidRDefault="00A13E8C" w:rsidP="00A13E8C">
      <w:pPr>
        <w:spacing w:before="120" w:after="120" w:line="480" w:lineRule="auto"/>
        <w:ind w:right="-20"/>
        <w:jc w:val="both"/>
        <w:rPr>
          <w:rFonts w:ascii="Arial" w:eastAsia="Times New Roman" w:hAnsi="Arial" w:cs="Arial"/>
          <w:b/>
          <w:color w:val="000000"/>
          <w:lang w:val="en-US" w:eastAsia="it-IT"/>
        </w:rPr>
      </w:pPr>
    </w:p>
    <w:p w14:paraId="2D06DD3C" w14:textId="46702FD4" w:rsidR="006D2044" w:rsidRDefault="006D2044" w:rsidP="00A13E8C">
      <w:pPr>
        <w:spacing w:before="120" w:after="120" w:line="480" w:lineRule="auto"/>
        <w:ind w:right="-20"/>
        <w:jc w:val="both"/>
        <w:rPr>
          <w:rFonts w:ascii="Arial" w:eastAsia="Times New Roman" w:hAnsi="Arial" w:cs="Arial"/>
          <w:b/>
          <w:color w:val="000000"/>
          <w:lang w:val="en-US" w:eastAsia="it-IT"/>
        </w:rPr>
      </w:pPr>
    </w:p>
    <w:p w14:paraId="58E7B094" w14:textId="77777777" w:rsidR="00543837" w:rsidRPr="00A81780" w:rsidRDefault="00543837" w:rsidP="00A13E8C">
      <w:pPr>
        <w:spacing w:before="120" w:after="120" w:line="480" w:lineRule="auto"/>
        <w:ind w:right="-20"/>
        <w:jc w:val="both"/>
        <w:rPr>
          <w:rFonts w:ascii="Arial" w:eastAsia="Times New Roman" w:hAnsi="Arial" w:cs="Arial"/>
          <w:b/>
          <w:color w:val="000000"/>
          <w:lang w:val="en-US" w:eastAsia="it-IT"/>
        </w:rPr>
      </w:pPr>
    </w:p>
    <w:p w14:paraId="3520BE5A" w14:textId="6B19CD93" w:rsidR="00A13E8C" w:rsidRPr="00A81780" w:rsidRDefault="006D2044" w:rsidP="00A81780">
      <w:pPr>
        <w:spacing w:before="120" w:after="120" w:line="480" w:lineRule="auto"/>
        <w:ind w:right="-20"/>
        <w:jc w:val="center"/>
        <w:rPr>
          <w:rFonts w:ascii="Arial" w:eastAsia="Times New Roman" w:hAnsi="Arial" w:cs="Arial"/>
          <w:color w:val="000000"/>
          <w:lang w:val="en-US" w:eastAsia="it-IT"/>
        </w:rPr>
      </w:pPr>
      <w:r w:rsidRPr="00A81780">
        <w:rPr>
          <w:rFonts w:ascii="Arial" w:eastAsia="Times New Roman" w:hAnsi="Arial" w:cs="Arial"/>
          <w:b/>
          <w:color w:val="000000"/>
          <w:lang w:val="en-US" w:eastAsia="it-IT"/>
        </w:rPr>
        <w:lastRenderedPageBreak/>
        <w:t>Supplementary Figures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6"/>
      </w:tblGrid>
      <w:tr w:rsidR="00B50580" w:rsidRPr="00A81780" w14:paraId="060CBA65" w14:textId="77777777" w:rsidTr="00A74FFE">
        <w:tc>
          <w:tcPr>
            <w:tcW w:w="9406" w:type="dxa"/>
          </w:tcPr>
          <w:p w14:paraId="37565522" w14:textId="4F19265C" w:rsidR="00B50580" w:rsidRPr="00A81780" w:rsidRDefault="003C14D4" w:rsidP="00A13E8C">
            <w:pPr>
              <w:spacing w:before="120" w:after="120" w:line="480" w:lineRule="auto"/>
              <w:jc w:val="both"/>
              <w:rPr>
                <w:rFonts w:ascii="Arial" w:hAnsi="Arial" w:cs="Arial"/>
                <w:b/>
                <w:color w:val="FF0000"/>
              </w:rPr>
            </w:pPr>
            <w:r w:rsidRPr="00A81780">
              <w:rPr>
                <w:rFonts w:ascii="Arial" w:hAnsi="Arial" w:cs="Arial"/>
                <w:b/>
                <w:noProof/>
                <w:color w:val="FF0000"/>
                <w:lang w:eastAsia="it-IT"/>
              </w:rPr>
              <w:drawing>
                <wp:inline distT="0" distB="0" distL="0" distR="0" wp14:anchorId="1442D551" wp14:editId="55858BD4">
                  <wp:extent cx="5651500" cy="4196635"/>
                  <wp:effectExtent l="0" t="0" r="6350" b="0"/>
                  <wp:docPr id="27" name="Immagin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8530" cy="4216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5F3" w:rsidRPr="00A81780" w14:paraId="1322F072" w14:textId="77777777" w:rsidTr="00A74FFE">
        <w:tc>
          <w:tcPr>
            <w:tcW w:w="9406" w:type="dxa"/>
          </w:tcPr>
          <w:p w14:paraId="75383505" w14:textId="10C68B77" w:rsidR="00E5648C" w:rsidRPr="00A81780" w:rsidRDefault="006D2044" w:rsidP="003C14D4">
            <w:pPr>
              <w:spacing w:before="120" w:after="120" w:line="360" w:lineRule="auto"/>
              <w:jc w:val="both"/>
              <w:rPr>
                <w:rFonts w:ascii="Arial" w:hAnsi="Arial" w:cs="Arial"/>
                <w:lang w:val="en-US"/>
              </w:rPr>
            </w:pPr>
            <w:r w:rsidRPr="00A81780">
              <w:rPr>
                <w:rFonts w:ascii="Arial" w:hAnsi="Arial" w:cs="Arial"/>
                <w:b/>
                <w:lang w:val="en-US"/>
              </w:rPr>
              <w:t>Supplementary Fig</w:t>
            </w:r>
            <w:r w:rsidR="00A81780">
              <w:rPr>
                <w:rFonts w:ascii="Arial" w:hAnsi="Arial" w:cs="Arial"/>
                <w:b/>
                <w:lang w:val="en-US"/>
              </w:rPr>
              <w:t>.</w:t>
            </w:r>
            <w:r w:rsidR="00B50580" w:rsidRPr="00A81780">
              <w:rPr>
                <w:rFonts w:ascii="Arial" w:hAnsi="Arial" w:cs="Arial"/>
                <w:b/>
                <w:lang w:val="en-US"/>
              </w:rPr>
              <w:t xml:space="preserve"> 1. </w:t>
            </w:r>
            <w:r w:rsidR="00094584" w:rsidRPr="00A81780">
              <w:rPr>
                <w:rFonts w:ascii="Arial" w:hAnsi="Arial" w:cs="Arial"/>
                <w:b/>
                <w:lang w:val="en-US"/>
              </w:rPr>
              <w:t>Genes and b</w:t>
            </w:r>
            <w:r w:rsidR="00B50580" w:rsidRPr="00A81780">
              <w:rPr>
                <w:rFonts w:ascii="Arial" w:hAnsi="Arial" w:cs="Arial"/>
                <w:b/>
                <w:bCs/>
                <w:lang w:val="en-US"/>
              </w:rPr>
              <w:t xml:space="preserve">iological processes up-regulated </w:t>
            </w:r>
            <w:r w:rsidR="00011592" w:rsidRPr="00A81780">
              <w:rPr>
                <w:rFonts w:ascii="Arial" w:hAnsi="Arial" w:cs="Arial"/>
                <w:b/>
                <w:bCs/>
                <w:lang w:val="en-US"/>
              </w:rPr>
              <w:t>in H</w:t>
            </w:r>
            <w:r w:rsidR="006F2E6B" w:rsidRPr="00A81780">
              <w:rPr>
                <w:rFonts w:ascii="Arial" w:hAnsi="Arial" w:cs="Arial"/>
                <w:b/>
                <w:bCs/>
                <w:lang w:val="en-US"/>
              </w:rPr>
              <w:t>ep</w:t>
            </w:r>
            <w:r w:rsidR="00011592" w:rsidRPr="00A81780">
              <w:rPr>
                <w:rFonts w:ascii="Arial" w:hAnsi="Arial" w:cs="Arial"/>
                <w:b/>
                <w:bCs/>
                <w:lang w:val="en-US"/>
              </w:rPr>
              <w:t xml:space="preserve">55.1C cells </w:t>
            </w:r>
            <w:r w:rsidR="00B50580" w:rsidRPr="00A81780">
              <w:rPr>
                <w:rFonts w:ascii="Arial" w:hAnsi="Arial" w:cs="Arial"/>
                <w:b/>
                <w:bCs/>
                <w:lang w:val="en-US"/>
              </w:rPr>
              <w:t xml:space="preserve">by </w:t>
            </w:r>
            <w:proofErr w:type="spellStart"/>
            <w:r w:rsidR="00B50580" w:rsidRPr="00A81780">
              <w:rPr>
                <w:rFonts w:ascii="Arial" w:hAnsi="Arial" w:cs="Arial"/>
                <w:b/>
                <w:bCs/>
                <w:lang w:val="en-US"/>
              </w:rPr>
              <w:t>sorafenib</w:t>
            </w:r>
            <w:proofErr w:type="spellEnd"/>
            <w:r w:rsidR="00B50580" w:rsidRPr="00A81780">
              <w:rPr>
                <w:rFonts w:ascii="Arial" w:hAnsi="Arial" w:cs="Arial"/>
                <w:b/>
                <w:bCs/>
                <w:lang w:val="en-US"/>
              </w:rPr>
              <w:t xml:space="preserve"> short-term treatment</w:t>
            </w:r>
            <w:r w:rsidR="00E5648C" w:rsidRPr="00A81780">
              <w:rPr>
                <w:rFonts w:ascii="Arial" w:hAnsi="Arial" w:cs="Arial"/>
                <w:b/>
                <w:bCs/>
                <w:lang w:val="en-US"/>
              </w:rPr>
              <w:t xml:space="preserve">. </w:t>
            </w:r>
            <w:r w:rsidR="00B50580" w:rsidRPr="00A81780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5648C" w:rsidRPr="00A81780">
              <w:rPr>
                <w:rFonts w:ascii="Arial" w:hAnsi="Arial" w:cs="Arial"/>
                <w:lang w:val="en-US"/>
              </w:rPr>
              <w:t xml:space="preserve">Time-course transcriptomic analysis of Hep55.1C cells exposed to </w:t>
            </w:r>
            <w:proofErr w:type="spellStart"/>
            <w:r w:rsidR="00E5648C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E5648C" w:rsidRPr="00A81780">
              <w:rPr>
                <w:rFonts w:ascii="Arial" w:hAnsi="Arial" w:cs="Arial"/>
                <w:lang w:val="en-US"/>
              </w:rPr>
              <w:t xml:space="preserve"> (0–24 h) revealed a progressive upregulation of a gene cluster (Supplementary Table 1) that was further increased in </w:t>
            </w:r>
            <w:proofErr w:type="spellStart"/>
            <w:r w:rsidR="00E5648C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E5648C" w:rsidRPr="00A81780">
              <w:rPr>
                <w:rFonts w:ascii="Arial" w:hAnsi="Arial" w:cs="Arial"/>
                <w:lang w:val="en-US"/>
              </w:rPr>
              <w:t>-resistant cells (H55</w:t>
            </w:r>
            <w:r w:rsidR="003C14D4" w:rsidRPr="00A81780">
              <w:rPr>
                <w:rFonts w:ascii="Arial" w:hAnsi="Arial" w:cs="Arial"/>
                <w:lang w:val="en-US"/>
              </w:rPr>
              <w:t>-</w:t>
            </w:r>
            <w:r w:rsidR="00E5648C" w:rsidRPr="00A81780">
              <w:rPr>
                <w:rFonts w:ascii="Arial" w:hAnsi="Arial" w:cs="Arial"/>
                <w:lang w:val="en-US"/>
              </w:rPr>
              <w:t xml:space="preserve">RES).  </w:t>
            </w:r>
            <w:r w:rsidR="00E5648C" w:rsidRPr="00A81780">
              <w:rPr>
                <w:rFonts w:ascii="Arial" w:hAnsi="Arial" w:cs="Arial"/>
                <w:b/>
                <w:lang w:val="en-US"/>
              </w:rPr>
              <w:t>(a)</w:t>
            </w:r>
            <w:r w:rsidR="00A817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E5648C" w:rsidRPr="00A81780">
              <w:rPr>
                <w:rFonts w:ascii="Arial" w:hAnsi="Arial" w:cs="Arial"/>
                <w:lang w:val="en-US"/>
              </w:rPr>
              <w:t>TCseq</w:t>
            </w:r>
            <w:proofErr w:type="spellEnd"/>
            <w:r w:rsidR="00E5648C" w:rsidRPr="00A81780">
              <w:rPr>
                <w:rFonts w:ascii="Arial" w:hAnsi="Arial" w:cs="Arial"/>
                <w:lang w:val="en-US"/>
              </w:rPr>
              <w:t>-based analysis of RNA-</w:t>
            </w:r>
            <w:proofErr w:type="spellStart"/>
            <w:r w:rsidR="00E5648C" w:rsidRPr="00A81780">
              <w:rPr>
                <w:rFonts w:ascii="Arial" w:hAnsi="Arial" w:cs="Arial"/>
                <w:lang w:val="en-US"/>
              </w:rPr>
              <w:t>seq</w:t>
            </w:r>
            <w:proofErr w:type="spellEnd"/>
            <w:r w:rsidR="00E5648C" w:rsidRPr="00A81780">
              <w:rPr>
                <w:rFonts w:ascii="Arial" w:hAnsi="Arial" w:cs="Arial"/>
                <w:lang w:val="en-US"/>
              </w:rPr>
              <w:t xml:space="preserve"> data illustrating gene expression dynamics [</w:t>
            </w:r>
            <w:hyperlink r:id="rId8" w:tgtFrame="_new" w:history="1">
              <w:r w:rsidR="00E5648C" w:rsidRPr="00A81780">
                <w:rPr>
                  <w:rStyle w:val="Collegamentoipertestuale"/>
                  <w:rFonts w:ascii="Arial" w:hAnsi="Arial" w:cs="Arial"/>
                  <w:lang w:val="en-US"/>
                </w:rPr>
                <w:t>http://www.bioconductor.org/packages/release/bioc/html/TCseq.html</w:t>
              </w:r>
            </w:hyperlink>
            <w:r w:rsidR="00E5648C" w:rsidRPr="00A81780">
              <w:rPr>
                <w:rFonts w:ascii="Arial" w:hAnsi="Arial" w:cs="Arial"/>
                <w:lang w:val="en-US"/>
              </w:rPr>
              <w:t>]. The Y-axis represents normalized gene expression values (log</w:t>
            </w:r>
            <w:r w:rsidR="00E5648C" w:rsidRPr="00A81780">
              <w:rPr>
                <w:rFonts w:ascii="Cambria Math" w:hAnsi="Cambria Math" w:cs="Cambria Math"/>
                <w:lang w:val="en-US"/>
              </w:rPr>
              <w:t>₂</w:t>
            </w:r>
            <w:r w:rsidR="00E5648C" w:rsidRPr="00A81780">
              <w:rPr>
                <w:rFonts w:ascii="Arial" w:hAnsi="Arial" w:cs="Arial"/>
                <w:lang w:val="en-US"/>
              </w:rPr>
              <w:t xml:space="preserve"> scale), while the X-axis i</w:t>
            </w:r>
            <w:r w:rsidR="00A81780">
              <w:rPr>
                <w:rFonts w:ascii="Arial" w:hAnsi="Arial" w:cs="Arial"/>
                <w:lang w:val="en-US"/>
              </w:rPr>
              <w:t xml:space="preserve">ndicates treatment time points. </w:t>
            </w:r>
            <w:r w:rsidR="00E5648C" w:rsidRPr="00A81780">
              <w:rPr>
                <w:rFonts w:ascii="Arial" w:hAnsi="Arial" w:cs="Arial"/>
                <w:b/>
                <w:lang w:val="en-US"/>
              </w:rPr>
              <w:t>(b)</w:t>
            </w:r>
            <w:r w:rsidR="00E5648C" w:rsidRPr="00A817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E5648C" w:rsidRPr="00A81780">
              <w:rPr>
                <w:rFonts w:ascii="Arial" w:hAnsi="Arial" w:cs="Arial"/>
                <w:lang w:val="en-US"/>
              </w:rPr>
              <w:t>Heatmap</w:t>
            </w:r>
            <w:proofErr w:type="spellEnd"/>
            <w:r w:rsidR="00E5648C" w:rsidRPr="00A81780">
              <w:rPr>
                <w:rFonts w:ascii="Arial" w:hAnsi="Arial" w:cs="Arial"/>
                <w:lang w:val="en-US"/>
              </w:rPr>
              <w:t xml:space="preserve"> representation of the same </w:t>
            </w:r>
            <w:proofErr w:type="spellStart"/>
            <w:r w:rsidR="00E5648C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E5648C" w:rsidRPr="00A81780">
              <w:rPr>
                <w:rFonts w:ascii="Arial" w:hAnsi="Arial" w:cs="Arial"/>
                <w:lang w:val="en-US"/>
              </w:rPr>
              <w:t xml:space="preserve">-upregulated gene cluster, illustrating their expression dynamics across treatment conditions. Red denotes upregulation, and green denotes downregulation.  </w:t>
            </w:r>
            <w:r w:rsidR="00E5648C" w:rsidRPr="00A81780">
              <w:rPr>
                <w:rFonts w:ascii="Arial" w:hAnsi="Arial" w:cs="Arial"/>
                <w:b/>
                <w:lang w:val="en-US"/>
              </w:rPr>
              <w:t>(c)</w:t>
            </w:r>
            <w:r w:rsidR="00E5648C" w:rsidRPr="00A81780">
              <w:rPr>
                <w:rFonts w:ascii="Arial" w:hAnsi="Arial" w:cs="Arial"/>
                <w:lang w:val="en-US"/>
              </w:rPr>
              <w:t xml:space="preserve"> Gene Ontology (GO) enrichment analysis of biological processes associated with </w:t>
            </w:r>
            <w:proofErr w:type="spellStart"/>
            <w:r w:rsidR="00E5648C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E5648C" w:rsidRPr="00A81780">
              <w:rPr>
                <w:rFonts w:ascii="Arial" w:hAnsi="Arial" w:cs="Arial"/>
                <w:lang w:val="en-US"/>
              </w:rPr>
              <w:t xml:space="preserve">-upregulated genes. Color intensity indicates the adjusted </w:t>
            </w:r>
            <w:r w:rsidR="00E5648C" w:rsidRPr="00A81780">
              <w:rPr>
                <w:rStyle w:val="Enfasicorsivo"/>
                <w:rFonts w:ascii="Arial" w:hAnsi="Arial" w:cs="Arial"/>
                <w:lang w:val="en-US"/>
              </w:rPr>
              <w:t>p</w:t>
            </w:r>
            <w:r w:rsidR="00E5648C" w:rsidRPr="00A81780">
              <w:rPr>
                <w:rFonts w:ascii="Arial" w:hAnsi="Arial" w:cs="Arial"/>
                <w:lang w:val="en-US"/>
              </w:rPr>
              <w:t xml:space="preserve">-value (blue = higher, red = lower), with lower </w:t>
            </w:r>
            <w:r w:rsidR="00E5648C" w:rsidRPr="00A81780">
              <w:rPr>
                <w:rStyle w:val="Enfasicorsivo"/>
                <w:rFonts w:ascii="Arial" w:hAnsi="Arial" w:cs="Arial"/>
                <w:lang w:val="en-US"/>
              </w:rPr>
              <w:t>p</w:t>
            </w:r>
            <w:r w:rsidR="00E5648C" w:rsidRPr="00A81780">
              <w:rPr>
                <w:rFonts w:ascii="Arial" w:hAnsi="Arial" w:cs="Arial"/>
                <w:lang w:val="en-US"/>
              </w:rPr>
              <w:t xml:space="preserve">-adjusted values representing more significantly enriched gene sets. Point size reflects the gene ratio within each GO term.  NT = untreated cells; SF-SHORT = Hep55.1C cells treated with </w:t>
            </w:r>
            <w:proofErr w:type="spellStart"/>
            <w:r w:rsidR="00E5648C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E5648C" w:rsidRPr="00A81780">
              <w:rPr>
                <w:rFonts w:ascii="Arial" w:hAnsi="Arial" w:cs="Arial"/>
                <w:lang w:val="en-US"/>
              </w:rPr>
              <w:t xml:space="preserve"> at different time points (2 h, 4 h, 6 h, 8 h, 12 h, 24 h); H55-RES = cells resistant to 10 µM </w:t>
            </w:r>
            <w:proofErr w:type="spellStart"/>
            <w:r w:rsidR="00E5648C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E5648C" w:rsidRPr="00A81780">
              <w:rPr>
                <w:rFonts w:ascii="Arial" w:hAnsi="Arial" w:cs="Arial"/>
                <w:lang w:val="en-US"/>
              </w:rPr>
              <w:t xml:space="preserve"> and maintained in the presence of the drug.</w:t>
            </w:r>
          </w:p>
          <w:p w14:paraId="7F55A189" w14:textId="24A3E262" w:rsidR="007D0D33" w:rsidRPr="00A81780" w:rsidRDefault="007D0D33" w:rsidP="00E5648C">
            <w:pPr>
              <w:spacing w:before="120" w:after="120" w:line="360" w:lineRule="auto"/>
              <w:ind w:right="-23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1965F046" w14:textId="4489C756" w:rsidR="007720F1" w:rsidRPr="00A81780" w:rsidRDefault="007720F1" w:rsidP="00A81780">
      <w:pPr>
        <w:rPr>
          <w:rFonts w:ascii="Arial" w:hAnsi="Arial" w:cs="Arial"/>
          <w:b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720F1" w:rsidRPr="00A81780" w14:paraId="6FD9A687" w14:textId="77777777" w:rsidTr="007720F1">
        <w:tc>
          <w:tcPr>
            <w:tcW w:w="9854" w:type="dxa"/>
          </w:tcPr>
          <w:p w14:paraId="35B15A15" w14:textId="32D55F0D" w:rsidR="007720F1" w:rsidRPr="00A81780" w:rsidRDefault="00481B95" w:rsidP="00DD7D12">
            <w:pPr>
              <w:spacing w:before="120" w:after="120" w:line="48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A81780">
              <w:rPr>
                <w:rFonts w:ascii="Arial" w:hAnsi="Arial" w:cs="Arial"/>
                <w:b/>
                <w:noProof/>
                <w:lang w:eastAsia="it-IT"/>
              </w:rPr>
              <w:drawing>
                <wp:inline distT="0" distB="0" distL="0" distR="0" wp14:anchorId="3EAC4EAA" wp14:editId="673AEA03">
                  <wp:extent cx="5457825" cy="3000727"/>
                  <wp:effectExtent l="0" t="0" r="0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uppl Figure 2.tif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2256" cy="3008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E7F889" w14:textId="02041AC3" w:rsidR="007526BF" w:rsidRPr="00A81780" w:rsidRDefault="007526BF" w:rsidP="00CF06FA">
      <w:pPr>
        <w:spacing w:before="120" w:after="120" w:line="360" w:lineRule="auto"/>
        <w:jc w:val="both"/>
        <w:rPr>
          <w:rFonts w:ascii="Arial" w:hAnsi="Arial" w:cs="Arial"/>
          <w:b/>
          <w:lang w:val="en-US"/>
        </w:rPr>
      </w:pPr>
      <w:r w:rsidRPr="00A81780">
        <w:rPr>
          <w:rFonts w:ascii="Arial" w:hAnsi="Arial" w:cs="Arial"/>
          <w:b/>
          <w:lang w:val="en-US"/>
        </w:rPr>
        <w:t>Supplementary Fig</w:t>
      </w:r>
      <w:r w:rsidR="00A81780">
        <w:rPr>
          <w:rFonts w:ascii="Arial" w:hAnsi="Arial" w:cs="Arial"/>
          <w:b/>
          <w:lang w:val="en-US"/>
        </w:rPr>
        <w:t>.</w:t>
      </w:r>
      <w:r w:rsidRPr="00A81780">
        <w:rPr>
          <w:rFonts w:ascii="Arial" w:hAnsi="Arial" w:cs="Arial"/>
          <w:b/>
          <w:lang w:val="en-US"/>
        </w:rPr>
        <w:t xml:space="preserve"> 2. Cytotoxic effects of </w:t>
      </w:r>
      <w:proofErr w:type="spellStart"/>
      <w:r w:rsidRPr="00A81780">
        <w:rPr>
          <w:rFonts w:ascii="Arial" w:hAnsi="Arial" w:cs="Arial"/>
          <w:b/>
          <w:lang w:val="en-US"/>
        </w:rPr>
        <w:t>sorafenib</w:t>
      </w:r>
      <w:proofErr w:type="spellEnd"/>
      <w:r w:rsidRPr="00A81780">
        <w:rPr>
          <w:rFonts w:ascii="Arial" w:hAnsi="Arial" w:cs="Arial"/>
          <w:b/>
          <w:lang w:val="en-US"/>
        </w:rPr>
        <w:t xml:space="preserve">, SR9009 and their combination in mouse </w:t>
      </w:r>
      <w:proofErr w:type="spellStart"/>
      <w:r w:rsidRPr="00A81780">
        <w:rPr>
          <w:rFonts w:ascii="Arial" w:hAnsi="Arial" w:cs="Arial"/>
          <w:b/>
          <w:lang w:val="en-US"/>
        </w:rPr>
        <w:t>hepatoma</w:t>
      </w:r>
      <w:proofErr w:type="spellEnd"/>
      <w:r w:rsidRPr="00A81780">
        <w:rPr>
          <w:rFonts w:ascii="Arial" w:hAnsi="Arial" w:cs="Arial"/>
          <w:b/>
          <w:lang w:val="en-US"/>
        </w:rPr>
        <w:t xml:space="preserve"> cell lines. </w:t>
      </w:r>
      <w:r w:rsidRPr="00A81780">
        <w:rPr>
          <w:rFonts w:ascii="Arial" w:hAnsi="Arial" w:cs="Arial"/>
          <w:lang w:val="en-US"/>
        </w:rPr>
        <w:t xml:space="preserve">Representative phase-contrast images of Hep55.1C </w:t>
      </w:r>
      <w:r w:rsidRPr="00A81780">
        <w:rPr>
          <w:rFonts w:ascii="Arial" w:hAnsi="Arial" w:cs="Arial"/>
          <w:b/>
          <w:lang w:val="en-US"/>
        </w:rPr>
        <w:t>(a</w:t>
      </w:r>
      <w:r w:rsidRPr="00A81780">
        <w:rPr>
          <w:rFonts w:ascii="Arial" w:hAnsi="Arial" w:cs="Arial"/>
          <w:lang w:val="en-US"/>
        </w:rPr>
        <w:t xml:space="preserve">) and Hep56.1D </w:t>
      </w:r>
      <w:r w:rsidRPr="00A81780">
        <w:rPr>
          <w:rFonts w:ascii="Arial" w:hAnsi="Arial" w:cs="Arial"/>
          <w:b/>
          <w:lang w:val="en-US"/>
        </w:rPr>
        <w:t>(b)</w:t>
      </w:r>
      <w:r w:rsidRPr="00A81780">
        <w:rPr>
          <w:rFonts w:ascii="Arial" w:hAnsi="Arial" w:cs="Arial"/>
          <w:lang w:val="en-US"/>
        </w:rPr>
        <w:t xml:space="preserve"> cells captured 48 hours after treatment demonstrate that the combined administration of </w:t>
      </w:r>
      <w:proofErr w:type="spellStart"/>
      <w:r w:rsidRPr="00A81780">
        <w:rPr>
          <w:rFonts w:ascii="Arial" w:hAnsi="Arial" w:cs="Arial"/>
          <w:lang w:val="en-US"/>
        </w:rPr>
        <w:t>sorafenib</w:t>
      </w:r>
      <w:proofErr w:type="spellEnd"/>
      <w:r w:rsidRPr="00A81780">
        <w:rPr>
          <w:rFonts w:ascii="Arial" w:hAnsi="Arial" w:cs="Arial"/>
          <w:lang w:val="en-US"/>
        </w:rPr>
        <w:t xml:space="preserve"> and SR9009 elicited the most pronounced cytotoxic response compared to either agent alone. Treatments were performed using 5.5 µM </w:t>
      </w:r>
      <w:proofErr w:type="spellStart"/>
      <w:r w:rsidRPr="00A81780">
        <w:rPr>
          <w:rFonts w:ascii="Arial" w:hAnsi="Arial" w:cs="Arial"/>
          <w:lang w:val="en-US"/>
        </w:rPr>
        <w:t>sorafenib</w:t>
      </w:r>
      <w:proofErr w:type="spellEnd"/>
      <w:r w:rsidRPr="00A81780">
        <w:rPr>
          <w:rFonts w:ascii="Arial" w:hAnsi="Arial" w:cs="Arial"/>
          <w:lang w:val="en-US"/>
        </w:rPr>
        <w:t xml:space="preserve"> and 12.5 µM SR9009, as described in Figure 1. (NT = untreated; SF = </w:t>
      </w:r>
      <w:proofErr w:type="spellStart"/>
      <w:r w:rsidRPr="00A81780">
        <w:rPr>
          <w:rFonts w:ascii="Arial" w:hAnsi="Arial" w:cs="Arial"/>
          <w:lang w:val="en-US"/>
        </w:rPr>
        <w:t>sorafenib</w:t>
      </w:r>
      <w:proofErr w:type="spellEnd"/>
      <w:r w:rsidRPr="00A81780">
        <w:rPr>
          <w:rFonts w:ascii="Arial" w:hAnsi="Arial" w:cs="Arial"/>
          <w:lang w:val="en-US"/>
        </w:rPr>
        <w:t xml:space="preserve">; SR = SR9009; SF+SR = </w:t>
      </w:r>
      <w:proofErr w:type="spellStart"/>
      <w:r w:rsidRPr="00A81780">
        <w:rPr>
          <w:rFonts w:ascii="Arial" w:hAnsi="Arial" w:cs="Arial"/>
          <w:lang w:val="en-US"/>
        </w:rPr>
        <w:t>sorafenib</w:t>
      </w:r>
      <w:proofErr w:type="spellEnd"/>
      <w:r w:rsidRPr="00A81780">
        <w:rPr>
          <w:rFonts w:ascii="Arial" w:hAnsi="Arial" w:cs="Arial"/>
          <w:lang w:val="en-US"/>
        </w:rPr>
        <w:t xml:space="preserve"> + SR9009).</w:t>
      </w:r>
    </w:p>
    <w:p w14:paraId="34EA6A81" w14:textId="77777777" w:rsidR="00670C99" w:rsidRPr="00A81780" w:rsidRDefault="00670C99" w:rsidP="00A13E8C">
      <w:pPr>
        <w:spacing w:line="480" w:lineRule="auto"/>
        <w:rPr>
          <w:rFonts w:ascii="Arial" w:hAnsi="Arial" w:cs="Arial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70C99" w:rsidRPr="00A81780" w14:paraId="5D115191" w14:textId="77777777" w:rsidTr="00E6299D">
        <w:tc>
          <w:tcPr>
            <w:tcW w:w="9628" w:type="dxa"/>
          </w:tcPr>
          <w:p w14:paraId="757322F7" w14:textId="178E0598" w:rsidR="00670C99" w:rsidRPr="00A81780" w:rsidRDefault="003C14D4" w:rsidP="00DD7D12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A81780">
              <w:rPr>
                <w:rFonts w:ascii="Arial" w:hAnsi="Arial" w:cs="Arial"/>
                <w:noProof/>
                <w:lang w:eastAsia="it-IT"/>
              </w:rPr>
              <w:lastRenderedPageBreak/>
              <w:drawing>
                <wp:inline distT="0" distB="0" distL="0" distR="0" wp14:anchorId="379EB111" wp14:editId="7CEC04AF">
                  <wp:extent cx="5695950" cy="4292175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158" cy="4300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C99" w:rsidRPr="00A81780" w14:paraId="67C5404E" w14:textId="77777777" w:rsidTr="00E6299D">
        <w:tc>
          <w:tcPr>
            <w:tcW w:w="9628" w:type="dxa"/>
          </w:tcPr>
          <w:p w14:paraId="63C18C88" w14:textId="468A0F16" w:rsidR="00842DCE" w:rsidRPr="00A81780" w:rsidRDefault="00670C99" w:rsidP="00013D91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A81780">
              <w:rPr>
                <w:rFonts w:ascii="Arial" w:hAnsi="Arial" w:cs="Arial"/>
                <w:b/>
                <w:lang w:val="en-US"/>
              </w:rPr>
              <w:t>Supplementary Fig</w:t>
            </w:r>
            <w:r w:rsidR="00A81780">
              <w:rPr>
                <w:rFonts w:ascii="Arial" w:hAnsi="Arial" w:cs="Arial"/>
                <w:b/>
                <w:lang w:val="en-US"/>
              </w:rPr>
              <w:t>.</w:t>
            </w:r>
            <w:r w:rsidRPr="00A81780">
              <w:rPr>
                <w:rFonts w:ascii="Arial" w:hAnsi="Arial" w:cs="Arial"/>
                <w:b/>
                <w:lang w:val="en-US"/>
              </w:rPr>
              <w:t xml:space="preserve"> 3</w:t>
            </w:r>
            <w:r w:rsidR="00384649" w:rsidRPr="00A81780">
              <w:rPr>
                <w:rFonts w:ascii="Arial" w:hAnsi="Arial" w:cs="Arial"/>
                <w:b/>
                <w:lang w:val="en-US"/>
              </w:rPr>
              <w:t xml:space="preserve">. </w:t>
            </w:r>
            <w:r w:rsidR="007526BF" w:rsidRPr="00A81780">
              <w:rPr>
                <w:rFonts w:ascii="Arial" w:hAnsi="Arial" w:cs="Arial"/>
                <w:b/>
                <w:lang w:val="en-US"/>
              </w:rPr>
              <w:t xml:space="preserve"> Combined treatment with </w:t>
            </w:r>
            <w:proofErr w:type="spellStart"/>
            <w:r w:rsidR="007526BF" w:rsidRPr="00A81780">
              <w:rPr>
                <w:rFonts w:ascii="Arial" w:hAnsi="Arial" w:cs="Arial"/>
                <w:b/>
                <w:lang w:val="en-US"/>
              </w:rPr>
              <w:t>sorafenib</w:t>
            </w:r>
            <w:proofErr w:type="spellEnd"/>
            <w:r w:rsidR="007526BF" w:rsidRPr="00A81780">
              <w:rPr>
                <w:rFonts w:ascii="Arial" w:hAnsi="Arial" w:cs="Arial"/>
                <w:b/>
                <w:lang w:val="en-US"/>
              </w:rPr>
              <w:t xml:space="preserve"> and SR9009 impairs </w:t>
            </w:r>
            <w:proofErr w:type="spellStart"/>
            <w:r w:rsidR="007526BF" w:rsidRPr="00A81780">
              <w:rPr>
                <w:rFonts w:ascii="Arial" w:hAnsi="Arial" w:cs="Arial"/>
                <w:b/>
                <w:lang w:val="en-US"/>
              </w:rPr>
              <w:t>clonogenic</w:t>
            </w:r>
            <w:proofErr w:type="spellEnd"/>
            <w:r w:rsidR="007526BF" w:rsidRPr="00A81780">
              <w:rPr>
                <w:rFonts w:ascii="Arial" w:hAnsi="Arial" w:cs="Arial"/>
                <w:b/>
                <w:lang w:val="en-US"/>
              </w:rPr>
              <w:t xml:space="preserve"> growth of Hep55.1C</w:t>
            </w:r>
            <w:r w:rsidR="007526BF" w:rsidRPr="00A81780">
              <w:rPr>
                <w:rFonts w:ascii="Arial" w:hAnsi="Arial" w:cs="Arial"/>
                <w:lang w:val="en-US"/>
              </w:rPr>
              <w:t xml:space="preserve"> </w:t>
            </w:r>
            <w:r w:rsidR="007526BF" w:rsidRPr="00A81780">
              <w:rPr>
                <w:rFonts w:ascii="Arial" w:hAnsi="Arial" w:cs="Arial"/>
                <w:b/>
                <w:lang w:val="en-US"/>
              </w:rPr>
              <w:t xml:space="preserve">cells. </w:t>
            </w:r>
            <w:r w:rsidR="00842DCE" w:rsidRPr="00A81780">
              <w:rPr>
                <w:rFonts w:ascii="Arial" w:hAnsi="Arial" w:cs="Arial"/>
                <w:b/>
                <w:lang w:val="en-US"/>
              </w:rPr>
              <w:t>(a)</w:t>
            </w:r>
            <w:r w:rsidR="00842DCE" w:rsidRPr="00A81780">
              <w:rPr>
                <w:rFonts w:ascii="Arial" w:hAnsi="Arial" w:cs="Arial"/>
                <w:lang w:val="en-US"/>
              </w:rPr>
              <w:t xml:space="preserve"> Representative images of Hep55.1C colonies grown in soft agar (</w:t>
            </w:r>
            <w:r w:rsidR="00842DCE" w:rsidRPr="00A81780">
              <w:rPr>
                <w:rStyle w:val="Enfasigrassetto"/>
                <w:rFonts w:ascii="Arial" w:hAnsi="Arial" w:cs="Arial"/>
                <w:b w:val="0"/>
                <w:lang w:val="en-US"/>
              </w:rPr>
              <w:t>scale bar: 100 µm</w:t>
            </w:r>
            <w:r w:rsidR="00842DCE" w:rsidRPr="00A81780">
              <w:rPr>
                <w:rFonts w:ascii="Arial" w:hAnsi="Arial" w:cs="Arial"/>
                <w:b/>
                <w:lang w:val="en-US"/>
              </w:rPr>
              <w:t>)</w:t>
            </w:r>
            <w:r w:rsidR="00842DCE" w:rsidRPr="00A81780">
              <w:rPr>
                <w:rFonts w:ascii="Arial" w:hAnsi="Arial" w:cs="Arial"/>
                <w:lang w:val="en-US"/>
              </w:rPr>
              <w:t xml:space="preserve"> and </w:t>
            </w:r>
            <w:r w:rsidR="00842DCE" w:rsidRPr="00A81780">
              <w:rPr>
                <w:rFonts w:ascii="Arial" w:hAnsi="Arial" w:cs="Arial"/>
                <w:b/>
                <w:lang w:val="en-US"/>
              </w:rPr>
              <w:t>(b)</w:t>
            </w:r>
            <w:r w:rsidR="00842DCE" w:rsidRPr="00A81780">
              <w:rPr>
                <w:rFonts w:ascii="Arial" w:hAnsi="Arial" w:cs="Arial"/>
                <w:lang w:val="en-US"/>
              </w:rPr>
              <w:t xml:space="preserve"> corresponding crystal violet-stained plates after two weeks of treatment with </w:t>
            </w:r>
            <w:proofErr w:type="spellStart"/>
            <w:r w:rsidR="00842DCE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842DCE" w:rsidRPr="00A81780">
              <w:rPr>
                <w:rFonts w:ascii="Arial" w:hAnsi="Arial" w:cs="Arial"/>
                <w:lang w:val="en-US"/>
              </w:rPr>
              <w:t xml:space="preserve"> (7.5 µM), SR9009 (12.5 µM) or their combination (SF+SR). Each condition was performed in triplicate. The combination treatment markedly reduced both the </w:t>
            </w:r>
            <w:r w:rsidR="00842DCE" w:rsidRPr="00A81780">
              <w:rPr>
                <w:rStyle w:val="Enfasigrassetto"/>
                <w:rFonts w:ascii="Arial" w:hAnsi="Arial" w:cs="Arial"/>
                <w:b w:val="0"/>
                <w:lang w:val="en-US"/>
              </w:rPr>
              <w:t>number</w:t>
            </w:r>
            <w:r w:rsidR="00842DCE" w:rsidRPr="00A81780">
              <w:rPr>
                <w:rFonts w:ascii="Arial" w:hAnsi="Arial" w:cs="Arial"/>
                <w:lang w:val="en-US"/>
              </w:rPr>
              <w:t xml:space="preserve"> </w:t>
            </w:r>
            <w:r w:rsidR="00842DCE" w:rsidRPr="00A81780">
              <w:rPr>
                <w:rFonts w:ascii="Arial" w:hAnsi="Arial" w:cs="Arial"/>
                <w:b/>
                <w:lang w:val="en-US"/>
              </w:rPr>
              <w:t>(c)</w:t>
            </w:r>
            <w:r w:rsidR="00842DCE" w:rsidRPr="00A81780">
              <w:rPr>
                <w:rFonts w:ascii="Arial" w:hAnsi="Arial" w:cs="Arial"/>
                <w:lang w:val="en-US"/>
              </w:rPr>
              <w:t xml:space="preserve"> and diameter </w:t>
            </w:r>
            <w:r w:rsidR="00842DCE" w:rsidRPr="00A81780">
              <w:rPr>
                <w:rStyle w:val="Enfasigrassetto"/>
                <w:rFonts w:ascii="Arial" w:hAnsi="Arial" w:cs="Arial"/>
                <w:b w:val="0"/>
                <w:lang w:val="en-US"/>
              </w:rPr>
              <w:t>size</w:t>
            </w:r>
            <w:r w:rsidR="00842DCE" w:rsidRPr="00A81780">
              <w:rPr>
                <w:rFonts w:ascii="Arial" w:hAnsi="Arial" w:cs="Arial"/>
                <w:lang w:val="en-US"/>
              </w:rPr>
              <w:t xml:space="preserve"> </w:t>
            </w:r>
            <w:r w:rsidR="00842DCE" w:rsidRPr="00A81780">
              <w:rPr>
                <w:rFonts w:ascii="Arial" w:hAnsi="Arial" w:cs="Arial"/>
                <w:b/>
                <w:lang w:val="en-US"/>
              </w:rPr>
              <w:t>(d)</w:t>
            </w:r>
            <w:r w:rsidR="00842DCE" w:rsidRPr="00A81780">
              <w:rPr>
                <w:rFonts w:ascii="Arial" w:hAnsi="Arial" w:cs="Arial"/>
                <w:lang w:val="en-US"/>
              </w:rPr>
              <w:t xml:space="preserve"> of colonies compared with untreated (NT) and single-agent groups, demonstrating a strong synergistic inhibition of cell proliferation and survival. To assess their number, only colonies ≥100 µm in diameter were considered.  </w:t>
            </w:r>
            <w:r w:rsidR="00842DCE" w:rsidRPr="00A81780">
              <w:rPr>
                <w:rStyle w:val="Enfasigrassetto"/>
                <w:rFonts w:ascii="Arial" w:hAnsi="Arial" w:cs="Arial"/>
                <w:b w:val="0"/>
                <w:lang w:val="en-US"/>
              </w:rPr>
              <w:t>**p value ≤ 0.01; ***p value ≤ 0.001; ****p value ≤ 0.0001.</w:t>
            </w:r>
            <w:r w:rsidR="00842DCE" w:rsidRPr="00A81780">
              <w:rPr>
                <w:rStyle w:val="Enfasigrassetto"/>
                <w:rFonts w:ascii="Arial" w:hAnsi="Arial" w:cs="Arial"/>
                <w:lang w:val="en-US"/>
              </w:rPr>
              <w:t xml:space="preserve">  </w:t>
            </w:r>
          </w:p>
          <w:p w14:paraId="7C7320FB" w14:textId="44528E6D" w:rsidR="007526BF" w:rsidRPr="00A81780" w:rsidRDefault="007526BF" w:rsidP="00013D91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3C26180E" w14:textId="0C6C61A3" w:rsidR="00B50580" w:rsidRPr="00A81780" w:rsidRDefault="00B50580" w:rsidP="00A13E8C">
      <w:pPr>
        <w:spacing w:line="480" w:lineRule="auto"/>
        <w:rPr>
          <w:rFonts w:ascii="Arial" w:hAnsi="Arial" w:cs="Arial"/>
          <w:lang w:val="en-US"/>
        </w:rPr>
      </w:pPr>
      <w:r w:rsidRPr="00A81780">
        <w:rPr>
          <w:rFonts w:ascii="Arial" w:hAnsi="Arial" w:cs="Arial"/>
          <w:lang w:val="en-US"/>
        </w:rPr>
        <w:br w:type="page"/>
      </w:r>
    </w:p>
    <w:p w14:paraId="1C75B558" w14:textId="77777777" w:rsidR="00B50580" w:rsidRPr="00A81780" w:rsidRDefault="00B50580" w:rsidP="00A13E8C">
      <w:pPr>
        <w:spacing w:line="480" w:lineRule="auto"/>
        <w:rPr>
          <w:rFonts w:ascii="Arial" w:hAnsi="Arial" w:cs="Arial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50580" w:rsidRPr="00A81780" w14:paraId="157738C3" w14:textId="77777777" w:rsidTr="00C906C9">
        <w:trPr>
          <w:trHeight w:val="4517"/>
        </w:trPr>
        <w:tc>
          <w:tcPr>
            <w:tcW w:w="9628" w:type="dxa"/>
          </w:tcPr>
          <w:p w14:paraId="6ABAA5CA" w14:textId="77614493" w:rsidR="00B50580" w:rsidRPr="00A81780" w:rsidRDefault="003C14D4" w:rsidP="00DD7D12">
            <w:pPr>
              <w:spacing w:before="120" w:after="120" w:line="480" w:lineRule="auto"/>
              <w:ind w:right="-23"/>
              <w:jc w:val="center"/>
              <w:rPr>
                <w:rFonts w:ascii="Arial" w:hAnsi="Arial" w:cs="Arial"/>
                <w:b/>
                <w:lang w:val="en-US"/>
              </w:rPr>
            </w:pPr>
            <w:r w:rsidRPr="00A81780">
              <w:rPr>
                <w:rFonts w:ascii="Arial" w:hAnsi="Arial" w:cs="Arial"/>
                <w:b/>
                <w:noProof/>
                <w:lang w:eastAsia="it-IT"/>
              </w:rPr>
              <w:drawing>
                <wp:inline distT="0" distB="0" distL="0" distR="0" wp14:anchorId="668666C9" wp14:editId="1CCB3C05">
                  <wp:extent cx="5610221" cy="232410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5100" cy="2355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580" w:rsidRPr="00A81780" w14:paraId="599F257A" w14:textId="77777777" w:rsidTr="00C906C9">
        <w:tc>
          <w:tcPr>
            <w:tcW w:w="9628" w:type="dxa"/>
          </w:tcPr>
          <w:p w14:paraId="547E8082" w14:textId="3FBCCDDB" w:rsidR="00035D7B" w:rsidRPr="00A81780" w:rsidRDefault="006D2044" w:rsidP="00A60B87">
            <w:pPr>
              <w:spacing w:before="120" w:after="120" w:line="360" w:lineRule="auto"/>
              <w:ind w:right="-23"/>
              <w:jc w:val="both"/>
              <w:rPr>
                <w:rFonts w:ascii="Arial" w:hAnsi="Arial" w:cs="Arial"/>
                <w:bCs/>
                <w:lang w:val="en-US"/>
              </w:rPr>
            </w:pPr>
            <w:r w:rsidRPr="00A81780">
              <w:rPr>
                <w:rFonts w:ascii="Arial" w:hAnsi="Arial" w:cs="Arial"/>
                <w:b/>
                <w:lang w:val="en-US"/>
              </w:rPr>
              <w:t>Supplementary</w:t>
            </w:r>
            <w:r w:rsidR="007720F1" w:rsidRPr="00A81780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A81780">
              <w:rPr>
                <w:rFonts w:ascii="Arial" w:hAnsi="Arial" w:cs="Arial"/>
                <w:b/>
                <w:lang w:val="en-US"/>
              </w:rPr>
              <w:t>Fig</w:t>
            </w:r>
            <w:r w:rsidR="00A81780">
              <w:rPr>
                <w:rFonts w:ascii="Arial" w:hAnsi="Arial" w:cs="Arial"/>
                <w:b/>
                <w:lang w:val="en-US"/>
              </w:rPr>
              <w:t>.</w:t>
            </w:r>
            <w:r w:rsidR="00B50580" w:rsidRPr="00A81780">
              <w:rPr>
                <w:rFonts w:ascii="Arial" w:hAnsi="Arial" w:cs="Arial"/>
                <w:b/>
                <w:lang w:val="en-US"/>
              </w:rPr>
              <w:t xml:space="preserve"> </w:t>
            </w:r>
            <w:r w:rsidR="00670C99" w:rsidRPr="00A81780">
              <w:rPr>
                <w:rFonts w:ascii="Arial" w:hAnsi="Arial" w:cs="Arial"/>
                <w:b/>
                <w:lang w:val="en-US"/>
              </w:rPr>
              <w:t>4</w:t>
            </w:r>
            <w:r w:rsidR="00B50580" w:rsidRPr="00A81780">
              <w:rPr>
                <w:rFonts w:ascii="Arial" w:hAnsi="Arial" w:cs="Arial"/>
                <w:b/>
                <w:lang w:val="en-US"/>
              </w:rPr>
              <w:t xml:space="preserve">. </w:t>
            </w:r>
            <w:r w:rsidR="00035D7B" w:rsidRPr="00A81780">
              <w:rPr>
                <w:rFonts w:ascii="Arial" w:hAnsi="Arial" w:cs="Arial"/>
                <w:b/>
                <w:lang w:val="en-US"/>
              </w:rPr>
              <w:t xml:space="preserve">Synergistic interaction between SR9009 and </w:t>
            </w:r>
            <w:proofErr w:type="spellStart"/>
            <w:r w:rsidR="00035D7B" w:rsidRPr="00A81780">
              <w:rPr>
                <w:rFonts w:ascii="Arial" w:hAnsi="Arial" w:cs="Arial"/>
                <w:b/>
                <w:lang w:val="en-US"/>
              </w:rPr>
              <w:t>sorafenib</w:t>
            </w:r>
            <w:proofErr w:type="spellEnd"/>
            <w:r w:rsidR="00035D7B" w:rsidRPr="00A81780">
              <w:rPr>
                <w:rFonts w:ascii="Arial" w:hAnsi="Arial" w:cs="Arial"/>
                <w:b/>
                <w:lang w:val="en-US"/>
              </w:rPr>
              <w:t xml:space="preserve"> in mouse Hep55.1C </w:t>
            </w:r>
            <w:proofErr w:type="spellStart"/>
            <w:r w:rsidR="00035D7B" w:rsidRPr="00A81780">
              <w:rPr>
                <w:rFonts w:ascii="Arial" w:hAnsi="Arial" w:cs="Arial"/>
                <w:b/>
                <w:lang w:val="en-US"/>
              </w:rPr>
              <w:t>hepatoma</w:t>
            </w:r>
            <w:proofErr w:type="spellEnd"/>
            <w:r w:rsidR="00035D7B" w:rsidRPr="00A81780">
              <w:rPr>
                <w:rFonts w:ascii="Arial" w:hAnsi="Arial" w:cs="Arial"/>
                <w:b/>
                <w:lang w:val="en-US"/>
              </w:rPr>
              <w:t xml:space="preserve"> cells assessed using the </w:t>
            </w:r>
            <w:proofErr w:type="spellStart"/>
            <w:r w:rsidR="00035D7B" w:rsidRPr="00A81780">
              <w:rPr>
                <w:rFonts w:ascii="Arial" w:hAnsi="Arial" w:cs="Arial"/>
                <w:b/>
                <w:lang w:val="en-US"/>
              </w:rPr>
              <w:t>SynergyFinder</w:t>
            </w:r>
            <w:proofErr w:type="spellEnd"/>
            <w:r w:rsidR="00035D7B" w:rsidRPr="00A81780">
              <w:rPr>
                <w:rFonts w:ascii="Arial" w:hAnsi="Arial" w:cs="Arial"/>
                <w:b/>
                <w:lang w:val="en-US"/>
              </w:rPr>
              <w:t xml:space="preserve"> platform</w:t>
            </w:r>
            <w:r w:rsidR="00B50580" w:rsidRPr="00A81780">
              <w:rPr>
                <w:rFonts w:ascii="Arial" w:hAnsi="Arial" w:cs="Arial"/>
                <w:bCs/>
                <w:lang w:val="en-US"/>
              </w:rPr>
              <w:t xml:space="preserve">.  </w:t>
            </w:r>
            <w:r w:rsidR="00B50580" w:rsidRPr="00A81780">
              <w:rPr>
                <w:rFonts w:ascii="Arial" w:hAnsi="Arial" w:cs="Arial"/>
                <w:b/>
                <w:bCs/>
                <w:lang w:val="en-US"/>
              </w:rPr>
              <w:t>(</w:t>
            </w:r>
            <w:r w:rsidRPr="00A81780">
              <w:rPr>
                <w:rFonts w:ascii="Arial" w:hAnsi="Arial" w:cs="Arial"/>
                <w:b/>
                <w:bCs/>
                <w:lang w:val="en-US"/>
              </w:rPr>
              <w:t>a</w:t>
            </w:r>
            <w:r w:rsidR="00B50580" w:rsidRPr="00A81780">
              <w:rPr>
                <w:rFonts w:ascii="Arial" w:hAnsi="Arial" w:cs="Arial"/>
                <w:b/>
                <w:bCs/>
                <w:lang w:val="en-US"/>
              </w:rPr>
              <w:t xml:space="preserve">) </w:t>
            </w:r>
            <w:r w:rsidR="00035D7B" w:rsidRPr="00A81780">
              <w:rPr>
                <w:rFonts w:ascii="Arial" w:hAnsi="Arial" w:cs="Arial"/>
                <w:lang w:val="en-US"/>
              </w:rPr>
              <w:t xml:space="preserve">The dose-response matrix revealed a pronounced reduction in cell viability even at low drug concentrations. A 50% growth inhibition was predicted at 12.5 µM SR9009 combined with 5 µM </w:t>
            </w:r>
            <w:proofErr w:type="spellStart"/>
            <w:r w:rsidR="00035D7B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035D7B" w:rsidRPr="00A81780">
              <w:rPr>
                <w:rFonts w:ascii="Arial" w:hAnsi="Arial" w:cs="Arial"/>
                <w:lang w:val="en-US"/>
              </w:rPr>
              <w:t xml:space="preserve">. </w:t>
            </w:r>
            <w:r w:rsidR="00B50580" w:rsidRPr="00A81780">
              <w:rPr>
                <w:rFonts w:ascii="Arial" w:hAnsi="Arial" w:cs="Arial"/>
                <w:b/>
                <w:bCs/>
                <w:lang w:val="en-US"/>
              </w:rPr>
              <w:t>(</w:t>
            </w:r>
            <w:r w:rsidRPr="00A81780">
              <w:rPr>
                <w:rFonts w:ascii="Arial" w:hAnsi="Arial" w:cs="Arial"/>
                <w:b/>
                <w:bCs/>
                <w:lang w:val="en-US"/>
              </w:rPr>
              <w:t>b</w:t>
            </w:r>
            <w:r w:rsidR="00B50580" w:rsidRPr="00A81780">
              <w:rPr>
                <w:rFonts w:ascii="Arial" w:hAnsi="Arial" w:cs="Arial"/>
                <w:b/>
                <w:bCs/>
                <w:lang w:val="en-US"/>
              </w:rPr>
              <w:t>)</w:t>
            </w:r>
            <w:r w:rsidR="00B50580" w:rsidRPr="00A81780">
              <w:rPr>
                <w:rFonts w:ascii="Arial" w:hAnsi="Arial" w:cs="Arial"/>
                <w:bCs/>
                <w:lang w:val="en-US"/>
              </w:rPr>
              <w:t xml:space="preserve"> </w:t>
            </w:r>
            <w:r w:rsidR="00035D7B" w:rsidRPr="00A81780">
              <w:rPr>
                <w:rFonts w:ascii="Arial" w:hAnsi="Arial" w:cs="Arial"/>
                <w:lang w:val="en-US"/>
              </w:rPr>
              <w:t xml:space="preserve">Drug interaction analysis based on the </w:t>
            </w:r>
            <w:r w:rsidR="00035D7B" w:rsidRPr="00A81780">
              <w:rPr>
                <w:rStyle w:val="Enfasigrassetto"/>
                <w:rFonts w:ascii="Arial" w:hAnsi="Arial" w:cs="Arial"/>
                <w:b w:val="0"/>
                <w:lang w:val="en-US"/>
              </w:rPr>
              <w:t>Highest Single Agent (HSA)</w:t>
            </w:r>
            <w:r w:rsidR="00035D7B" w:rsidRPr="00A81780">
              <w:rPr>
                <w:rFonts w:ascii="Arial" w:hAnsi="Arial" w:cs="Arial"/>
                <w:lang w:val="en-US"/>
              </w:rPr>
              <w:t xml:space="preserve"> model demonstrated a highly significant synergy score (p = 2.55 × 10</w:t>
            </w:r>
            <w:r w:rsidR="00035D7B" w:rsidRPr="00A81780">
              <w:rPr>
                <w:rFonts w:ascii="Cambria Math" w:hAnsi="Cambria Math" w:cs="Cambria Math"/>
                <w:lang w:val="en-US"/>
              </w:rPr>
              <w:t>⁻</w:t>
            </w:r>
            <w:r w:rsidR="00035D7B" w:rsidRPr="00A81780">
              <w:rPr>
                <w:rFonts w:ascii="Arial" w:hAnsi="Arial" w:cs="Arial"/>
                <w:lang w:val="en-US"/>
              </w:rPr>
              <w:t xml:space="preserve">¹³⁶). The 3D synergy surface highlights synergistic (red) and antagonistic (green) dose regions. According to the HSA model, a synergy score &gt;10 indicates a biologically relevant synergistic interaction between the two agents. </w:t>
            </w:r>
          </w:p>
          <w:p w14:paraId="19C9466B" w14:textId="71592A92" w:rsidR="00DC4EF8" w:rsidRPr="00A81780" w:rsidRDefault="00DC4EF8" w:rsidP="00035D7B">
            <w:pPr>
              <w:spacing w:before="120" w:after="120" w:line="360" w:lineRule="auto"/>
              <w:ind w:right="-23"/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0A8D6250" w14:textId="236550BE" w:rsidR="00D53084" w:rsidRPr="00A81780" w:rsidRDefault="00D53084" w:rsidP="00A13E8C">
      <w:pPr>
        <w:spacing w:line="480" w:lineRule="auto"/>
        <w:rPr>
          <w:rFonts w:ascii="Arial" w:hAnsi="Arial" w:cs="Arial"/>
          <w:lang w:val="en-US"/>
        </w:rPr>
      </w:pPr>
    </w:p>
    <w:p w14:paraId="00D73C6E" w14:textId="77777777" w:rsidR="00D53084" w:rsidRPr="00A81780" w:rsidRDefault="00D53084" w:rsidP="00A13E8C">
      <w:pPr>
        <w:spacing w:line="480" w:lineRule="auto"/>
        <w:rPr>
          <w:rFonts w:ascii="Arial" w:hAnsi="Arial" w:cs="Arial"/>
          <w:lang w:val="en-US"/>
        </w:rPr>
      </w:pPr>
      <w:r w:rsidRPr="00A81780">
        <w:rPr>
          <w:rFonts w:ascii="Arial" w:hAnsi="Arial" w:cs="Arial"/>
          <w:lang w:val="en-US"/>
        </w:rPr>
        <w:br w:type="page"/>
      </w:r>
      <w:bookmarkStart w:id="0" w:name="_GoBack"/>
      <w:bookmarkEnd w:id="0"/>
    </w:p>
    <w:p w14:paraId="4325FCF0" w14:textId="77777777" w:rsidR="00A67B0F" w:rsidRPr="00A81780" w:rsidRDefault="00A67B0F" w:rsidP="00A13E8C">
      <w:pPr>
        <w:spacing w:line="480" w:lineRule="auto"/>
        <w:rPr>
          <w:rFonts w:ascii="Arial" w:hAnsi="Arial" w:cs="Arial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F2F51" w:rsidRPr="00A81780" w14:paraId="2B56BD22" w14:textId="77777777" w:rsidTr="00675D83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6D9FED12" w14:textId="4C2F0B86" w:rsidR="001F2F51" w:rsidRPr="00A81780" w:rsidRDefault="003C14D4" w:rsidP="00DD7D12">
            <w:pPr>
              <w:spacing w:before="120" w:after="12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A81780">
              <w:rPr>
                <w:rFonts w:ascii="Arial" w:hAnsi="Arial" w:cs="Arial"/>
                <w:noProof/>
                <w:lang w:eastAsia="it-IT"/>
              </w:rPr>
              <w:drawing>
                <wp:inline distT="0" distB="0" distL="0" distR="0" wp14:anchorId="41337607" wp14:editId="46B7F7CD">
                  <wp:extent cx="5133975" cy="2599101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5629" cy="26050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2F51" w:rsidRPr="00A81780" w14:paraId="2A852260" w14:textId="77777777" w:rsidTr="00675D83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39A282EA" w14:textId="5F07C9E2" w:rsidR="00B26B1F" w:rsidRPr="00A81780" w:rsidRDefault="00B26B1F" w:rsidP="00B26B1F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A81780">
              <w:rPr>
                <w:rStyle w:val="Enfasigrassetto"/>
                <w:rFonts w:ascii="Arial" w:hAnsi="Arial" w:cs="Arial"/>
                <w:lang w:val="en-US"/>
              </w:rPr>
              <w:t>Supplementary Fig</w:t>
            </w:r>
            <w:r w:rsidR="00A81780">
              <w:rPr>
                <w:rStyle w:val="Enfasigrassetto"/>
                <w:rFonts w:ascii="Arial" w:hAnsi="Arial" w:cs="Arial"/>
                <w:lang w:val="en-US"/>
              </w:rPr>
              <w:t>.</w:t>
            </w:r>
            <w:r w:rsidRPr="00A81780">
              <w:rPr>
                <w:rStyle w:val="Enfasigrassetto"/>
                <w:rFonts w:ascii="Arial" w:hAnsi="Arial" w:cs="Arial"/>
                <w:lang w:val="en-US"/>
              </w:rPr>
              <w:t xml:space="preserve"> 5.</w:t>
            </w:r>
            <w:r w:rsidRPr="00A81780">
              <w:rPr>
                <w:rFonts w:ascii="Arial" w:hAnsi="Arial" w:cs="Arial"/>
                <w:b/>
                <w:lang w:val="en-US"/>
              </w:rPr>
              <w:t xml:space="preserve"> SR9009 enhances </w:t>
            </w:r>
            <w:proofErr w:type="spellStart"/>
            <w:r w:rsidRPr="00A81780">
              <w:rPr>
                <w:rFonts w:ascii="Arial" w:hAnsi="Arial" w:cs="Arial"/>
                <w:b/>
                <w:lang w:val="en-US"/>
              </w:rPr>
              <w:t>sorafenib</w:t>
            </w:r>
            <w:proofErr w:type="spellEnd"/>
            <w:r w:rsidRPr="00A81780">
              <w:rPr>
                <w:rFonts w:ascii="Arial" w:hAnsi="Arial" w:cs="Arial"/>
                <w:b/>
                <w:lang w:val="en-US"/>
              </w:rPr>
              <w:t xml:space="preserve">-induced cytotoxicity in </w:t>
            </w:r>
            <w:proofErr w:type="spellStart"/>
            <w:r w:rsidRPr="00A81780">
              <w:rPr>
                <w:rFonts w:ascii="Arial" w:hAnsi="Arial" w:cs="Arial"/>
                <w:b/>
                <w:lang w:val="en-US"/>
              </w:rPr>
              <w:t>sorafenib</w:t>
            </w:r>
            <w:proofErr w:type="spellEnd"/>
            <w:r w:rsidRPr="00A81780">
              <w:rPr>
                <w:rFonts w:ascii="Arial" w:hAnsi="Arial" w:cs="Arial"/>
                <w:b/>
                <w:lang w:val="en-US"/>
              </w:rPr>
              <w:t>-resistant H55-RES cells.</w:t>
            </w:r>
            <w:r w:rsidRPr="00A81780">
              <w:rPr>
                <w:rFonts w:ascii="Arial" w:hAnsi="Arial" w:cs="Arial"/>
                <w:lang w:val="en-US"/>
              </w:rPr>
              <w:t xml:space="preserve"> Wild-type Hep55.1C and </w:t>
            </w:r>
            <w:proofErr w:type="spellStart"/>
            <w:r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Pr="00A81780">
              <w:rPr>
                <w:rFonts w:ascii="Arial" w:hAnsi="Arial" w:cs="Arial"/>
                <w:lang w:val="en-US"/>
              </w:rPr>
              <w:t xml:space="preserve">-resistant (H55-RES) cells were treated for 48 hours with increasing concentrations of </w:t>
            </w:r>
            <w:proofErr w:type="spellStart"/>
            <w:r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Pr="00A81780">
              <w:rPr>
                <w:rFonts w:ascii="Arial" w:hAnsi="Arial" w:cs="Arial"/>
                <w:lang w:val="en-US"/>
              </w:rPr>
              <w:t xml:space="preserve">, either alone or in combination with SR9009 (12.5 µM). Cell viability was quantified relative to untreated controls. The combination treatment significantly reduced viability in both wild-type and resistant cells, indicating that SR9009 restores sensitivity to </w:t>
            </w:r>
            <w:proofErr w:type="spellStart"/>
            <w:r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Pr="00A81780">
              <w:rPr>
                <w:rFonts w:ascii="Arial" w:hAnsi="Arial" w:cs="Arial"/>
                <w:lang w:val="en-US"/>
              </w:rPr>
              <w:t xml:space="preserve">. </w:t>
            </w:r>
            <w:r w:rsidRPr="00A81780">
              <w:rPr>
                <w:rFonts w:ascii="Arial" w:hAnsi="Arial" w:cs="Arial"/>
              </w:rPr>
              <w:t xml:space="preserve">**p ≤ 0.01; </w:t>
            </w:r>
            <w:r w:rsidRPr="00A81780">
              <w:rPr>
                <w:rFonts w:ascii="Arial" w:hAnsi="Arial" w:cs="Arial"/>
                <w:b/>
              </w:rPr>
              <w:t>***</w:t>
            </w:r>
            <w:r w:rsidRPr="00A81780">
              <w:rPr>
                <w:rStyle w:val="Enfasigrassetto"/>
                <w:rFonts w:ascii="Arial" w:hAnsi="Arial" w:cs="Arial"/>
                <w:b w:val="0"/>
              </w:rPr>
              <w:t xml:space="preserve">p ≤ 0.001. Data are </w:t>
            </w:r>
            <w:proofErr w:type="spellStart"/>
            <w:r w:rsidRPr="00A81780">
              <w:rPr>
                <w:rStyle w:val="Enfasigrassetto"/>
                <w:rFonts w:ascii="Arial" w:hAnsi="Arial" w:cs="Arial"/>
                <w:b w:val="0"/>
              </w:rPr>
              <w:t>presented</w:t>
            </w:r>
            <w:proofErr w:type="spellEnd"/>
            <w:r w:rsidRPr="00A81780">
              <w:rPr>
                <w:rStyle w:val="Enfasigrassetto"/>
                <w:rFonts w:ascii="Arial" w:hAnsi="Arial" w:cs="Arial"/>
                <w:b w:val="0"/>
              </w:rPr>
              <w:t xml:space="preserve"> </w:t>
            </w:r>
            <w:proofErr w:type="spellStart"/>
            <w:r w:rsidRPr="00A81780">
              <w:rPr>
                <w:rStyle w:val="Enfasigrassetto"/>
                <w:rFonts w:ascii="Arial" w:hAnsi="Arial" w:cs="Arial"/>
                <w:b w:val="0"/>
              </w:rPr>
              <w:t>as</w:t>
            </w:r>
            <w:proofErr w:type="spellEnd"/>
            <w:r w:rsidRPr="00A81780">
              <w:rPr>
                <w:rStyle w:val="Enfasigrassetto"/>
                <w:rFonts w:ascii="Arial" w:hAnsi="Arial" w:cs="Arial"/>
                <w:b w:val="0"/>
              </w:rPr>
              <w:t xml:space="preserve"> </w:t>
            </w:r>
            <w:proofErr w:type="spellStart"/>
            <w:r w:rsidRPr="00A81780">
              <w:rPr>
                <w:rStyle w:val="Enfasigrassetto"/>
                <w:rFonts w:ascii="Arial" w:hAnsi="Arial" w:cs="Arial"/>
                <w:b w:val="0"/>
              </w:rPr>
              <w:t>mean</w:t>
            </w:r>
            <w:proofErr w:type="spellEnd"/>
            <w:r w:rsidRPr="00A81780">
              <w:rPr>
                <w:rStyle w:val="Enfasigrassetto"/>
                <w:rFonts w:ascii="Arial" w:hAnsi="Arial" w:cs="Arial"/>
                <w:b w:val="0"/>
              </w:rPr>
              <w:t xml:space="preserve"> ± SD.</w:t>
            </w:r>
          </w:p>
        </w:tc>
      </w:tr>
    </w:tbl>
    <w:p w14:paraId="6D015A7F" w14:textId="77777777" w:rsidR="00A67B0F" w:rsidRPr="00A81780" w:rsidRDefault="00A67B0F" w:rsidP="00A13E8C">
      <w:pPr>
        <w:spacing w:before="120" w:after="120" w:line="480" w:lineRule="auto"/>
        <w:jc w:val="both"/>
        <w:rPr>
          <w:rFonts w:ascii="Arial" w:hAnsi="Arial" w:cs="Arial"/>
          <w:lang w:val="en-US"/>
        </w:rPr>
      </w:pPr>
    </w:p>
    <w:p w14:paraId="67F9A642" w14:textId="77777777" w:rsidR="00A67B0F" w:rsidRPr="00A81780" w:rsidRDefault="00A67B0F" w:rsidP="00A13E8C">
      <w:pPr>
        <w:spacing w:before="120" w:after="120" w:line="480" w:lineRule="auto"/>
        <w:jc w:val="both"/>
        <w:rPr>
          <w:rFonts w:ascii="Arial" w:hAnsi="Arial" w:cs="Arial"/>
          <w:lang w:val="en-US"/>
        </w:rPr>
      </w:pPr>
      <w:r w:rsidRPr="00A81780">
        <w:rPr>
          <w:rFonts w:ascii="Arial" w:hAnsi="Arial" w:cs="Arial"/>
          <w:lang w:val="en-US"/>
        </w:rPr>
        <w:t xml:space="preserve"> </w:t>
      </w:r>
    </w:p>
    <w:p w14:paraId="31CE9E88" w14:textId="77777777" w:rsidR="001F2F51" w:rsidRPr="00A81780" w:rsidRDefault="001F2F51" w:rsidP="00A13E8C">
      <w:pPr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F2F51" w:rsidRPr="00A81780" w14:paraId="6852B307" w14:textId="77777777" w:rsidTr="00675D83">
        <w:tc>
          <w:tcPr>
            <w:tcW w:w="9628" w:type="dxa"/>
          </w:tcPr>
          <w:p w14:paraId="5EA4836C" w14:textId="106E20C5" w:rsidR="001F2F51" w:rsidRPr="00A81780" w:rsidRDefault="003C14D4" w:rsidP="00DD7D12">
            <w:pPr>
              <w:spacing w:before="120" w:after="12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A81780">
              <w:rPr>
                <w:rFonts w:ascii="Arial" w:hAnsi="Arial" w:cs="Arial"/>
                <w:noProof/>
                <w:lang w:eastAsia="it-IT"/>
              </w:rPr>
              <w:lastRenderedPageBreak/>
              <w:drawing>
                <wp:inline distT="0" distB="0" distL="0" distR="0" wp14:anchorId="56524AF0" wp14:editId="47F4DE13">
                  <wp:extent cx="5410200" cy="3856365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2550" cy="38722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2F51" w:rsidRPr="00A81780" w14:paraId="07A5E922" w14:textId="77777777" w:rsidTr="00675D83">
        <w:tc>
          <w:tcPr>
            <w:tcW w:w="9628" w:type="dxa"/>
          </w:tcPr>
          <w:p w14:paraId="47AB09DB" w14:textId="010867F9" w:rsidR="00B26B1F" w:rsidRPr="00A81780" w:rsidRDefault="00B26B1F" w:rsidP="00B26B1F">
            <w:pPr>
              <w:spacing w:before="120" w:after="120" w:line="360" w:lineRule="auto"/>
              <w:jc w:val="both"/>
              <w:rPr>
                <w:rFonts w:ascii="Arial" w:hAnsi="Arial" w:cs="Arial"/>
                <w:lang w:val="en-US"/>
              </w:rPr>
            </w:pPr>
            <w:r w:rsidRPr="00A81780">
              <w:rPr>
                <w:rStyle w:val="Enfasigrassetto"/>
                <w:rFonts w:ascii="Arial" w:hAnsi="Arial" w:cs="Arial"/>
                <w:lang w:val="en-US"/>
              </w:rPr>
              <w:t>Supple</w:t>
            </w:r>
            <w:r w:rsidR="00A81780">
              <w:rPr>
                <w:rStyle w:val="Enfasigrassetto"/>
                <w:rFonts w:ascii="Arial" w:hAnsi="Arial" w:cs="Arial"/>
                <w:lang w:val="en-US"/>
              </w:rPr>
              <w:t>mentary Fig.</w:t>
            </w:r>
            <w:r w:rsidRPr="00A81780">
              <w:rPr>
                <w:rStyle w:val="Enfasigrassetto"/>
                <w:rFonts w:ascii="Arial" w:hAnsi="Arial" w:cs="Arial"/>
                <w:lang w:val="en-US"/>
              </w:rPr>
              <w:t xml:space="preserve"> 6.</w:t>
            </w:r>
            <w:r w:rsidRPr="00A81780">
              <w:rPr>
                <w:rFonts w:ascii="Arial" w:hAnsi="Arial" w:cs="Arial"/>
                <w:lang w:val="en-US"/>
              </w:rPr>
              <w:t xml:space="preserve"> </w:t>
            </w:r>
            <w:r w:rsidRPr="00A81780">
              <w:rPr>
                <w:rFonts w:ascii="Arial" w:hAnsi="Arial" w:cs="Arial"/>
                <w:b/>
                <w:lang w:val="en-US"/>
              </w:rPr>
              <w:t xml:space="preserve">Synergistic effect of </w:t>
            </w:r>
            <w:proofErr w:type="spellStart"/>
            <w:r w:rsidRPr="00A81780">
              <w:rPr>
                <w:rFonts w:ascii="Arial" w:hAnsi="Arial" w:cs="Arial"/>
                <w:b/>
                <w:lang w:val="en-US"/>
              </w:rPr>
              <w:t>sorafenib</w:t>
            </w:r>
            <w:proofErr w:type="spellEnd"/>
            <w:r w:rsidRPr="00A81780">
              <w:rPr>
                <w:rFonts w:ascii="Arial" w:hAnsi="Arial" w:cs="Arial"/>
                <w:b/>
                <w:lang w:val="en-US"/>
              </w:rPr>
              <w:t xml:space="preserve"> and SR9009 on cell viability confirmed in human HCC cell lines.</w:t>
            </w:r>
            <w:r w:rsidRPr="00A81780">
              <w:rPr>
                <w:rFonts w:ascii="Arial" w:hAnsi="Arial" w:cs="Arial"/>
                <w:lang w:val="en-US"/>
              </w:rPr>
              <w:t xml:space="preserve">  Human HCC cell lines Huh7 </w:t>
            </w:r>
            <w:r w:rsidRPr="00A81780">
              <w:rPr>
                <w:rFonts w:ascii="Arial" w:hAnsi="Arial" w:cs="Arial"/>
                <w:b/>
                <w:lang w:val="en-US"/>
              </w:rPr>
              <w:t>(a)</w:t>
            </w:r>
            <w:r w:rsidRPr="00A81780">
              <w:rPr>
                <w:rFonts w:ascii="Arial" w:hAnsi="Arial" w:cs="Arial"/>
                <w:lang w:val="en-US"/>
              </w:rPr>
              <w:t xml:space="preserve">, SNU449 </w:t>
            </w:r>
            <w:r w:rsidRPr="00A81780">
              <w:rPr>
                <w:rFonts w:ascii="Arial" w:hAnsi="Arial" w:cs="Arial"/>
                <w:b/>
                <w:lang w:val="en-US"/>
              </w:rPr>
              <w:t>(b)</w:t>
            </w:r>
            <w:r w:rsidRPr="00A81780">
              <w:rPr>
                <w:rFonts w:ascii="Arial" w:hAnsi="Arial" w:cs="Arial"/>
                <w:lang w:val="en-US"/>
              </w:rPr>
              <w:t xml:space="preserve">, Hep3B </w:t>
            </w:r>
            <w:r w:rsidRPr="00A81780">
              <w:rPr>
                <w:rFonts w:ascii="Arial" w:hAnsi="Arial" w:cs="Arial"/>
                <w:b/>
                <w:lang w:val="en-US"/>
              </w:rPr>
              <w:t>(c)</w:t>
            </w:r>
            <w:r w:rsidRPr="00A81780">
              <w:rPr>
                <w:rFonts w:ascii="Arial" w:hAnsi="Arial" w:cs="Arial"/>
                <w:lang w:val="en-US"/>
              </w:rPr>
              <w:t xml:space="preserve">, and HepG2 </w:t>
            </w:r>
            <w:r w:rsidRPr="00A81780">
              <w:rPr>
                <w:rFonts w:ascii="Arial" w:hAnsi="Arial" w:cs="Arial"/>
                <w:b/>
                <w:lang w:val="en-US"/>
              </w:rPr>
              <w:t>(d)</w:t>
            </w:r>
            <w:r w:rsidRPr="00A81780">
              <w:rPr>
                <w:rFonts w:ascii="Arial" w:hAnsi="Arial" w:cs="Arial"/>
                <w:lang w:val="en-US"/>
              </w:rPr>
              <w:t xml:space="preserve"> were treated for 48 hours with increasing concentrations of </w:t>
            </w:r>
            <w:proofErr w:type="spellStart"/>
            <w:r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Pr="00A81780">
              <w:rPr>
                <w:rFonts w:ascii="Arial" w:hAnsi="Arial" w:cs="Arial"/>
                <w:lang w:val="en-US"/>
              </w:rPr>
              <w:t xml:space="preserve"> (SF) or SR9009 (SR), alone or in combination. The combination treatment markedly enhanced </w:t>
            </w:r>
            <w:proofErr w:type="spellStart"/>
            <w:r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Pr="00A81780">
              <w:rPr>
                <w:rFonts w:ascii="Arial" w:hAnsi="Arial" w:cs="Arial"/>
                <w:lang w:val="en-US"/>
              </w:rPr>
              <w:t xml:space="preserve"> sensitivity across all cell lines, as reflected by a significant reduction in </w:t>
            </w:r>
            <w:proofErr w:type="spellStart"/>
            <w:r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Pr="00A81780">
              <w:rPr>
                <w:rFonts w:ascii="Arial" w:hAnsi="Arial" w:cs="Arial"/>
                <w:lang w:val="en-US"/>
              </w:rPr>
              <w:t xml:space="preserve"> IC</w:t>
            </w:r>
            <w:r w:rsidRPr="00A81780">
              <w:rPr>
                <w:rFonts w:ascii="Cambria Math" w:hAnsi="Cambria Math" w:cs="Cambria Math"/>
                <w:lang w:val="en-US"/>
              </w:rPr>
              <w:t>₅₀</w:t>
            </w:r>
            <w:r w:rsidRPr="00A81780">
              <w:rPr>
                <w:rFonts w:ascii="Arial" w:hAnsi="Arial" w:cs="Arial"/>
                <w:lang w:val="en-US"/>
              </w:rPr>
              <w:t xml:space="preserve"> values compared to </w:t>
            </w:r>
            <w:proofErr w:type="spellStart"/>
            <w:r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Pr="00A81780">
              <w:rPr>
                <w:rFonts w:ascii="Arial" w:hAnsi="Arial" w:cs="Arial"/>
                <w:lang w:val="en-US"/>
              </w:rPr>
              <w:t xml:space="preserve"> alone, indicating a strong synergistic interaction between the two compounds. Drug concentrations [µM] are plotted on a log</w:t>
            </w:r>
            <w:r w:rsidRPr="00A81780">
              <w:rPr>
                <w:rFonts w:ascii="Cambria Math" w:hAnsi="Cambria Math" w:cs="Cambria Math"/>
                <w:lang w:val="en-US"/>
              </w:rPr>
              <w:t>₁₀</w:t>
            </w:r>
            <w:r w:rsidRPr="00A81780">
              <w:rPr>
                <w:rFonts w:ascii="Arial" w:hAnsi="Arial" w:cs="Arial"/>
                <w:lang w:val="en-US"/>
              </w:rPr>
              <w:t xml:space="preserve"> scale. Data points represent mean cell viability (± SD) at each concentration.</w:t>
            </w:r>
          </w:p>
        </w:tc>
      </w:tr>
    </w:tbl>
    <w:p w14:paraId="01EFEF9F" w14:textId="143BF2BD" w:rsidR="001F2F51" w:rsidRPr="00A81780" w:rsidRDefault="00A67B0F" w:rsidP="009C2FF5">
      <w:pPr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A81780">
        <w:rPr>
          <w:rFonts w:ascii="Arial" w:eastAsia="Times New Roman" w:hAnsi="Arial" w:cs="Arial"/>
          <w:color w:val="000000"/>
          <w:lang w:val="en-US" w:eastAsia="it-IT"/>
        </w:rP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C1436" w:rsidRPr="00A81780" w14:paraId="7EC9FA9C" w14:textId="77777777" w:rsidTr="009C2FF5">
        <w:tc>
          <w:tcPr>
            <w:tcW w:w="9628" w:type="dxa"/>
          </w:tcPr>
          <w:p w14:paraId="718B0EF6" w14:textId="2E28591C" w:rsidR="00FC1436" w:rsidRPr="00A81780" w:rsidRDefault="003C14D4" w:rsidP="00500E9D">
            <w:pPr>
              <w:spacing w:before="120" w:after="12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A81780">
              <w:rPr>
                <w:rFonts w:ascii="Arial" w:hAnsi="Arial" w:cs="Arial"/>
                <w:noProof/>
                <w:lang w:eastAsia="it-IT"/>
              </w:rPr>
              <w:lastRenderedPageBreak/>
              <w:drawing>
                <wp:inline distT="0" distB="0" distL="0" distR="0" wp14:anchorId="3FF5F710" wp14:editId="70049315">
                  <wp:extent cx="4391025" cy="3829074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2410" cy="38390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436" w:rsidRPr="00A81780" w14:paraId="0D03562E" w14:textId="77777777" w:rsidTr="009C2FF5">
        <w:tc>
          <w:tcPr>
            <w:tcW w:w="9628" w:type="dxa"/>
          </w:tcPr>
          <w:p w14:paraId="25A02DA2" w14:textId="24C50774" w:rsidR="00B26B1F" w:rsidRPr="00A81780" w:rsidRDefault="00A81780" w:rsidP="00CF06FA">
            <w:pPr>
              <w:spacing w:before="120" w:after="12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Style w:val="Enfasigrassetto"/>
                <w:rFonts w:ascii="Arial" w:hAnsi="Arial" w:cs="Arial"/>
                <w:lang w:val="en-US"/>
              </w:rPr>
              <w:t>Supplementary Fig.</w:t>
            </w:r>
            <w:r w:rsidR="00B26B1F" w:rsidRPr="00A81780">
              <w:rPr>
                <w:rStyle w:val="Enfasigrassetto"/>
                <w:rFonts w:ascii="Arial" w:hAnsi="Arial" w:cs="Arial"/>
                <w:lang w:val="en-US"/>
              </w:rPr>
              <w:t xml:space="preserve"> 7.</w:t>
            </w:r>
            <w:r w:rsidR="00B26B1F" w:rsidRPr="00A81780">
              <w:rPr>
                <w:rFonts w:ascii="Arial" w:hAnsi="Arial" w:cs="Arial"/>
                <w:lang w:val="en-US"/>
              </w:rPr>
              <w:t xml:space="preserve"> </w:t>
            </w:r>
            <w:r w:rsidR="00B26B1F" w:rsidRPr="00A81780">
              <w:rPr>
                <w:rFonts w:ascii="Arial" w:hAnsi="Arial" w:cs="Arial"/>
                <w:b/>
                <w:lang w:val="en-US"/>
              </w:rPr>
              <w:t xml:space="preserve">Combined treatment with </w:t>
            </w:r>
            <w:proofErr w:type="spellStart"/>
            <w:r w:rsidR="00B26B1F" w:rsidRPr="00A81780">
              <w:rPr>
                <w:rFonts w:ascii="Arial" w:hAnsi="Arial" w:cs="Arial"/>
                <w:b/>
                <w:lang w:val="en-US"/>
              </w:rPr>
              <w:t>sorafenib</w:t>
            </w:r>
            <w:proofErr w:type="spellEnd"/>
            <w:r w:rsidR="00B26B1F" w:rsidRPr="00A81780">
              <w:rPr>
                <w:rFonts w:ascii="Arial" w:hAnsi="Arial" w:cs="Arial"/>
                <w:b/>
                <w:lang w:val="en-US"/>
              </w:rPr>
              <w:t xml:space="preserve"> and SR9009 enhances apoptosis in vitro</w:t>
            </w:r>
            <w:r>
              <w:rPr>
                <w:rFonts w:ascii="Arial" w:hAnsi="Arial" w:cs="Arial"/>
                <w:lang w:val="en-US"/>
              </w:rPr>
              <w:t xml:space="preserve">. </w:t>
            </w:r>
            <w:r w:rsidR="00B26B1F" w:rsidRPr="00A81780">
              <w:rPr>
                <w:rFonts w:ascii="Arial" w:hAnsi="Arial" w:cs="Arial"/>
                <w:lang w:val="en-US"/>
              </w:rPr>
              <w:t xml:space="preserve">Western blot analysis and </w:t>
            </w:r>
            <w:proofErr w:type="spellStart"/>
            <w:r w:rsidR="00B26B1F" w:rsidRPr="00A81780">
              <w:rPr>
                <w:rFonts w:ascii="Arial" w:hAnsi="Arial" w:cs="Arial"/>
                <w:lang w:val="en-US"/>
              </w:rPr>
              <w:t>densitometric</w:t>
            </w:r>
            <w:proofErr w:type="spellEnd"/>
            <w:r w:rsidR="00B26B1F" w:rsidRPr="00A81780">
              <w:rPr>
                <w:rFonts w:ascii="Arial" w:hAnsi="Arial" w:cs="Arial"/>
                <w:lang w:val="en-US"/>
              </w:rPr>
              <w:t xml:space="preserve"> quantification of cleaved PARP were performed in murine Hep55.1C </w:t>
            </w:r>
            <w:r w:rsidR="00B26B1F" w:rsidRPr="00A81780">
              <w:rPr>
                <w:rFonts w:ascii="Arial" w:hAnsi="Arial" w:cs="Arial"/>
                <w:b/>
                <w:lang w:val="en-US"/>
              </w:rPr>
              <w:t>(a)</w:t>
            </w:r>
            <w:r w:rsidR="00B26B1F" w:rsidRPr="00A81780">
              <w:rPr>
                <w:rFonts w:ascii="Arial" w:hAnsi="Arial" w:cs="Arial"/>
                <w:lang w:val="en-US"/>
              </w:rPr>
              <w:t xml:space="preserve"> and human Hep3B </w:t>
            </w:r>
            <w:r w:rsidR="00B26B1F" w:rsidRPr="00A81780">
              <w:rPr>
                <w:rFonts w:ascii="Arial" w:hAnsi="Arial" w:cs="Arial"/>
                <w:b/>
                <w:lang w:val="en-US"/>
              </w:rPr>
              <w:t>(b)</w:t>
            </w:r>
            <w:r w:rsidR="00B26B1F" w:rsidRPr="00A81780">
              <w:rPr>
                <w:rFonts w:ascii="Arial" w:hAnsi="Arial" w:cs="Arial"/>
                <w:lang w:val="en-US"/>
              </w:rPr>
              <w:t xml:space="preserve"> cells after 48 hours of treatment. The combination of </w:t>
            </w:r>
            <w:proofErr w:type="spellStart"/>
            <w:r w:rsidR="00B26B1F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B26B1F" w:rsidRPr="00A81780">
              <w:rPr>
                <w:rFonts w:ascii="Arial" w:hAnsi="Arial" w:cs="Arial"/>
                <w:lang w:val="en-US"/>
              </w:rPr>
              <w:t xml:space="preserve"> (SF) and SR9009 (SR, 12.5 µM) markedly increased PARP cleavage compared to single-agent treatments, indicating enhanced apoptotic activity. Protein levels were normalized to GAPDH and expressed relative to untreated controls (NT).</w:t>
            </w:r>
          </w:p>
        </w:tc>
      </w:tr>
    </w:tbl>
    <w:p w14:paraId="7DAE0A05" w14:textId="77777777" w:rsidR="00FC1436" w:rsidRPr="00A81780" w:rsidRDefault="00FC1436" w:rsidP="00A13E8C">
      <w:pPr>
        <w:spacing w:before="120" w:after="120" w:line="480" w:lineRule="auto"/>
        <w:jc w:val="both"/>
        <w:rPr>
          <w:rFonts w:ascii="Arial" w:hAnsi="Arial" w:cs="Arial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1F2F51" w:rsidRPr="00A81780" w14:paraId="5DEFBFAF" w14:textId="77777777" w:rsidTr="00675D83">
        <w:tc>
          <w:tcPr>
            <w:tcW w:w="9778" w:type="dxa"/>
          </w:tcPr>
          <w:p w14:paraId="6CC85EF5" w14:textId="072A2202" w:rsidR="001F2F51" w:rsidRPr="00A81780" w:rsidRDefault="003C14D4" w:rsidP="00DD7D12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A81780">
              <w:rPr>
                <w:rFonts w:ascii="Arial" w:hAnsi="Arial" w:cs="Arial"/>
                <w:noProof/>
                <w:lang w:eastAsia="it-IT"/>
              </w:rPr>
              <w:lastRenderedPageBreak/>
              <w:drawing>
                <wp:inline distT="0" distB="0" distL="0" distR="0" wp14:anchorId="454D1011" wp14:editId="3F3AD6E4">
                  <wp:extent cx="5629275" cy="4446916"/>
                  <wp:effectExtent l="0" t="0" r="0" b="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2893" cy="44576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2F51" w:rsidRPr="00A81780" w14:paraId="0A5A822F" w14:textId="77777777" w:rsidTr="00675D83">
        <w:tc>
          <w:tcPr>
            <w:tcW w:w="9778" w:type="dxa"/>
          </w:tcPr>
          <w:p w14:paraId="08E91925" w14:textId="343A8345" w:rsidR="00981CCA" w:rsidRPr="00A81780" w:rsidRDefault="006D2044" w:rsidP="00981CCA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A81780">
              <w:rPr>
                <w:rFonts w:ascii="Arial" w:eastAsia="Calibri" w:hAnsi="Arial" w:cs="Arial"/>
                <w:b/>
                <w:w w:val="101"/>
                <w:lang w:val="en-US"/>
              </w:rPr>
              <w:t>Supplementary</w:t>
            </w:r>
            <w:r w:rsidR="0057495F" w:rsidRPr="00A81780">
              <w:rPr>
                <w:rFonts w:ascii="Arial" w:eastAsia="Calibri" w:hAnsi="Arial" w:cs="Arial"/>
                <w:b/>
                <w:w w:val="101"/>
                <w:lang w:val="en-US"/>
              </w:rPr>
              <w:t xml:space="preserve"> </w:t>
            </w:r>
            <w:r w:rsidR="00A81780">
              <w:rPr>
                <w:rFonts w:ascii="Arial" w:hAnsi="Arial" w:cs="Arial"/>
                <w:b/>
                <w:lang w:val="en-US"/>
              </w:rPr>
              <w:t>Fig.</w:t>
            </w:r>
            <w:r w:rsidR="001F2F51" w:rsidRPr="00A81780">
              <w:rPr>
                <w:rFonts w:ascii="Arial" w:hAnsi="Arial" w:cs="Arial"/>
                <w:b/>
                <w:lang w:val="en-US"/>
              </w:rPr>
              <w:t xml:space="preserve"> </w:t>
            </w:r>
            <w:r w:rsidR="00670C99" w:rsidRPr="00A81780">
              <w:rPr>
                <w:rFonts w:ascii="Arial" w:hAnsi="Arial" w:cs="Arial"/>
                <w:b/>
                <w:lang w:val="en-US"/>
              </w:rPr>
              <w:t>8</w:t>
            </w:r>
            <w:r w:rsidR="001F2F51" w:rsidRPr="00A81780">
              <w:rPr>
                <w:rFonts w:ascii="Arial" w:hAnsi="Arial" w:cs="Arial"/>
                <w:b/>
                <w:lang w:val="en-US"/>
              </w:rPr>
              <w:t xml:space="preserve">. </w:t>
            </w:r>
            <w:r w:rsidR="00981CCA" w:rsidRPr="00A81780">
              <w:rPr>
                <w:rFonts w:ascii="Arial" w:hAnsi="Arial" w:cs="Arial"/>
                <w:b/>
                <w:lang w:val="en-US"/>
              </w:rPr>
              <w:t xml:space="preserve">Combined treatment with </w:t>
            </w:r>
            <w:proofErr w:type="spellStart"/>
            <w:r w:rsidR="00981CCA" w:rsidRPr="00A81780">
              <w:rPr>
                <w:rFonts w:ascii="Arial" w:hAnsi="Arial" w:cs="Arial"/>
                <w:b/>
                <w:lang w:val="en-US"/>
              </w:rPr>
              <w:t>sorafenib</w:t>
            </w:r>
            <w:proofErr w:type="spellEnd"/>
            <w:r w:rsidR="00981CCA" w:rsidRPr="00A81780">
              <w:rPr>
                <w:rFonts w:ascii="Arial" w:hAnsi="Arial" w:cs="Arial"/>
                <w:b/>
                <w:lang w:val="en-US"/>
              </w:rPr>
              <w:t xml:space="preserve"> and SR9009 impairs mitochondrial respiration </w:t>
            </w:r>
            <w:r w:rsidR="001F2F51" w:rsidRPr="00A81780">
              <w:rPr>
                <w:rFonts w:ascii="Arial" w:hAnsi="Arial" w:cs="Arial"/>
                <w:b/>
                <w:lang w:val="en-US"/>
              </w:rPr>
              <w:t>in Hep56.1D cells</w:t>
            </w:r>
            <w:r w:rsidR="001F2F51" w:rsidRPr="00A81780">
              <w:rPr>
                <w:rFonts w:ascii="Arial" w:hAnsi="Arial" w:cs="Arial"/>
                <w:lang w:val="en-US"/>
              </w:rPr>
              <w:t>.</w:t>
            </w:r>
            <w:r w:rsidR="001F2F51" w:rsidRPr="00A81780">
              <w:rPr>
                <w:rFonts w:ascii="Arial" w:hAnsi="Arial" w:cs="Arial"/>
                <w:b/>
                <w:lang w:val="en-US"/>
              </w:rPr>
              <w:t xml:space="preserve"> </w:t>
            </w:r>
            <w:r w:rsidR="00981CCA" w:rsidRPr="00A81780">
              <w:rPr>
                <w:rFonts w:ascii="Arial" w:hAnsi="Arial" w:cs="Arial"/>
                <w:lang w:val="en-US"/>
              </w:rPr>
              <w:t>Mitochondrial oxidative phosphorylation (</w:t>
            </w:r>
            <w:proofErr w:type="spellStart"/>
            <w:r w:rsidR="00981CCA" w:rsidRPr="00A81780">
              <w:rPr>
                <w:rFonts w:ascii="Arial" w:hAnsi="Arial" w:cs="Arial"/>
                <w:lang w:val="en-US"/>
              </w:rPr>
              <w:t>OxPhos</w:t>
            </w:r>
            <w:proofErr w:type="spellEnd"/>
            <w:r w:rsidR="00981CCA" w:rsidRPr="00A81780">
              <w:rPr>
                <w:rFonts w:ascii="Arial" w:hAnsi="Arial" w:cs="Arial"/>
                <w:lang w:val="en-US"/>
              </w:rPr>
              <w:t>) and glycolysis were assessed in Hep56.1D cells under the following conditions: (</w:t>
            </w:r>
            <w:proofErr w:type="spellStart"/>
            <w:r w:rsidR="00981CCA" w:rsidRPr="00A81780">
              <w:rPr>
                <w:rFonts w:ascii="Arial" w:hAnsi="Arial" w:cs="Arial"/>
                <w:lang w:val="en-US"/>
              </w:rPr>
              <w:t>i</w:t>
            </w:r>
            <w:proofErr w:type="spellEnd"/>
            <w:r w:rsidR="00981CCA" w:rsidRPr="00A81780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="00981CCA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981CCA" w:rsidRPr="00A81780">
              <w:rPr>
                <w:rFonts w:ascii="Arial" w:hAnsi="Arial" w:cs="Arial"/>
                <w:lang w:val="en-US"/>
              </w:rPr>
              <w:t xml:space="preserve"> (SF, 7.5 µM); (ii) SR9009 (SR, 12.5 µM); (iii) combination of </w:t>
            </w:r>
            <w:proofErr w:type="spellStart"/>
            <w:r w:rsidR="00981CCA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981CCA" w:rsidRPr="00A81780">
              <w:rPr>
                <w:rFonts w:ascii="Arial" w:hAnsi="Arial" w:cs="Arial"/>
                <w:lang w:val="en-US"/>
              </w:rPr>
              <w:t xml:space="preserve"> and SR9009 (SF+SR); and (iv) DMSO control. </w:t>
            </w:r>
            <w:r w:rsidR="001F2F51" w:rsidRPr="00A81780">
              <w:rPr>
                <w:rFonts w:ascii="Arial" w:eastAsia="Times New Roman" w:hAnsi="Arial" w:cs="Arial"/>
                <w:b/>
                <w:color w:val="000000"/>
                <w:lang w:val="en-US" w:eastAsia="it-IT"/>
              </w:rPr>
              <w:t>(</w:t>
            </w:r>
            <w:r w:rsidRPr="00A81780">
              <w:rPr>
                <w:rFonts w:ascii="Arial" w:eastAsia="Times New Roman" w:hAnsi="Arial" w:cs="Arial"/>
                <w:b/>
                <w:color w:val="000000"/>
                <w:lang w:val="en-US" w:eastAsia="it-IT"/>
              </w:rPr>
              <w:t>a</w:t>
            </w:r>
            <w:r w:rsidR="001F2F51" w:rsidRPr="00A81780">
              <w:rPr>
                <w:rFonts w:ascii="Arial" w:eastAsia="Times New Roman" w:hAnsi="Arial" w:cs="Arial"/>
                <w:b/>
                <w:color w:val="000000"/>
                <w:lang w:val="en-US" w:eastAsia="it-IT"/>
              </w:rPr>
              <w:t>)</w:t>
            </w:r>
            <w:r w:rsidR="001F2F51" w:rsidRPr="00A81780">
              <w:rPr>
                <w:rFonts w:ascii="Arial" w:eastAsia="Times New Roman" w:hAnsi="Arial" w:cs="Arial"/>
                <w:color w:val="000000"/>
                <w:lang w:val="en-US" w:eastAsia="it-IT"/>
              </w:rPr>
              <w:t xml:space="preserve"> </w:t>
            </w:r>
            <w:proofErr w:type="spellStart"/>
            <w:r w:rsidR="00981CCA" w:rsidRPr="00A81780">
              <w:rPr>
                <w:rFonts w:ascii="Arial" w:eastAsia="Times New Roman" w:hAnsi="Arial" w:cs="Arial"/>
                <w:lang w:val="en-US" w:eastAsia="it-IT"/>
              </w:rPr>
              <w:t>OxPhos</w:t>
            </w:r>
            <w:proofErr w:type="spellEnd"/>
            <w:r w:rsidR="00981CCA" w:rsidRPr="00A81780">
              <w:rPr>
                <w:rFonts w:ascii="Arial" w:eastAsia="Times New Roman" w:hAnsi="Arial" w:cs="Arial"/>
                <w:lang w:val="en-US" w:eastAsia="it-IT"/>
              </w:rPr>
              <w:t xml:space="preserve"> activity was measured as oxygen consumption rate (OCR) using a Seahorse </w:t>
            </w:r>
            <w:proofErr w:type="spellStart"/>
            <w:r w:rsidR="00981CCA" w:rsidRPr="00A81780">
              <w:rPr>
                <w:rFonts w:ascii="Arial" w:eastAsia="Times New Roman" w:hAnsi="Arial" w:cs="Arial"/>
                <w:lang w:val="en-US" w:eastAsia="it-IT"/>
              </w:rPr>
              <w:t>XFe</w:t>
            </w:r>
            <w:proofErr w:type="spellEnd"/>
            <w:r w:rsidR="00981CCA" w:rsidRPr="00A81780">
              <w:rPr>
                <w:rFonts w:ascii="Arial" w:eastAsia="Times New Roman" w:hAnsi="Arial" w:cs="Arial"/>
                <w:lang w:val="en-US" w:eastAsia="it-IT"/>
              </w:rPr>
              <w:t xml:space="preserve">/XF Extracellular Flux Analyzer under basal conditions and following sequential injections of </w:t>
            </w:r>
            <w:proofErr w:type="spellStart"/>
            <w:r w:rsidR="00981CCA" w:rsidRPr="00A81780">
              <w:rPr>
                <w:rFonts w:ascii="Arial" w:eastAsia="Times New Roman" w:hAnsi="Arial" w:cs="Arial"/>
                <w:lang w:val="en-US" w:eastAsia="it-IT"/>
              </w:rPr>
              <w:t>oligomycin</w:t>
            </w:r>
            <w:proofErr w:type="spellEnd"/>
            <w:r w:rsidR="00981CCA" w:rsidRPr="00A81780">
              <w:rPr>
                <w:rFonts w:ascii="Arial" w:eastAsia="Times New Roman" w:hAnsi="Arial" w:cs="Arial"/>
                <w:lang w:val="en-US" w:eastAsia="it-IT"/>
              </w:rPr>
              <w:t>, FCCP (carbonyl cyanide-4-(</w:t>
            </w:r>
            <w:proofErr w:type="spellStart"/>
            <w:r w:rsidR="00981CCA" w:rsidRPr="00A81780">
              <w:rPr>
                <w:rFonts w:ascii="Arial" w:eastAsia="Times New Roman" w:hAnsi="Arial" w:cs="Arial"/>
                <w:lang w:val="en-US" w:eastAsia="it-IT"/>
              </w:rPr>
              <w:t>trifluoromethoxy</w:t>
            </w:r>
            <w:proofErr w:type="spellEnd"/>
            <w:r w:rsidR="00981CCA" w:rsidRPr="00A81780">
              <w:rPr>
                <w:rFonts w:ascii="Arial" w:eastAsia="Times New Roman" w:hAnsi="Arial" w:cs="Arial"/>
                <w:lang w:val="en-US" w:eastAsia="it-IT"/>
              </w:rPr>
              <w:t>)</w:t>
            </w:r>
            <w:proofErr w:type="spellStart"/>
            <w:r w:rsidR="00981CCA" w:rsidRPr="00A81780">
              <w:rPr>
                <w:rFonts w:ascii="Arial" w:eastAsia="Times New Roman" w:hAnsi="Arial" w:cs="Arial"/>
                <w:lang w:val="en-US" w:eastAsia="it-IT"/>
              </w:rPr>
              <w:t>phenylhydrazone</w:t>
            </w:r>
            <w:proofErr w:type="spellEnd"/>
            <w:r w:rsidR="00981CCA" w:rsidRPr="00A81780">
              <w:rPr>
                <w:rFonts w:ascii="Arial" w:eastAsia="Times New Roman" w:hAnsi="Arial" w:cs="Arial"/>
                <w:lang w:val="en-US" w:eastAsia="it-IT"/>
              </w:rPr>
              <w:t>), and a rotenone/</w:t>
            </w:r>
            <w:proofErr w:type="spellStart"/>
            <w:r w:rsidR="00981CCA" w:rsidRPr="00A81780">
              <w:rPr>
                <w:rFonts w:ascii="Arial" w:eastAsia="Times New Roman" w:hAnsi="Arial" w:cs="Arial"/>
                <w:lang w:val="en-US" w:eastAsia="it-IT"/>
              </w:rPr>
              <w:t>antimycin</w:t>
            </w:r>
            <w:proofErr w:type="spellEnd"/>
            <w:r w:rsidR="00981CCA" w:rsidRPr="00A81780">
              <w:rPr>
                <w:rFonts w:ascii="Arial" w:eastAsia="Times New Roman" w:hAnsi="Arial" w:cs="Arial"/>
                <w:lang w:val="en-US" w:eastAsia="it-IT"/>
              </w:rPr>
              <w:t xml:space="preserve"> A mixture (Rot/AA). </w:t>
            </w:r>
            <w:r w:rsidR="001F2F51" w:rsidRPr="00A81780">
              <w:rPr>
                <w:rFonts w:ascii="Arial" w:eastAsia="Times New Roman" w:hAnsi="Arial" w:cs="Arial"/>
                <w:b/>
                <w:lang w:val="en-US" w:eastAsia="it-IT"/>
              </w:rPr>
              <w:t>(</w:t>
            </w:r>
            <w:r w:rsidRPr="00A81780">
              <w:rPr>
                <w:rFonts w:ascii="Arial" w:eastAsia="Times New Roman" w:hAnsi="Arial" w:cs="Arial"/>
                <w:b/>
                <w:lang w:val="en-US" w:eastAsia="it-IT"/>
              </w:rPr>
              <w:t>b</w:t>
            </w:r>
            <w:r w:rsidR="001F2F51" w:rsidRPr="00A81780">
              <w:rPr>
                <w:rFonts w:ascii="Arial" w:eastAsia="Times New Roman" w:hAnsi="Arial" w:cs="Arial"/>
                <w:b/>
                <w:lang w:val="en-US" w:eastAsia="it-IT"/>
              </w:rPr>
              <w:t>)</w:t>
            </w:r>
            <w:r w:rsidR="001F2F51" w:rsidRPr="00A81780">
              <w:rPr>
                <w:rFonts w:ascii="Arial" w:eastAsia="Times New Roman" w:hAnsi="Arial" w:cs="Arial"/>
                <w:lang w:val="en-US" w:eastAsia="it-IT"/>
              </w:rPr>
              <w:t xml:space="preserve"> </w:t>
            </w:r>
            <w:r w:rsidR="00981CCA" w:rsidRPr="00A81780">
              <w:rPr>
                <w:rFonts w:ascii="Arial" w:eastAsia="Times New Roman" w:hAnsi="Arial" w:cs="Arial"/>
                <w:lang w:val="en-US" w:eastAsia="it-IT"/>
              </w:rPr>
              <w:t xml:space="preserve">Both basal and maximal respiration were profoundly reduced in cells treated with SF+SR, indicating severe mitochondrial dysfunction. </w:t>
            </w:r>
            <w:r w:rsidR="001F2F51" w:rsidRPr="00A81780">
              <w:rPr>
                <w:rFonts w:ascii="Arial" w:eastAsia="Times New Roman" w:hAnsi="Arial" w:cs="Arial"/>
                <w:lang w:val="en-US" w:eastAsia="it-IT"/>
              </w:rPr>
              <w:t xml:space="preserve"> </w:t>
            </w:r>
            <w:r w:rsidR="001F2F51" w:rsidRPr="00A81780">
              <w:rPr>
                <w:rFonts w:ascii="Arial" w:eastAsia="Times New Roman" w:hAnsi="Arial" w:cs="Arial"/>
                <w:b/>
                <w:lang w:val="en-US" w:eastAsia="it-IT"/>
              </w:rPr>
              <w:t>(</w:t>
            </w:r>
            <w:r w:rsidRPr="00A81780">
              <w:rPr>
                <w:rFonts w:ascii="Arial" w:eastAsia="Times New Roman" w:hAnsi="Arial" w:cs="Arial"/>
                <w:b/>
                <w:lang w:val="en-US" w:eastAsia="it-IT"/>
              </w:rPr>
              <w:t>c</w:t>
            </w:r>
            <w:r w:rsidR="001F2F51" w:rsidRPr="00A81780">
              <w:rPr>
                <w:rFonts w:ascii="Arial" w:eastAsia="Times New Roman" w:hAnsi="Arial" w:cs="Arial"/>
                <w:b/>
                <w:lang w:val="en-US" w:eastAsia="it-IT"/>
              </w:rPr>
              <w:t>)</w:t>
            </w:r>
            <w:r w:rsidR="001F2F51" w:rsidRPr="00A81780">
              <w:rPr>
                <w:rFonts w:ascii="Arial" w:eastAsia="Times New Roman" w:hAnsi="Arial" w:cs="Arial"/>
                <w:lang w:val="en-US" w:eastAsia="it-IT"/>
              </w:rPr>
              <w:t xml:space="preserve"> </w:t>
            </w:r>
            <w:r w:rsidR="00981CCA" w:rsidRPr="00A81780">
              <w:rPr>
                <w:rFonts w:ascii="Arial" w:hAnsi="Arial" w:cs="Arial"/>
                <w:lang w:val="en-US"/>
              </w:rPr>
              <w:t xml:space="preserve">Glycolytic function was assessed by measuring the extracellular acidification rate (ECAR). </w:t>
            </w:r>
            <w:r w:rsidR="001F2F51" w:rsidRPr="00A81780">
              <w:rPr>
                <w:rFonts w:ascii="Arial" w:eastAsia="Times New Roman" w:hAnsi="Arial" w:cs="Arial"/>
                <w:b/>
                <w:lang w:val="en-US" w:eastAsia="it-IT"/>
              </w:rPr>
              <w:t>(</w:t>
            </w:r>
            <w:r w:rsidRPr="00A81780">
              <w:rPr>
                <w:rFonts w:ascii="Arial" w:eastAsia="Times New Roman" w:hAnsi="Arial" w:cs="Arial"/>
                <w:b/>
                <w:lang w:val="en-US" w:eastAsia="it-IT"/>
              </w:rPr>
              <w:t>d</w:t>
            </w:r>
            <w:r w:rsidR="001F2F51" w:rsidRPr="00A81780">
              <w:rPr>
                <w:rFonts w:ascii="Arial" w:eastAsia="Times New Roman" w:hAnsi="Arial" w:cs="Arial"/>
                <w:b/>
                <w:lang w:val="en-US" w:eastAsia="it-IT"/>
              </w:rPr>
              <w:t xml:space="preserve">) </w:t>
            </w:r>
            <w:r w:rsidR="00981CCA" w:rsidRPr="00A81780">
              <w:rPr>
                <w:rFonts w:ascii="Arial" w:hAnsi="Arial" w:cs="Arial"/>
                <w:lang w:val="en-US"/>
              </w:rPr>
              <w:t xml:space="preserve">Combined treatment resulted in a significant increase in both basal glycolysis and glycolytic capacity compared to </w:t>
            </w:r>
            <w:r w:rsidR="00E6299D">
              <w:rPr>
                <w:rFonts w:ascii="Arial" w:hAnsi="Arial" w:cs="Arial"/>
                <w:lang w:val="en-US"/>
              </w:rPr>
              <w:t>control</w:t>
            </w:r>
            <w:r w:rsidR="00981CCA" w:rsidRPr="00A81780">
              <w:rPr>
                <w:rFonts w:ascii="Arial" w:hAnsi="Arial" w:cs="Arial"/>
                <w:lang w:val="en-US"/>
              </w:rPr>
              <w:t>, reflecting a metabolic shift toward glycolytic dependence. Data are presented as mean ± SD. *p ≤ 0.05; ***p ≤ 0.001; ****p ≤ 0.0001.</w:t>
            </w:r>
          </w:p>
          <w:p w14:paraId="0C17DBDE" w14:textId="71764BBF" w:rsidR="00981CCA" w:rsidRPr="00A81780" w:rsidRDefault="00981CCA" w:rsidP="00B26B1F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2CADAB09" w14:textId="7E3A5271" w:rsidR="002D78A9" w:rsidRPr="00A81780" w:rsidRDefault="002D78A9" w:rsidP="00A13E8C">
      <w:pPr>
        <w:spacing w:line="480" w:lineRule="auto"/>
        <w:rPr>
          <w:rFonts w:ascii="Arial" w:hAnsi="Arial" w:cs="Arial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D78A9" w:rsidRPr="00A81780" w14:paraId="1CABFB69" w14:textId="77777777" w:rsidTr="00D67AB8">
        <w:tc>
          <w:tcPr>
            <w:tcW w:w="9638" w:type="dxa"/>
          </w:tcPr>
          <w:p w14:paraId="67D976B5" w14:textId="78B5F68A" w:rsidR="002D78A9" w:rsidRPr="00A81780" w:rsidRDefault="003C14D4" w:rsidP="00DD7D12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A81780">
              <w:rPr>
                <w:rFonts w:ascii="Arial" w:hAnsi="Arial" w:cs="Arial"/>
                <w:noProof/>
                <w:lang w:eastAsia="it-IT"/>
              </w:rPr>
              <w:lastRenderedPageBreak/>
              <w:drawing>
                <wp:inline distT="0" distB="0" distL="0" distR="0" wp14:anchorId="59D266F2" wp14:editId="610E5AD4">
                  <wp:extent cx="5314950" cy="5246200"/>
                  <wp:effectExtent l="0" t="0" r="0" b="0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24" cy="5258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8A9" w:rsidRPr="00A81780" w14:paraId="0BAF9C53" w14:textId="77777777" w:rsidTr="00D67AB8">
        <w:tc>
          <w:tcPr>
            <w:tcW w:w="9638" w:type="dxa"/>
          </w:tcPr>
          <w:p w14:paraId="31BDF397" w14:textId="77777777" w:rsidR="00F226A9" w:rsidRPr="00A81780" w:rsidRDefault="00F226A9" w:rsidP="00F226A9">
            <w:pPr>
              <w:spacing w:line="360" w:lineRule="auto"/>
              <w:jc w:val="both"/>
              <w:rPr>
                <w:rStyle w:val="Enfasigrassetto"/>
                <w:rFonts w:ascii="Arial" w:hAnsi="Arial" w:cs="Arial"/>
                <w:lang w:val="en-US"/>
              </w:rPr>
            </w:pPr>
          </w:p>
          <w:p w14:paraId="20BCF27E" w14:textId="12C46649" w:rsidR="00F226A9" w:rsidRPr="00A81780" w:rsidRDefault="00A81780" w:rsidP="00F226A9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Style w:val="Enfasigrassetto"/>
                <w:rFonts w:ascii="Arial" w:hAnsi="Arial" w:cs="Arial"/>
                <w:lang w:val="en-US"/>
              </w:rPr>
              <w:t>Supplementary Fig.</w:t>
            </w:r>
            <w:r w:rsidR="00F226A9" w:rsidRPr="00A81780">
              <w:rPr>
                <w:rStyle w:val="Enfasigrassetto"/>
                <w:rFonts w:ascii="Arial" w:hAnsi="Arial" w:cs="Arial"/>
                <w:lang w:val="en-US"/>
              </w:rPr>
              <w:t xml:space="preserve"> 9.</w:t>
            </w:r>
            <w:r w:rsidR="00F226A9" w:rsidRPr="00A81780">
              <w:rPr>
                <w:rFonts w:ascii="Arial" w:hAnsi="Arial" w:cs="Arial"/>
                <w:lang w:val="en-US"/>
              </w:rPr>
              <w:t xml:space="preserve"> </w:t>
            </w:r>
            <w:r w:rsidR="00F226A9" w:rsidRPr="00A81780">
              <w:rPr>
                <w:rFonts w:ascii="Arial" w:hAnsi="Arial" w:cs="Arial"/>
                <w:b/>
                <w:lang w:val="en-US"/>
              </w:rPr>
              <w:t xml:space="preserve">The combination of </w:t>
            </w:r>
            <w:proofErr w:type="spellStart"/>
            <w:r w:rsidR="00F226A9" w:rsidRPr="00A81780">
              <w:rPr>
                <w:rFonts w:ascii="Arial" w:hAnsi="Arial" w:cs="Arial"/>
                <w:b/>
                <w:lang w:val="en-US"/>
              </w:rPr>
              <w:t>sorafenib</w:t>
            </w:r>
            <w:proofErr w:type="spellEnd"/>
            <w:r w:rsidR="00F226A9" w:rsidRPr="00A81780">
              <w:rPr>
                <w:rFonts w:ascii="Arial" w:hAnsi="Arial" w:cs="Arial"/>
                <w:b/>
                <w:lang w:val="en-US"/>
              </w:rPr>
              <w:t xml:space="preserve"> and SR9009 inhibits mitochondrial ATP production in murine as well as in human HCC cell lines</w:t>
            </w:r>
            <w:r w:rsidR="00F226A9" w:rsidRPr="00A81780">
              <w:rPr>
                <w:rFonts w:ascii="Arial" w:hAnsi="Arial" w:cs="Arial"/>
                <w:lang w:val="en-US"/>
              </w:rPr>
              <w:t xml:space="preserve">. Murine </w:t>
            </w:r>
            <w:proofErr w:type="spellStart"/>
            <w:r w:rsidR="00F226A9" w:rsidRPr="00A81780">
              <w:rPr>
                <w:rFonts w:ascii="Arial" w:hAnsi="Arial" w:cs="Arial"/>
                <w:lang w:val="en-US"/>
              </w:rPr>
              <w:t>hepatoma</w:t>
            </w:r>
            <w:proofErr w:type="spellEnd"/>
            <w:r w:rsidR="00F226A9" w:rsidRPr="00A81780">
              <w:rPr>
                <w:rFonts w:ascii="Arial" w:hAnsi="Arial" w:cs="Arial"/>
                <w:lang w:val="en-US"/>
              </w:rPr>
              <w:t xml:space="preserve"> cell lines Hep55.1C </w:t>
            </w:r>
            <w:r w:rsidR="00F226A9" w:rsidRPr="00A81780">
              <w:rPr>
                <w:rFonts w:ascii="Arial" w:hAnsi="Arial" w:cs="Arial"/>
                <w:b/>
                <w:lang w:val="en-US"/>
              </w:rPr>
              <w:t>(a)</w:t>
            </w:r>
            <w:r w:rsidR="00F226A9" w:rsidRPr="00A81780">
              <w:rPr>
                <w:rFonts w:ascii="Arial" w:hAnsi="Arial" w:cs="Arial"/>
                <w:lang w:val="en-US"/>
              </w:rPr>
              <w:t xml:space="preserve"> and Hep56.1D </w:t>
            </w:r>
            <w:r w:rsidR="00F226A9" w:rsidRPr="00A81780">
              <w:rPr>
                <w:rFonts w:ascii="Arial" w:hAnsi="Arial" w:cs="Arial"/>
                <w:b/>
                <w:lang w:val="en-US"/>
              </w:rPr>
              <w:t>(b</w:t>
            </w:r>
            <w:r w:rsidR="00F226A9" w:rsidRPr="00A81780">
              <w:rPr>
                <w:rFonts w:ascii="Arial" w:hAnsi="Arial" w:cs="Arial"/>
                <w:lang w:val="en-US"/>
              </w:rPr>
              <w:t xml:space="preserve">), together with human HCC cell lines Hep3B </w:t>
            </w:r>
            <w:r w:rsidR="00F226A9" w:rsidRPr="00A81780">
              <w:rPr>
                <w:rFonts w:ascii="Arial" w:hAnsi="Arial" w:cs="Arial"/>
                <w:b/>
                <w:lang w:val="en-US"/>
              </w:rPr>
              <w:t>(c</w:t>
            </w:r>
            <w:r w:rsidR="00F226A9" w:rsidRPr="00A81780">
              <w:rPr>
                <w:rFonts w:ascii="Arial" w:hAnsi="Arial" w:cs="Arial"/>
                <w:lang w:val="en-US"/>
              </w:rPr>
              <w:t xml:space="preserve">), HepG2 </w:t>
            </w:r>
            <w:r w:rsidR="00F226A9" w:rsidRPr="00A81780">
              <w:rPr>
                <w:rFonts w:ascii="Arial" w:hAnsi="Arial" w:cs="Arial"/>
                <w:b/>
                <w:lang w:val="en-US"/>
              </w:rPr>
              <w:t>(d</w:t>
            </w:r>
            <w:r w:rsidR="00F226A9" w:rsidRPr="00A81780">
              <w:rPr>
                <w:rFonts w:ascii="Arial" w:hAnsi="Arial" w:cs="Arial"/>
                <w:lang w:val="en-US"/>
              </w:rPr>
              <w:t xml:space="preserve">), SNU449 </w:t>
            </w:r>
            <w:r w:rsidR="00F226A9" w:rsidRPr="00A81780">
              <w:rPr>
                <w:rFonts w:ascii="Arial" w:hAnsi="Arial" w:cs="Arial"/>
                <w:b/>
                <w:lang w:val="en-US"/>
              </w:rPr>
              <w:t>(e)</w:t>
            </w:r>
            <w:r w:rsidR="00F226A9" w:rsidRPr="00A81780">
              <w:rPr>
                <w:rFonts w:ascii="Arial" w:hAnsi="Arial" w:cs="Arial"/>
                <w:lang w:val="en-US"/>
              </w:rPr>
              <w:t xml:space="preserve">, and Huh7 </w:t>
            </w:r>
            <w:r w:rsidR="00F226A9" w:rsidRPr="00A81780">
              <w:rPr>
                <w:rFonts w:ascii="Arial" w:hAnsi="Arial" w:cs="Arial"/>
                <w:b/>
                <w:lang w:val="en-US"/>
              </w:rPr>
              <w:t>(f)</w:t>
            </w:r>
            <w:r w:rsidR="00F226A9" w:rsidRPr="00A81780">
              <w:rPr>
                <w:rFonts w:ascii="Arial" w:hAnsi="Arial" w:cs="Arial"/>
                <w:lang w:val="en-US"/>
              </w:rPr>
              <w:t xml:space="preserve">, were treated under the following conditions: untreated (NT), </w:t>
            </w:r>
            <w:proofErr w:type="spellStart"/>
            <w:r w:rsidR="00F226A9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F226A9" w:rsidRPr="00A81780">
              <w:rPr>
                <w:rFonts w:ascii="Arial" w:hAnsi="Arial" w:cs="Arial"/>
                <w:lang w:val="en-US"/>
              </w:rPr>
              <w:t xml:space="preserve"> (SF), SR9009 (SR), or their combination (SF+SR). Mitochondrial function was evaluated using the Mitochondrial </w:t>
            </w:r>
            <w:proofErr w:type="spellStart"/>
            <w:r w:rsidR="00F226A9" w:rsidRPr="00A81780">
              <w:rPr>
                <w:rFonts w:ascii="Arial" w:hAnsi="Arial" w:cs="Arial"/>
                <w:lang w:val="en-US"/>
              </w:rPr>
              <w:t>ToxGlo</w:t>
            </w:r>
            <w:proofErr w:type="spellEnd"/>
            <w:r w:rsidR="00F226A9" w:rsidRPr="00A81780">
              <w:rPr>
                <w:rFonts w:ascii="Arial" w:hAnsi="Arial" w:cs="Arial"/>
                <w:lang w:val="en-US"/>
              </w:rPr>
              <w:t xml:space="preserve">™ assay, which simultaneously measures cellular ATP production (luminescent signal) and cytotoxicity (fluorescent signal at 485 </w:t>
            </w:r>
            <w:proofErr w:type="spellStart"/>
            <w:r w:rsidR="00F226A9" w:rsidRPr="00A81780">
              <w:rPr>
                <w:rFonts w:ascii="Arial" w:hAnsi="Arial" w:cs="Arial"/>
                <w:lang w:val="en-US"/>
              </w:rPr>
              <w:t>nmEx</w:t>
            </w:r>
            <w:proofErr w:type="spellEnd"/>
            <w:r w:rsidR="00F226A9" w:rsidRPr="00A81780">
              <w:rPr>
                <w:rFonts w:ascii="Arial" w:hAnsi="Arial" w:cs="Arial"/>
                <w:lang w:val="en-US"/>
              </w:rPr>
              <w:t xml:space="preserve">/530 </w:t>
            </w:r>
            <w:proofErr w:type="spellStart"/>
            <w:r w:rsidR="00F226A9" w:rsidRPr="00A81780">
              <w:rPr>
                <w:rFonts w:ascii="Arial" w:hAnsi="Arial" w:cs="Arial"/>
                <w:lang w:val="en-US"/>
              </w:rPr>
              <w:t>nmEm</w:t>
            </w:r>
            <w:proofErr w:type="spellEnd"/>
            <w:r w:rsidR="00F226A9" w:rsidRPr="00A81780">
              <w:rPr>
                <w:rFonts w:ascii="Arial" w:hAnsi="Arial" w:cs="Arial"/>
                <w:lang w:val="en-US"/>
              </w:rPr>
              <w:t xml:space="preserve">). Data are expressed as the ratio of each treatment condition to the mean value of the untreated control. </w:t>
            </w:r>
            <w:proofErr w:type="spellStart"/>
            <w:r w:rsidR="00F226A9" w:rsidRPr="00A81780">
              <w:rPr>
                <w:rFonts w:ascii="Arial" w:hAnsi="Arial" w:cs="Arial"/>
                <w:lang w:val="en-US"/>
              </w:rPr>
              <w:t>Oligomycin</w:t>
            </w:r>
            <w:proofErr w:type="spellEnd"/>
            <w:r w:rsidR="00F226A9" w:rsidRPr="00A81780">
              <w:rPr>
                <w:rFonts w:ascii="Arial" w:hAnsi="Arial" w:cs="Arial"/>
                <w:lang w:val="en-US"/>
              </w:rPr>
              <w:t>, a potent ATP synthase inhibitor, was used as a positive control.</w:t>
            </w:r>
            <w:r w:rsidR="00F226A9" w:rsidRPr="00A81780">
              <w:rPr>
                <w:rFonts w:ascii="Arial" w:hAnsi="Arial" w:cs="Arial"/>
                <w:lang w:val="en-US"/>
              </w:rPr>
              <w:br/>
              <w:t xml:space="preserve">Combined treatment with </w:t>
            </w:r>
            <w:proofErr w:type="spellStart"/>
            <w:r w:rsidR="00F226A9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F226A9" w:rsidRPr="00A81780">
              <w:rPr>
                <w:rFonts w:ascii="Arial" w:hAnsi="Arial" w:cs="Arial"/>
                <w:lang w:val="en-US"/>
              </w:rPr>
              <w:t xml:space="preserve"> and SR9009 markedly reduced mitochondrial ATP levels across all tested cell lines, consistent with a synergistic impairment of mitochondrial function.</w:t>
            </w:r>
            <w:r w:rsidR="00F226A9" w:rsidRPr="00A81780">
              <w:rPr>
                <w:rFonts w:ascii="Arial" w:hAnsi="Arial" w:cs="Arial"/>
                <w:lang w:val="en-US"/>
              </w:rPr>
              <w:br/>
            </w:r>
            <w:r w:rsidR="00F226A9" w:rsidRPr="00A81780">
              <w:rPr>
                <w:rFonts w:ascii="Arial" w:hAnsi="Arial" w:cs="Arial"/>
              </w:rPr>
              <w:t xml:space="preserve">Data are </w:t>
            </w:r>
            <w:proofErr w:type="spellStart"/>
            <w:r w:rsidR="00F226A9" w:rsidRPr="00A81780">
              <w:rPr>
                <w:rFonts w:ascii="Arial" w:hAnsi="Arial" w:cs="Arial"/>
              </w:rPr>
              <w:t>presented</w:t>
            </w:r>
            <w:proofErr w:type="spellEnd"/>
            <w:r w:rsidR="00F226A9" w:rsidRPr="00A81780">
              <w:rPr>
                <w:rFonts w:ascii="Arial" w:hAnsi="Arial" w:cs="Arial"/>
              </w:rPr>
              <w:t xml:space="preserve"> </w:t>
            </w:r>
            <w:proofErr w:type="spellStart"/>
            <w:r w:rsidR="00F226A9" w:rsidRPr="00A81780">
              <w:rPr>
                <w:rFonts w:ascii="Arial" w:hAnsi="Arial" w:cs="Arial"/>
              </w:rPr>
              <w:t>as</w:t>
            </w:r>
            <w:proofErr w:type="spellEnd"/>
            <w:r w:rsidR="00F226A9" w:rsidRPr="00A81780">
              <w:rPr>
                <w:rFonts w:ascii="Arial" w:hAnsi="Arial" w:cs="Arial"/>
              </w:rPr>
              <w:t xml:space="preserve"> </w:t>
            </w:r>
            <w:proofErr w:type="spellStart"/>
            <w:r w:rsidR="00F226A9" w:rsidRPr="00A81780">
              <w:rPr>
                <w:rFonts w:ascii="Arial" w:hAnsi="Arial" w:cs="Arial"/>
              </w:rPr>
              <w:t>mean</w:t>
            </w:r>
            <w:proofErr w:type="spellEnd"/>
            <w:r w:rsidR="00F226A9" w:rsidRPr="00A81780">
              <w:rPr>
                <w:rFonts w:ascii="Arial" w:hAnsi="Arial" w:cs="Arial"/>
              </w:rPr>
              <w:t xml:space="preserve"> ± SD. *p ≤ 0.05; **p ≤ 0.01; ***p ≤ 0.001.</w:t>
            </w:r>
          </w:p>
        </w:tc>
      </w:tr>
    </w:tbl>
    <w:p w14:paraId="6B0CD9BE" w14:textId="7125A3DF" w:rsidR="00F226A9" w:rsidRPr="00A81780" w:rsidRDefault="00F226A9" w:rsidP="00A13E8C">
      <w:pPr>
        <w:spacing w:line="480" w:lineRule="auto"/>
        <w:rPr>
          <w:rFonts w:ascii="Arial" w:hAnsi="Arial" w:cs="Arial"/>
          <w:lang w:val="en-US"/>
        </w:rPr>
      </w:pPr>
    </w:p>
    <w:p w14:paraId="4C0C9DDE" w14:textId="250036E9" w:rsidR="00F226A9" w:rsidRPr="00A81780" w:rsidRDefault="00F226A9">
      <w:pPr>
        <w:rPr>
          <w:rFonts w:ascii="Arial" w:hAnsi="Arial" w:cs="Arial"/>
          <w:lang w:val="en-US"/>
        </w:rPr>
      </w:pPr>
    </w:p>
    <w:p w14:paraId="4A671F39" w14:textId="77777777" w:rsidR="002D78A9" w:rsidRPr="00A81780" w:rsidRDefault="002D78A9" w:rsidP="00A13E8C">
      <w:pPr>
        <w:spacing w:line="480" w:lineRule="auto"/>
        <w:rPr>
          <w:rFonts w:ascii="Arial" w:hAnsi="Arial" w:cs="Arial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70C99" w:rsidRPr="00A81780" w14:paraId="3CC13C61" w14:textId="77777777" w:rsidTr="00F226A9">
        <w:tc>
          <w:tcPr>
            <w:tcW w:w="9628" w:type="dxa"/>
          </w:tcPr>
          <w:p w14:paraId="622EE983" w14:textId="48A49622" w:rsidR="00670C99" w:rsidRPr="00A81780" w:rsidRDefault="003C14D4" w:rsidP="00670C99">
            <w:pPr>
              <w:spacing w:line="480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A81780">
              <w:rPr>
                <w:rFonts w:ascii="Arial" w:hAnsi="Arial" w:cs="Arial"/>
                <w:noProof/>
                <w:color w:val="FF0000"/>
                <w:lang w:eastAsia="it-IT"/>
              </w:rPr>
              <w:drawing>
                <wp:inline distT="0" distB="0" distL="0" distR="0" wp14:anchorId="1F778E28" wp14:editId="0D545475">
                  <wp:extent cx="4124325" cy="2279152"/>
                  <wp:effectExtent l="0" t="0" r="0" b="6985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4943" cy="22960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6A9" w:rsidRPr="00A81780" w14:paraId="494EB905" w14:textId="77777777" w:rsidTr="00C03FFF">
        <w:tc>
          <w:tcPr>
            <w:tcW w:w="9628" w:type="dxa"/>
          </w:tcPr>
          <w:p w14:paraId="6286811B" w14:textId="3F0957EE" w:rsidR="00F226A9" w:rsidRPr="00A81780" w:rsidRDefault="00A81780" w:rsidP="00F226A9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bCs/>
                <w:lang w:val="en-US" w:eastAsia="en-GB"/>
              </w:rPr>
            </w:pPr>
            <w:r>
              <w:rPr>
                <w:rStyle w:val="Enfasigrassetto"/>
                <w:rFonts w:ascii="Arial" w:hAnsi="Arial" w:cs="Arial"/>
                <w:lang w:val="en-US"/>
              </w:rPr>
              <w:t>Supplementary Fig.</w:t>
            </w:r>
            <w:r w:rsidR="00F226A9" w:rsidRPr="00A81780">
              <w:rPr>
                <w:rStyle w:val="Enfasigrassetto"/>
                <w:rFonts w:ascii="Arial" w:hAnsi="Arial" w:cs="Arial"/>
                <w:lang w:val="en-US"/>
              </w:rPr>
              <w:t xml:space="preserve"> 10.</w:t>
            </w:r>
            <w:r w:rsidR="00F226A9" w:rsidRPr="00A81780">
              <w:rPr>
                <w:rFonts w:ascii="Arial" w:hAnsi="Arial" w:cs="Arial"/>
                <w:lang w:val="en-US"/>
              </w:rPr>
              <w:t xml:space="preserve"> </w:t>
            </w:r>
            <w:r w:rsidR="00F226A9" w:rsidRPr="00A81780">
              <w:rPr>
                <w:rFonts w:ascii="Arial" w:hAnsi="Arial" w:cs="Arial"/>
                <w:b/>
                <w:lang w:val="en-US"/>
              </w:rPr>
              <w:t xml:space="preserve">Inhibition of mitochondrial respiration by IACS-010759 enhances </w:t>
            </w:r>
            <w:proofErr w:type="spellStart"/>
            <w:r w:rsidR="00F226A9" w:rsidRPr="00A81780">
              <w:rPr>
                <w:rFonts w:ascii="Arial" w:hAnsi="Arial" w:cs="Arial"/>
                <w:b/>
                <w:lang w:val="en-US"/>
              </w:rPr>
              <w:t>sorafenib</w:t>
            </w:r>
            <w:proofErr w:type="spellEnd"/>
            <w:r w:rsidR="00F226A9" w:rsidRPr="00A81780">
              <w:rPr>
                <w:rFonts w:ascii="Arial" w:hAnsi="Arial" w:cs="Arial"/>
                <w:b/>
                <w:lang w:val="en-US"/>
              </w:rPr>
              <w:t xml:space="preserve"> cytotoxicity in Hep55.1C cells</w:t>
            </w:r>
            <w:r w:rsidR="00F226A9" w:rsidRPr="00A81780">
              <w:rPr>
                <w:rFonts w:ascii="Arial" w:hAnsi="Arial" w:cs="Arial"/>
                <w:lang w:val="en-US"/>
              </w:rPr>
              <w:t>.  Dose–response analyses were performed to determine the IC</w:t>
            </w:r>
            <w:r w:rsidR="00F226A9" w:rsidRPr="00A81780">
              <w:rPr>
                <w:rFonts w:ascii="Cambria Math" w:hAnsi="Cambria Math" w:cs="Cambria Math"/>
                <w:lang w:val="en-US"/>
              </w:rPr>
              <w:t>₅₀</w:t>
            </w:r>
            <w:r w:rsidR="00F226A9" w:rsidRPr="00A81780">
              <w:rPr>
                <w:rFonts w:ascii="Arial" w:hAnsi="Arial" w:cs="Arial"/>
                <w:lang w:val="en-US"/>
              </w:rPr>
              <w:t xml:space="preserve"> values of </w:t>
            </w:r>
            <w:proofErr w:type="spellStart"/>
            <w:r w:rsidR="00F226A9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F226A9" w:rsidRPr="00A81780">
              <w:rPr>
                <w:rFonts w:ascii="Arial" w:hAnsi="Arial" w:cs="Arial"/>
                <w:lang w:val="en-US"/>
              </w:rPr>
              <w:t xml:space="preserve"> (SF) and the mitochondrial complex I inhibitor IACS-010759 (IACS) in Hep55.1C cells. Cells were treated with increasing concentrations of </w:t>
            </w:r>
            <w:proofErr w:type="spellStart"/>
            <w:r w:rsidR="00F226A9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F226A9" w:rsidRPr="00A81780">
              <w:rPr>
                <w:rFonts w:ascii="Arial" w:hAnsi="Arial" w:cs="Arial"/>
                <w:lang w:val="en-US"/>
              </w:rPr>
              <w:t xml:space="preserve"> alone, IACS alone, or </w:t>
            </w:r>
            <w:proofErr w:type="spellStart"/>
            <w:r w:rsidR="00F226A9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F226A9" w:rsidRPr="00A81780">
              <w:rPr>
                <w:rFonts w:ascii="Arial" w:hAnsi="Arial" w:cs="Arial"/>
                <w:lang w:val="en-US"/>
              </w:rPr>
              <w:t xml:space="preserve"> in combination with a fixed concentration of IACS-010759 (12 µM). SR9009 (12.5 µM) was included as a reference compound. Cell viability was assessed 48 hours after treatment and normalized to the mean viability of untreated cells (NT). The combination of </w:t>
            </w:r>
            <w:proofErr w:type="spellStart"/>
            <w:r w:rsidR="00F226A9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F226A9" w:rsidRPr="00A81780">
              <w:rPr>
                <w:rFonts w:ascii="Arial" w:hAnsi="Arial" w:cs="Arial"/>
                <w:lang w:val="en-US"/>
              </w:rPr>
              <w:t xml:space="preserve"> with IACS-010759 significantly reduced cell viability, resulting in a leftward shift of the </w:t>
            </w:r>
            <w:proofErr w:type="spellStart"/>
            <w:r w:rsidR="00F226A9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F226A9" w:rsidRPr="00A81780">
              <w:rPr>
                <w:rFonts w:ascii="Arial" w:hAnsi="Arial" w:cs="Arial"/>
                <w:lang w:val="en-US"/>
              </w:rPr>
              <w:t xml:space="preserve"> dose–response curve</w:t>
            </w:r>
            <w:r w:rsidR="001C4466">
              <w:rPr>
                <w:rFonts w:ascii="Arial" w:hAnsi="Arial" w:cs="Arial"/>
                <w:lang w:val="en-US"/>
              </w:rPr>
              <w:t xml:space="preserve"> </w:t>
            </w:r>
            <w:r w:rsidR="001C4466" w:rsidRPr="001C4466">
              <w:rPr>
                <w:rFonts w:ascii="Arial" w:hAnsi="Arial" w:cs="Arial"/>
                <w:lang w:val="en-US"/>
              </w:rPr>
              <w:t>(</w:t>
            </w:r>
            <w:proofErr w:type="spellStart"/>
            <w:r w:rsidR="001C4466" w:rsidRPr="001C4466">
              <w:rPr>
                <w:rFonts w:ascii="Arial" w:eastAsia="Times New Roman" w:hAnsi="Arial" w:cs="Arial"/>
                <w:lang w:val="en-GB" w:eastAsia="en-GB"/>
              </w:rPr>
              <w:t>sorafenib</w:t>
            </w:r>
            <w:proofErr w:type="spellEnd"/>
            <w:r w:rsidR="001C4466" w:rsidRPr="001C4466">
              <w:rPr>
                <w:rFonts w:ascii="Arial" w:eastAsia="Times New Roman" w:hAnsi="Arial" w:cs="Arial"/>
                <w:lang w:val="en-GB" w:eastAsia="en-GB"/>
              </w:rPr>
              <w:t xml:space="preserve"> IC</w:t>
            </w:r>
            <w:r w:rsidR="001C4466" w:rsidRPr="001C4466">
              <w:rPr>
                <w:rFonts w:ascii="Cambria Math" w:eastAsia="Times New Roman" w:hAnsi="Cambria Math" w:cs="Cambria Math"/>
                <w:lang w:val="en-GB" w:eastAsia="en-GB"/>
              </w:rPr>
              <w:t>₅₀</w:t>
            </w:r>
            <w:r w:rsidR="00135236">
              <w:rPr>
                <w:rFonts w:ascii="Cambria Math" w:eastAsia="Times New Roman" w:hAnsi="Cambria Math" w:cs="Cambria Math"/>
                <w:lang w:val="en-GB" w:eastAsia="en-GB"/>
              </w:rPr>
              <w:t>:</w:t>
            </w:r>
            <w:r w:rsidR="001C4466" w:rsidRPr="001C4466">
              <w:rPr>
                <w:rFonts w:ascii="Arial" w:eastAsia="Times New Roman" w:hAnsi="Arial" w:cs="Arial"/>
                <w:lang w:val="en-GB" w:eastAsia="en-GB"/>
              </w:rPr>
              <w:t xml:space="preserve"> values from 11,28 µM to 4,7 µM)</w:t>
            </w:r>
            <w:r w:rsidR="00F226A9" w:rsidRPr="001C4466">
              <w:rPr>
                <w:rFonts w:ascii="Arial" w:hAnsi="Arial" w:cs="Arial"/>
                <w:lang w:val="en-US"/>
              </w:rPr>
              <w:t xml:space="preserve">, comparable </w:t>
            </w:r>
            <w:r w:rsidR="00F226A9" w:rsidRPr="00A81780">
              <w:rPr>
                <w:rFonts w:ascii="Arial" w:hAnsi="Arial" w:cs="Arial"/>
                <w:lang w:val="en-US"/>
              </w:rPr>
              <w:t xml:space="preserve">to that observed with the </w:t>
            </w:r>
            <w:proofErr w:type="spellStart"/>
            <w:r w:rsidR="00F226A9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F226A9" w:rsidRPr="00A81780">
              <w:rPr>
                <w:rFonts w:ascii="Arial" w:hAnsi="Arial" w:cs="Arial"/>
                <w:lang w:val="en-US"/>
              </w:rPr>
              <w:t xml:space="preserve"> + SR9009 combination</w:t>
            </w:r>
            <w:r w:rsidR="001C4466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="001C4466" w:rsidRPr="003F790C">
              <w:rPr>
                <w:rFonts w:ascii="Arial" w:eastAsia="Times New Roman" w:hAnsi="Arial" w:cs="Arial"/>
                <w:lang w:val="en-GB" w:eastAsia="en-GB"/>
              </w:rPr>
              <w:t>sorafenib</w:t>
            </w:r>
            <w:proofErr w:type="spellEnd"/>
            <w:r w:rsidR="001C4466" w:rsidRPr="003F790C">
              <w:rPr>
                <w:rFonts w:ascii="Arial" w:eastAsia="Times New Roman" w:hAnsi="Arial" w:cs="Arial"/>
                <w:lang w:val="en-GB" w:eastAsia="en-GB"/>
              </w:rPr>
              <w:t xml:space="preserve"> IC</w:t>
            </w:r>
            <w:r w:rsidR="001C4466" w:rsidRPr="003F790C">
              <w:rPr>
                <w:rFonts w:ascii="Cambria Math" w:eastAsia="Times New Roman" w:hAnsi="Cambria Math" w:cs="Cambria Math"/>
                <w:lang w:val="en-GB" w:eastAsia="en-GB"/>
              </w:rPr>
              <w:t>₅₀</w:t>
            </w:r>
            <w:r w:rsidR="00135236">
              <w:rPr>
                <w:rFonts w:ascii="Cambria Math" w:eastAsia="Times New Roman" w:hAnsi="Cambria Math" w:cs="Cambria Math"/>
                <w:lang w:val="en-GB" w:eastAsia="en-GB"/>
              </w:rPr>
              <w:t>:</w:t>
            </w:r>
            <w:r w:rsidR="001C4466">
              <w:rPr>
                <w:rFonts w:ascii="Arial" w:eastAsia="Times New Roman" w:hAnsi="Arial" w:cs="Arial"/>
                <w:lang w:val="en-GB" w:eastAsia="en-GB"/>
              </w:rPr>
              <w:t xml:space="preserve"> values </w:t>
            </w:r>
            <w:r w:rsidR="001C4466" w:rsidRPr="003F790C">
              <w:rPr>
                <w:rFonts w:ascii="Arial" w:eastAsia="Times New Roman" w:hAnsi="Arial" w:cs="Arial"/>
                <w:lang w:val="en-GB" w:eastAsia="en-GB"/>
              </w:rPr>
              <w:t>from 1</w:t>
            </w:r>
            <w:r w:rsidR="001C4466">
              <w:rPr>
                <w:rFonts w:ascii="Arial" w:eastAsia="Times New Roman" w:hAnsi="Arial" w:cs="Arial"/>
                <w:lang w:val="en-GB" w:eastAsia="en-GB"/>
              </w:rPr>
              <w:t>1,28</w:t>
            </w:r>
            <w:r w:rsidR="001C4466" w:rsidRPr="003F790C">
              <w:rPr>
                <w:rFonts w:ascii="Arial" w:eastAsia="Times New Roman" w:hAnsi="Arial" w:cs="Arial"/>
                <w:lang w:val="en-GB" w:eastAsia="en-GB"/>
              </w:rPr>
              <w:t xml:space="preserve"> µM to </w:t>
            </w:r>
            <w:r w:rsidR="001C4466">
              <w:rPr>
                <w:rFonts w:ascii="Arial" w:eastAsia="Times New Roman" w:hAnsi="Arial" w:cs="Arial"/>
                <w:lang w:val="en-GB" w:eastAsia="en-GB"/>
              </w:rPr>
              <w:t>4,2</w:t>
            </w:r>
            <w:r w:rsidR="001C4466" w:rsidRPr="003F790C">
              <w:rPr>
                <w:rFonts w:ascii="Arial" w:eastAsia="Times New Roman" w:hAnsi="Arial" w:cs="Arial"/>
                <w:lang w:val="en-GB" w:eastAsia="en-GB"/>
              </w:rPr>
              <w:t xml:space="preserve"> µM</w:t>
            </w:r>
            <w:r w:rsidR="001C4466">
              <w:rPr>
                <w:rFonts w:ascii="Arial" w:eastAsia="Times New Roman" w:hAnsi="Arial" w:cs="Arial"/>
                <w:lang w:val="en-GB" w:eastAsia="en-GB"/>
              </w:rPr>
              <w:t>)</w:t>
            </w:r>
            <w:r w:rsidR="00F226A9" w:rsidRPr="00A81780">
              <w:rPr>
                <w:rFonts w:ascii="Arial" w:hAnsi="Arial" w:cs="Arial"/>
                <w:lang w:val="en-US"/>
              </w:rPr>
              <w:t>. Drug concentrations [µM] are shown on a log</w:t>
            </w:r>
            <w:r w:rsidR="00F226A9" w:rsidRPr="00A81780">
              <w:rPr>
                <w:rFonts w:ascii="Cambria Math" w:hAnsi="Cambria Math" w:cs="Cambria Math"/>
                <w:lang w:val="en-US"/>
              </w:rPr>
              <w:t>₁₀</w:t>
            </w:r>
            <w:r w:rsidR="00F226A9" w:rsidRPr="00A81780">
              <w:rPr>
                <w:rFonts w:ascii="Arial" w:hAnsi="Arial" w:cs="Arial"/>
                <w:lang w:val="en-US"/>
              </w:rPr>
              <w:t xml:space="preserve"> scale. Data points represent mean values ± SD from three independent experiments.</w:t>
            </w:r>
          </w:p>
          <w:p w14:paraId="013E2CF1" w14:textId="3C97D2DC" w:rsidR="00F226A9" w:rsidRPr="00A81780" w:rsidRDefault="00F226A9" w:rsidP="00C03FFF">
            <w:pPr>
              <w:spacing w:before="120" w:after="120" w:line="360" w:lineRule="auto"/>
              <w:jc w:val="both"/>
              <w:rPr>
                <w:rFonts w:ascii="Arial" w:eastAsia="Cambria" w:hAnsi="Arial" w:cs="Arial"/>
                <w:bCs/>
                <w:lang w:val="en-US" w:eastAsia="en-GB"/>
              </w:rPr>
            </w:pPr>
          </w:p>
        </w:tc>
      </w:tr>
      <w:tr w:rsidR="00670C99" w:rsidRPr="00A81780" w14:paraId="23128276" w14:textId="77777777" w:rsidTr="00F226A9">
        <w:tc>
          <w:tcPr>
            <w:tcW w:w="9628" w:type="dxa"/>
          </w:tcPr>
          <w:p w14:paraId="5C361D65" w14:textId="14B29B92" w:rsidR="00F226A9" w:rsidRPr="00A81780" w:rsidRDefault="00F226A9" w:rsidP="00F226A9">
            <w:pPr>
              <w:spacing w:before="120" w:after="120" w:line="360" w:lineRule="auto"/>
              <w:jc w:val="both"/>
              <w:rPr>
                <w:rFonts w:ascii="Arial" w:eastAsia="Cambria" w:hAnsi="Arial" w:cs="Arial"/>
                <w:bCs/>
                <w:lang w:val="en-US" w:eastAsia="en-GB"/>
              </w:rPr>
            </w:pPr>
          </w:p>
        </w:tc>
      </w:tr>
    </w:tbl>
    <w:p w14:paraId="2B9E25B5" w14:textId="3B571D17" w:rsidR="00D67AB8" w:rsidRPr="00A81780" w:rsidRDefault="00D67AB8" w:rsidP="00A13E8C">
      <w:pPr>
        <w:spacing w:line="480" w:lineRule="auto"/>
        <w:rPr>
          <w:rFonts w:ascii="Arial" w:hAnsi="Arial" w:cs="Arial"/>
          <w:color w:val="FF0000"/>
          <w:lang w:val="en-US"/>
        </w:rPr>
      </w:pPr>
    </w:p>
    <w:p w14:paraId="5F36A632" w14:textId="4E92AACC" w:rsidR="00F226A9" w:rsidRPr="00A81780" w:rsidRDefault="00F226A9">
      <w:pPr>
        <w:rPr>
          <w:rFonts w:ascii="Arial" w:hAnsi="Arial" w:cs="Arial"/>
          <w:color w:val="FF0000"/>
          <w:lang w:val="en-US"/>
        </w:rPr>
      </w:pPr>
      <w:r w:rsidRPr="00A81780">
        <w:rPr>
          <w:rFonts w:ascii="Arial" w:hAnsi="Arial" w:cs="Arial"/>
          <w:color w:val="FF0000"/>
          <w:lang w:val="en-US"/>
        </w:rPr>
        <w:br w:type="page"/>
      </w:r>
    </w:p>
    <w:p w14:paraId="6BAF3DC2" w14:textId="77777777" w:rsidR="00F226A9" w:rsidRPr="00A81780" w:rsidRDefault="00F226A9" w:rsidP="00A13E8C">
      <w:pPr>
        <w:spacing w:line="480" w:lineRule="auto"/>
        <w:rPr>
          <w:rFonts w:ascii="Arial" w:hAnsi="Arial" w:cs="Arial"/>
          <w:color w:val="FF0000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70C99" w:rsidRPr="00A81780" w14:paraId="5B087CD3" w14:textId="77777777" w:rsidTr="00F226A9">
        <w:tc>
          <w:tcPr>
            <w:tcW w:w="9628" w:type="dxa"/>
          </w:tcPr>
          <w:p w14:paraId="0423588B" w14:textId="3E49161A" w:rsidR="00670C99" w:rsidRPr="00A81780" w:rsidRDefault="003C14D4" w:rsidP="00F226A9">
            <w:pPr>
              <w:spacing w:line="480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A81780">
              <w:rPr>
                <w:rFonts w:ascii="Arial" w:hAnsi="Arial" w:cs="Arial"/>
                <w:noProof/>
                <w:color w:val="FF0000"/>
                <w:lang w:eastAsia="it-IT"/>
              </w:rPr>
              <w:drawing>
                <wp:inline distT="0" distB="0" distL="0" distR="0" wp14:anchorId="15A2DAFF" wp14:editId="2C6010AB">
                  <wp:extent cx="3390900" cy="1324738"/>
                  <wp:effectExtent l="0" t="0" r="0" b="8890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825" cy="13411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C99" w:rsidRPr="00A81780" w14:paraId="56357CF8" w14:textId="77777777" w:rsidTr="00F226A9">
        <w:tc>
          <w:tcPr>
            <w:tcW w:w="9628" w:type="dxa"/>
          </w:tcPr>
          <w:p w14:paraId="4F27D997" w14:textId="77777777" w:rsidR="00F226A9" w:rsidRPr="00A81780" w:rsidRDefault="00F226A9" w:rsidP="00C779FB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6FA98A8F" w14:textId="4211185E" w:rsidR="00F226A9" w:rsidRPr="00A81780" w:rsidRDefault="00A81780" w:rsidP="00245C4E">
            <w:pPr>
              <w:spacing w:line="360" w:lineRule="auto"/>
              <w:jc w:val="both"/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Style w:val="Enfasigrassetto"/>
                <w:rFonts w:ascii="Arial" w:hAnsi="Arial" w:cs="Arial"/>
                <w:lang w:val="en-US"/>
              </w:rPr>
              <w:t>Supplementary Fig.</w:t>
            </w:r>
            <w:r w:rsidR="00245C4E" w:rsidRPr="00A81780">
              <w:rPr>
                <w:rStyle w:val="Enfasigrassetto"/>
                <w:rFonts w:ascii="Arial" w:hAnsi="Arial" w:cs="Arial"/>
                <w:lang w:val="en-US"/>
              </w:rPr>
              <w:t xml:space="preserve"> 11.</w:t>
            </w:r>
            <w:r w:rsidR="00245C4E" w:rsidRPr="00A817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Heme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oxygenase-1</w:t>
            </w:r>
            <w:r w:rsidR="00245C4E" w:rsidRPr="00A81780">
              <w:rPr>
                <w:rFonts w:ascii="Arial" w:hAnsi="Arial" w:cs="Arial"/>
                <w:b/>
                <w:lang w:val="en-US"/>
              </w:rPr>
              <w:t xml:space="preserve"> expression is upregulated in </w:t>
            </w:r>
            <w:proofErr w:type="spellStart"/>
            <w:r w:rsidR="00245C4E" w:rsidRPr="00A81780">
              <w:rPr>
                <w:rFonts w:ascii="Arial" w:hAnsi="Arial" w:cs="Arial"/>
                <w:b/>
                <w:lang w:val="en-US"/>
              </w:rPr>
              <w:t>sorafenib</w:t>
            </w:r>
            <w:proofErr w:type="spellEnd"/>
            <w:r w:rsidR="00245C4E" w:rsidRPr="00A81780">
              <w:rPr>
                <w:rFonts w:ascii="Arial" w:hAnsi="Arial" w:cs="Arial"/>
                <w:b/>
                <w:lang w:val="en-US"/>
              </w:rPr>
              <w:t>-resistant cells.</w:t>
            </w:r>
            <w:r w:rsidR="00245C4E" w:rsidRPr="00A81780">
              <w:rPr>
                <w:rFonts w:ascii="Arial" w:hAnsi="Arial" w:cs="Arial"/>
                <w:lang w:val="en-US"/>
              </w:rPr>
              <w:t xml:space="preserve">  Western blot analysis and </w:t>
            </w:r>
            <w:proofErr w:type="spellStart"/>
            <w:r w:rsidR="00245C4E" w:rsidRPr="00A81780">
              <w:rPr>
                <w:rFonts w:ascii="Arial" w:hAnsi="Arial" w:cs="Arial"/>
                <w:lang w:val="en-US"/>
              </w:rPr>
              <w:t>densitometric</w:t>
            </w:r>
            <w:proofErr w:type="spellEnd"/>
            <w:r w:rsidR="00245C4E" w:rsidRPr="00A81780">
              <w:rPr>
                <w:rFonts w:ascii="Arial" w:hAnsi="Arial" w:cs="Arial"/>
                <w:lang w:val="en-US"/>
              </w:rPr>
              <w:t xml:space="preserve"> quantification of </w:t>
            </w:r>
            <w:proofErr w:type="spellStart"/>
            <w:r w:rsidRPr="00A81780">
              <w:rPr>
                <w:rFonts w:ascii="Arial" w:hAnsi="Arial" w:cs="Arial"/>
                <w:lang w:val="en-US"/>
              </w:rPr>
              <w:t>Heme</w:t>
            </w:r>
            <w:proofErr w:type="spellEnd"/>
            <w:r w:rsidRPr="00A81780">
              <w:rPr>
                <w:rFonts w:ascii="Arial" w:hAnsi="Arial" w:cs="Arial"/>
                <w:lang w:val="en-US"/>
              </w:rPr>
              <w:t xml:space="preserve"> oxygenase-1</w:t>
            </w:r>
            <w:r w:rsidRPr="00A81780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A81780">
              <w:rPr>
                <w:rFonts w:ascii="Arial" w:hAnsi="Arial" w:cs="Arial"/>
                <w:lang w:val="en-US"/>
              </w:rPr>
              <w:t>(</w:t>
            </w:r>
            <w:r w:rsidR="00245C4E" w:rsidRPr="00A81780">
              <w:rPr>
                <w:rFonts w:ascii="Arial" w:hAnsi="Arial" w:cs="Arial"/>
                <w:lang w:val="en-US"/>
              </w:rPr>
              <w:t>HO-1</w:t>
            </w:r>
            <w:r>
              <w:rPr>
                <w:rFonts w:ascii="Arial" w:hAnsi="Arial" w:cs="Arial"/>
                <w:lang w:val="en-US"/>
              </w:rPr>
              <w:t>)</w:t>
            </w:r>
            <w:r w:rsidR="00245C4E" w:rsidRPr="00A81780">
              <w:rPr>
                <w:rFonts w:ascii="Arial" w:hAnsi="Arial" w:cs="Arial"/>
                <w:lang w:val="en-US"/>
              </w:rPr>
              <w:t xml:space="preserve"> protein levels in </w:t>
            </w:r>
            <w:proofErr w:type="spellStart"/>
            <w:r w:rsidR="00245C4E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245C4E" w:rsidRPr="00A81780">
              <w:rPr>
                <w:rFonts w:ascii="Arial" w:hAnsi="Arial" w:cs="Arial"/>
                <w:lang w:val="en-US"/>
              </w:rPr>
              <w:t xml:space="preserve">-sensitive Hep55.1C cells and </w:t>
            </w:r>
            <w:proofErr w:type="spellStart"/>
            <w:r w:rsidR="00245C4E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245C4E" w:rsidRPr="00A81780">
              <w:rPr>
                <w:rFonts w:ascii="Arial" w:hAnsi="Arial" w:cs="Arial"/>
                <w:lang w:val="en-US"/>
              </w:rPr>
              <w:t xml:space="preserve">-resistant H55-RES cells. Protein expression levels were normalized to GAPDH and expressed relative to the mean value of untreated Hep55.1C cells. The results indicate a marked increase in HO-1 abundance in resistant cells compared to sensitive counterparts, consistent with an adaptive </w:t>
            </w:r>
            <w:proofErr w:type="spellStart"/>
            <w:r w:rsidR="00245C4E" w:rsidRPr="00A81780">
              <w:rPr>
                <w:rFonts w:ascii="Arial" w:hAnsi="Arial" w:cs="Arial"/>
                <w:lang w:val="en-US"/>
              </w:rPr>
              <w:t>cytoprotective</w:t>
            </w:r>
            <w:proofErr w:type="spellEnd"/>
            <w:r w:rsidR="00245C4E" w:rsidRPr="00A81780">
              <w:rPr>
                <w:rFonts w:ascii="Arial" w:hAnsi="Arial" w:cs="Arial"/>
                <w:lang w:val="en-US"/>
              </w:rPr>
              <w:t xml:space="preserve"> response to chronic </w:t>
            </w:r>
            <w:proofErr w:type="spellStart"/>
            <w:r w:rsidR="00245C4E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245C4E" w:rsidRPr="00A81780">
              <w:rPr>
                <w:rFonts w:ascii="Arial" w:hAnsi="Arial" w:cs="Arial"/>
                <w:lang w:val="en-US"/>
              </w:rPr>
              <w:t xml:space="preserve"> exposure.</w:t>
            </w:r>
          </w:p>
        </w:tc>
      </w:tr>
    </w:tbl>
    <w:p w14:paraId="1803C144" w14:textId="52520803" w:rsidR="00670C99" w:rsidRPr="00A81780" w:rsidRDefault="00670C99" w:rsidP="00A13E8C">
      <w:pPr>
        <w:spacing w:line="480" w:lineRule="auto"/>
        <w:rPr>
          <w:rFonts w:ascii="Arial" w:hAnsi="Arial" w:cs="Arial"/>
          <w:color w:val="FF0000"/>
          <w:lang w:val="en-US"/>
        </w:rPr>
      </w:pPr>
    </w:p>
    <w:p w14:paraId="5D13C2B9" w14:textId="5A220BD9" w:rsidR="00F226A9" w:rsidRPr="00A81780" w:rsidRDefault="00F226A9">
      <w:pPr>
        <w:rPr>
          <w:rFonts w:ascii="Arial" w:hAnsi="Arial" w:cs="Arial"/>
          <w:color w:val="FF0000"/>
          <w:lang w:val="en-US"/>
        </w:rPr>
      </w:pPr>
      <w:r w:rsidRPr="00A81780">
        <w:rPr>
          <w:rFonts w:ascii="Arial" w:hAnsi="Arial" w:cs="Arial"/>
          <w:color w:val="FF0000"/>
          <w:lang w:val="en-US"/>
        </w:rPr>
        <w:br w:type="page"/>
      </w:r>
    </w:p>
    <w:p w14:paraId="672D5919" w14:textId="77777777" w:rsidR="00F226A9" w:rsidRPr="00A81780" w:rsidRDefault="00F226A9" w:rsidP="00A13E8C">
      <w:pPr>
        <w:spacing w:line="480" w:lineRule="auto"/>
        <w:rPr>
          <w:rFonts w:ascii="Arial" w:hAnsi="Arial" w:cs="Arial"/>
          <w:color w:val="FF0000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70C99" w:rsidRPr="00A81780" w14:paraId="5D01FB74" w14:textId="77777777" w:rsidTr="00245C4E">
        <w:tc>
          <w:tcPr>
            <w:tcW w:w="9628" w:type="dxa"/>
          </w:tcPr>
          <w:p w14:paraId="782ADDDA" w14:textId="77777777" w:rsidR="00670C99" w:rsidRDefault="003C14D4" w:rsidP="009F20B3">
            <w:pPr>
              <w:spacing w:line="480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A81780">
              <w:rPr>
                <w:rFonts w:ascii="Arial" w:hAnsi="Arial" w:cs="Arial"/>
                <w:noProof/>
                <w:color w:val="FF0000"/>
                <w:lang w:eastAsia="it-IT"/>
              </w:rPr>
              <w:drawing>
                <wp:inline distT="0" distB="0" distL="0" distR="0" wp14:anchorId="7B64AF10" wp14:editId="5C6EC1CD">
                  <wp:extent cx="4210050" cy="4833866"/>
                  <wp:effectExtent l="0" t="0" r="0" b="5080"/>
                  <wp:docPr id="24" name="Im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7054" cy="4853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78E6693" w14:textId="0E80A447" w:rsidR="00DD7D12" w:rsidRPr="00A81780" w:rsidRDefault="00DD7D12" w:rsidP="009F20B3">
            <w:pPr>
              <w:spacing w:line="480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</w:tr>
      <w:tr w:rsidR="00670C99" w:rsidRPr="00A81780" w14:paraId="361196BC" w14:textId="77777777" w:rsidTr="00245C4E">
        <w:tc>
          <w:tcPr>
            <w:tcW w:w="9628" w:type="dxa"/>
          </w:tcPr>
          <w:p w14:paraId="342EAE4A" w14:textId="77777777" w:rsidR="00245C4E" w:rsidRPr="00A81780" w:rsidRDefault="00245C4E" w:rsidP="004026B8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30187A1E" w14:textId="1740B114" w:rsidR="00245C4E" w:rsidRPr="00A81780" w:rsidRDefault="00A81780" w:rsidP="00135236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Style w:val="Enfasigrassetto"/>
                <w:rFonts w:ascii="Arial" w:hAnsi="Arial" w:cs="Arial"/>
                <w:lang w:val="en-US"/>
              </w:rPr>
              <w:t>Supplementary Fig.</w:t>
            </w:r>
            <w:r w:rsidR="00245C4E" w:rsidRPr="00A81780">
              <w:rPr>
                <w:rStyle w:val="Enfasigrassetto"/>
                <w:rFonts w:ascii="Arial" w:hAnsi="Arial" w:cs="Arial"/>
                <w:lang w:val="en-US"/>
              </w:rPr>
              <w:t xml:space="preserve"> 12.</w:t>
            </w:r>
            <w:r w:rsidR="00245C4E" w:rsidRPr="00A81780">
              <w:rPr>
                <w:rFonts w:ascii="Arial" w:hAnsi="Arial" w:cs="Arial"/>
                <w:lang w:val="en-US"/>
              </w:rPr>
              <w:t xml:space="preserve"> </w:t>
            </w:r>
            <w:r w:rsidR="00245C4E" w:rsidRPr="00A81780">
              <w:rPr>
                <w:rFonts w:ascii="Arial" w:hAnsi="Arial" w:cs="Arial"/>
                <w:b/>
                <w:i/>
                <w:lang w:val="en-US"/>
              </w:rPr>
              <w:t>Hmox1</w:t>
            </w:r>
            <w:r w:rsidR="00245C4E" w:rsidRPr="00A81780">
              <w:rPr>
                <w:rFonts w:ascii="Arial" w:hAnsi="Arial" w:cs="Arial"/>
                <w:b/>
                <w:lang w:val="en-US"/>
              </w:rPr>
              <w:t xml:space="preserve"> knockdown increases the sensitivity of </w:t>
            </w:r>
            <w:proofErr w:type="spellStart"/>
            <w:r w:rsidR="00245C4E" w:rsidRPr="00A81780">
              <w:rPr>
                <w:rFonts w:ascii="Arial" w:hAnsi="Arial" w:cs="Arial"/>
                <w:b/>
                <w:lang w:val="en-US"/>
              </w:rPr>
              <w:t>sorafenib</w:t>
            </w:r>
            <w:proofErr w:type="spellEnd"/>
            <w:r w:rsidR="00245C4E" w:rsidRPr="00A81780">
              <w:rPr>
                <w:rFonts w:ascii="Arial" w:hAnsi="Arial" w:cs="Arial"/>
                <w:b/>
                <w:lang w:val="en-US"/>
              </w:rPr>
              <w:t xml:space="preserve">-resistant H55-RES cells to </w:t>
            </w:r>
            <w:proofErr w:type="spellStart"/>
            <w:r w:rsidR="00245C4E" w:rsidRPr="00A81780">
              <w:rPr>
                <w:rFonts w:ascii="Arial" w:hAnsi="Arial" w:cs="Arial"/>
                <w:b/>
                <w:lang w:val="en-US"/>
              </w:rPr>
              <w:t>sorafenib</w:t>
            </w:r>
            <w:proofErr w:type="spellEnd"/>
            <w:r w:rsidR="00245C4E" w:rsidRPr="00A81780">
              <w:rPr>
                <w:rFonts w:ascii="Arial" w:hAnsi="Arial" w:cs="Arial"/>
                <w:b/>
                <w:lang w:val="en-US"/>
              </w:rPr>
              <w:t>.</w:t>
            </w:r>
            <w:r w:rsidR="00245C4E" w:rsidRPr="00A81780">
              <w:rPr>
                <w:rFonts w:ascii="Arial" w:hAnsi="Arial" w:cs="Arial"/>
                <w:lang w:val="en-US"/>
              </w:rPr>
              <w:t xml:space="preserve">  To assess the role of </w:t>
            </w:r>
            <w:r w:rsidR="00245C4E" w:rsidRPr="00A81780">
              <w:rPr>
                <w:rFonts w:ascii="Arial" w:hAnsi="Arial" w:cs="Arial"/>
                <w:i/>
                <w:lang w:val="en-US"/>
              </w:rPr>
              <w:t>Hmox1</w:t>
            </w:r>
            <w:r w:rsidR="00245C4E" w:rsidRPr="00A81780">
              <w:rPr>
                <w:rFonts w:ascii="Arial" w:hAnsi="Arial" w:cs="Arial"/>
                <w:lang w:val="en-US"/>
              </w:rPr>
              <w:t xml:space="preserve"> in </w:t>
            </w:r>
            <w:proofErr w:type="spellStart"/>
            <w:r w:rsidR="00245C4E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245C4E" w:rsidRPr="00A81780">
              <w:rPr>
                <w:rFonts w:ascii="Arial" w:hAnsi="Arial" w:cs="Arial"/>
                <w:lang w:val="en-US"/>
              </w:rPr>
              <w:t xml:space="preserve"> resistance, H55-RES cells were transfected with increasing concentrations of siRNA targeting </w:t>
            </w:r>
            <w:r w:rsidR="00245C4E" w:rsidRPr="00A81780">
              <w:rPr>
                <w:rFonts w:ascii="Arial" w:hAnsi="Arial" w:cs="Arial"/>
                <w:i/>
                <w:lang w:val="en-US"/>
              </w:rPr>
              <w:t>Hmox1</w:t>
            </w:r>
            <w:r w:rsidR="00245C4E" w:rsidRPr="00A81780">
              <w:rPr>
                <w:rFonts w:ascii="Arial" w:hAnsi="Arial" w:cs="Arial"/>
                <w:lang w:val="en-US"/>
              </w:rPr>
              <w:t xml:space="preserve"> (1 </w:t>
            </w:r>
            <w:proofErr w:type="spellStart"/>
            <w:r w:rsidR="00245C4E" w:rsidRPr="00A81780">
              <w:rPr>
                <w:rFonts w:ascii="Arial" w:hAnsi="Arial" w:cs="Arial"/>
                <w:lang w:val="en-US"/>
              </w:rPr>
              <w:t>nM</w:t>
            </w:r>
            <w:proofErr w:type="spellEnd"/>
            <w:r w:rsidR="00245C4E" w:rsidRPr="00A81780">
              <w:rPr>
                <w:rFonts w:ascii="Arial" w:hAnsi="Arial" w:cs="Arial"/>
                <w:lang w:val="en-US"/>
              </w:rPr>
              <w:t xml:space="preserve">, 10 </w:t>
            </w:r>
            <w:proofErr w:type="spellStart"/>
            <w:r w:rsidR="00245C4E" w:rsidRPr="00A81780">
              <w:rPr>
                <w:rFonts w:ascii="Arial" w:hAnsi="Arial" w:cs="Arial"/>
                <w:lang w:val="en-US"/>
              </w:rPr>
              <w:t>nM</w:t>
            </w:r>
            <w:proofErr w:type="spellEnd"/>
            <w:r w:rsidR="00245C4E" w:rsidRPr="00A81780">
              <w:rPr>
                <w:rFonts w:ascii="Arial" w:hAnsi="Arial" w:cs="Arial"/>
                <w:lang w:val="en-US"/>
              </w:rPr>
              <w:t xml:space="preserve">, 50 </w:t>
            </w:r>
            <w:proofErr w:type="spellStart"/>
            <w:r w:rsidR="00245C4E" w:rsidRPr="00A81780">
              <w:rPr>
                <w:rFonts w:ascii="Arial" w:hAnsi="Arial" w:cs="Arial"/>
                <w:lang w:val="en-US"/>
              </w:rPr>
              <w:t>nM</w:t>
            </w:r>
            <w:proofErr w:type="spellEnd"/>
            <w:r w:rsidR="00245C4E" w:rsidRPr="00A81780">
              <w:rPr>
                <w:rFonts w:ascii="Arial" w:hAnsi="Arial" w:cs="Arial"/>
                <w:lang w:val="en-US"/>
              </w:rPr>
              <w:t xml:space="preserve">) and collected after 24 hours. </w:t>
            </w:r>
            <w:r w:rsidR="00245C4E" w:rsidRPr="00A81780">
              <w:rPr>
                <w:rFonts w:ascii="Arial" w:hAnsi="Arial" w:cs="Arial"/>
                <w:b/>
                <w:lang w:val="en-US"/>
              </w:rPr>
              <w:t>(a)</w:t>
            </w:r>
            <w:r w:rsidR="00245C4E" w:rsidRPr="00A81780">
              <w:rPr>
                <w:rFonts w:ascii="Arial" w:hAnsi="Arial" w:cs="Arial"/>
                <w:lang w:val="en-US"/>
              </w:rPr>
              <w:t xml:space="preserve"> Efficient Hmox1 silencing was confirmed by Western blot analysis of HO-1 protein levels, normalized to GAPDH and expressed relative to control cells treated with </w:t>
            </w:r>
            <w:proofErr w:type="spellStart"/>
            <w:r w:rsidR="00245C4E" w:rsidRPr="00A81780">
              <w:rPr>
                <w:rFonts w:ascii="Arial" w:hAnsi="Arial" w:cs="Arial"/>
                <w:lang w:val="en-US"/>
              </w:rPr>
              <w:t>Lipofectamine</w:t>
            </w:r>
            <w:proofErr w:type="spellEnd"/>
            <w:r w:rsidR="00245C4E" w:rsidRPr="00A81780">
              <w:rPr>
                <w:rFonts w:ascii="Arial" w:hAnsi="Arial" w:cs="Arial"/>
                <w:lang w:val="en-US"/>
              </w:rPr>
              <w:t xml:space="preserve"> and </w:t>
            </w:r>
            <w:proofErr w:type="spellStart"/>
            <w:r w:rsidR="00245C4E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245C4E" w:rsidRPr="00A81780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="00135236">
              <w:rPr>
                <w:rFonts w:ascii="Arial" w:hAnsi="Arial" w:cs="Arial"/>
                <w:lang w:val="en-US"/>
              </w:rPr>
              <w:t>SF+Lipo</w:t>
            </w:r>
            <w:proofErr w:type="spellEnd"/>
            <w:r w:rsidR="00245C4E" w:rsidRPr="00A81780">
              <w:rPr>
                <w:rFonts w:ascii="Arial" w:hAnsi="Arial" w:cs="Arial"/>
                <w:lang w:val="en-US"/>
              </w:rPr>
              <w:t xml:space="preserve">). </w:t>
            </w:r>
            <w:r w:rsidR="00245C4E" w:rsidRPr="00A81780">
              <w:rPr>
                <w:rFonts w:ascii="Arial" w:hAnsi="Arial" w:cs="Arial"/>
                <w:i/>
                <w:lang w:val="en-US"/>
              </w:rPr>
              <w:t>Hmox1</w:t>
            </w:r>
            <w:r w:rsidR="00245C4E" w:rsidRPr="00A81780">
              <w:rPr>
                <w:rFonts w:ascii="Arial" w:hAnsi="Arial" w:cs="Arial"/>
                <w:lang w:val="en-US"/>
              </w:rPr>
              <w:t xml:space="preserve"> knockdown led to a concentration-dependent decrease in both cell viability </w:t>
            </w:r>
            <w:r w:rsidR="00245C4E" w:rsidRPr="00A81780">
              <w:rPr>
                <w:rFonts w:ascii="Arial" w:hAnsi="Arial" w:cs="Arial"/>
                <w:b/>
                <w:lang w:val="en-US"/>
              </w:rPr>
              <w:t>(b)</w:t>
            </w:r>
            <w:r w:rsidR="00245C4E" w:rsidRPr="00A81780">
              <w:rPr>
                <w:rFonts w:ascii="Arial" w:hAnsi="Arial" w:cs="Arial"/>
                <w:lang w:val="en-US"/>
              </w:rPr>
              <w:t xml:space="preserve"> and mitochondrial activity (c) compared with control, indicating that HO-1 contributes to the adaptive resistance phenotype. Data are presented as mean ± SD. *p ≤ 0.05.</w:t>
            </w:r>
          </w:p>
        </w:tc>
      </w:tr>
    </w:tbl>
    <w:p w14:paraId="300A469D" w14:textId="497A2D8D" w:rsidR="00670C99" w:rsidRPr="00A81780" w:rsidRDefault="00670C99" w:rsidP="00A13E8C">
      <w:pPr>
        <w:spacing w:line="480" w:lineRule="auto"/>
        <w:rPr>
          <w:rFonts w:ascii="Arial" w:hAnsi="Arial" w:cs="Arial"/>
          <w:color w:val="FF0000"/>
          <w:lang w:val="en-US"/>
        </w:rPr>
      </w:pPr>
    </w:p>
    <w:p w14:paraId="72AA3C04" w14:textId="6E016734" w:rsidR="00245C4E" w:rsidRPr="00A81780" w:rsidRDefault="00245C4E">
      <w:pPr>
        <w:rPr>
          <w:rFonts w:ascii="Arial" w:hAnsi="Arial" w:cs="Arial"/>
          <w:color w:val="FF0000"/>
          <w:lang w:val="en-US"/>
        </w:rPr>
      </w:pPr>
    </w:p>
    <w:p w14:paraId="6A26F95D" w14:textId="77777777" w:rsidR="00245C4E" w:rsidRPr="00A81780" w:rsidRDefault="00245C4E" w:rsidP="00A13E8C">
      <w:pPr>
        <w:spacing w:line="480" w:lineRule="auto"/>
        <w:rPr>
          <w:rFonts w:ascii="Arial" w:hAnsi="Arial" w:cs="Arial"/>
          <w:color w:val="FF0000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70C99" w:rsidRPr="00A81780" w14:paraId="2EC59FDD" w14:textId="77777777" w:rsidTr="00B91F80">
        <w:tc>
          <w:tcPr>
            <w:tcW w:w="9628" w:type="dxa"/>
          </w:tcPr>
          <w:p w14:paraId="5A73FD34" w14:textId="4844CC19" w:rsidR="00670C99" w:rsidRPr="00A81780" w:rsidRDefault="003C14D4" w:rsidP="00B91F80">
            <w:pPr>
              <w:spacing w:line="480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A81780">
              <w:rPr>
                <w:rFonts w:ascii="Arial" w:hAnsi="Arial" w:cs="Arial"/>
                <w:noProof/>
                <w:color w:val="FF0000"/>
                <w:lang w:eastAsia="it-IT"/>
              </w:rPr>
              <w:drawing>
                <wp:inline distT="0" distB="0" distL="0" distR="0" wp14:anchorId="316F5EEF" wp14:editId="32EE3492">
                  <wp:extent cx="4333875" cy="1519296"/>
                  <wp:effectExtent l="0" t="0" r="0" b="5080"/>
                  <wp:docPr id="25" name="Im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3968" cy="15438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C99" w:rsidRPr="00A81780" w14:paraId="0CA8FD3E" w14:textId="77777777" w:rsidTr="00B91F80">
        <w:tc>
          <w:tcPr>
            <w:tcW w:w="9628" w:type="dxa"/>
          </w:tcPr>
          <w:p w14:paraId="7B998377" w14:textId="77777777" w:rsidR="008D6CAC" w:rsidRPr="00A81780" w:rsidRDefault="008D6CAC" w:rsidP="004026B8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2200D483" w14:textId="62C7C5DC" w:rsidR="008D6CAC" w:rsidRPr="00A81780" w:rsidRDefault="00A81780" w:rsidP="004026B8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Style w:val="Enfasigrassetto"/>
                <w:rFonts w:ascii="Arial" w:hAnsi="Arial" w:cs="Arial"/>
                <w:lang w:val="en-US"/>
              </w:rPr>
              <w:t>Supplementary Fig.</w:t>
            </w:r>
            <w:r w:rsidR="00B91F80" w:rsidRPr="00A81780">
              <w:rPr>
                <w:rStyle w:val="Enfasigrassetto"/>
                <w:rFonts w:ascii="Arial" w:hAnsi="Arial" w:cs="Arial"/>
                <w:lang w:val="en-US"/>
              </w:rPr>
              <w:t xml:space="preserve"> 13.</w:t>
            </w:r>
            <w:r w:rsidR="00B91F80" w:rsidRPr="00A81780">
              <w:rPr>
                <w:rFonts w:ascii="Arial" w:hAnsi="Arial" w:cs="Arial"/>
                <w:lang w:val="en-US"/>
              </w:rPr>
              <w:t xml:space="preserve"> </w:t>
            </w:r>
            <w:r w:rsidR="00B91F80" w:rsidRPr="00A81780">
              <w:rPr>
                <w:rFonts w:ascii="Arial" w:hAnsi="Arial" w:cs="Arial"/>
                <w:b/>
                <w:lang w:val="en-US"/>
              </w:rPr>
              <w:t xml:space="preserve">Combined treatment with </w:t>
            </w:r>
            <w:proofErr w:type="spellStart"/>
            <w:r w:rsidR="00B91F80" w:rsidRPr="00A81780">
              <w:rPr>
                <w:rFonts w:ascii="Arial" w:hAnsi="Arial" w:cs="Arial"/>
                <w:b/>
                <w:lang w:val="en-US"/>
              </w:rPr>
              <w:t>sorafenib</w:t>
            </w:r>
            <w:proofErr w:type="spellEnd"/>
            <w:r w:rsidR="00B91F80" w:rsidRPr="00A81780">
              <w:rPr>
                <w:rFonts w:ascii="Arial" w:hAnsi="Arial" w:cs="Arial"/>
                <w:b/>
                <w:lang w:val="en-US"/>
              </w:rPr>
              <w:t xml:space="preserve"> and SR9009 increases HO-1 protein levels in Hep55.1C cells.</w:t>
            </w:r>
            <w:r w:rsidR="00B91F80" w:rsidRPr="00A81780">
              <w:rPr>
                <w:rFonts w:ascii="Arial" w:hAnsi="Arial" w:cs="Arial"/>
                <w:lang w:val="en-US"/>
              </w:rPr>
              <w:t xml:space="preserve">  Western blot analysis and quantification of HO-1 expression in Hep55.1C cells treated with </w:t>
            </w:r>
            <w:proofErr w:type="spellStart"/>
            <w:r w:rsidR="00B91F80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B91F80" w:rsidRPr="00A81780">
              <w:rPr>
                <w:rFonts w:ascii="Arial" w:hAnsi="Arial" w:cs="Arial"/>
                <w:lang w:val="en-US"/>
              </w:rPr>
              <w:t xml:space="preserve"> (SF), SR9009 (SR), or their combination (SR+SF), compared with untreated controls (NT). HO-1 protein levels were normalized to GAPDH and expressed relative to untreated cells. The combination treatment elicited a pronounced induction of HO-1 compared with single-agent treatments, consistent with activation of a cellular stress response mechanism.</w:t>
            </w:r>
          </w:p>
          <w:p w14:paraId="6E92B14E" w14:textId="11C3DCF8" w:rsidR="00B91F80" w:rsidRPr="00A81780" w:rsidRDefault="00B91F80" w:rsidP="004026B8">
            <w:pPr>
              <w:spacing w:line="360" w:lineRule="auto"/>
              <w:jc w:val="both"/>
              <w:rPr>
                <w:rFonts w:ascii="Arial" w:hAnsi="Arial" w:cs="Arial"/>
                <w:color w:val="FF0000"/>
                <w:lang w:val="en-US"/>
              </w:rPr>
            </w:pPr>
          </w:p>
        </w:tc>
      </w:tr>
    </w:tbl>
    <w:p w14:paraId="6F3243CD" w14:textId="6E87D877" w:rsidR="00670C99" w:rsidRPr="00A81780" w:rsidRDefault="00670C99" w:rsidP="00A13E8C">
      <w:pPr>
        <w:spacing w:line="480" w:lineRule="auto"/>
        <w:rPr>
          <w:rFonts w:ascii="Arial" w:hAnsi="Arial" w:cs="Arial"/>
          <w:color w:val="FF0000"/>
          <w:lang w:val="en-US"/>
        </w:rPr>
      </w:pPr>
    </w:p>
    <w:p w14:paraId="42DE5090" w14:textId="65C57B9A" w:rsidR="008D6CAC" w:rsidRPr="00A81780" w:rsidRDefault="008D6CAC">
      <w:pPr>
        <w:rPr>
          <w:rFonts w:ascii="Arial" w:hAnsi="Arial" w:cs="Arial"/>
          <w:color w:val="FF0000"/>
          <w:lang w:val="en-US"/>
        </w:rPr>
      </w:pPr>
      <w:r w:rsidRPr="00A81780">
        <w:rPr>
          <w:rFonts w:ascii="Arial" w:hAnsi="Arial" w:cs="Arial"/>
          <w:color w:val="FF0000"/>
          <w:lang w:val="en-US"/>
        </w:rPr>
        <w:br w:type="page"/>
      </w:r>
    </w:p>
    <w:p w14:paraId="6423B43C" w14:textId="77777777" w:rsidR="008D6CAC" w:rsidRPr="00A81780" w:rsidRDefault="008D6CAC" w:rsidP="00A13E8C">
      <w:pPr>
        <w:spacing w:line="480" w:lineRule="auto"/>
        <w:rPr>
          <w:rFonts w:ascii="Arial" w:hAnsi="Arial" w:cs="Arial"/>
          <w:color w:val="FF0000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70C99" w:rsidRPr="00A81780" w14:paraId="7DABAC47" w14:textId="77777777" w:rsidTr="00DD7D12">
        <w:tc>
          <w:tcPr>
            <w:tcW w:w="9628" w:type="dxa"/>
          </w:tcPr>
          <w:p w14:paraId="7F9120FE" w14:textId="07E66C04" w:rsidR="00670C99" w:rsidRPr="00A81780" w:rsidRDefault="003C14D4" w:rsidP="00670C99">
            <w:pPr>
              <w:spacing w:line="480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A81780">
              <w:rPr>
                <w:rFonts w:ascii="Arial" w:hAnsi="Arial" w:cs="Arial"/>
                <w:noProof/>
                <w:color w:val="FF0000"/>
                <w:lang w:eastAsia="it-IT"/>
              </w:rPr>
              <w:drawing>
                <wp:inline distT="0" distB="0" distL="0" distR="0" wp14:anchorId="7BD60005" wp14:editId="184D371F">
                  <wp:extent cx="3629025" cy="2359780"/>
                  <wp:effectExtent l="0" t="0" r="0" b="2540"/>
                  <wp:docPr id="26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0350" cy="23801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C99" w:rsidRPr="00A81780" w14:paraId="308DE4BC" w14:textId="77777777" w:rsidTr="00DD7D12">
        <w:tc>
          <w:tcPr>
            <w:tcW w:w="9628" w:type="dxa"/>
          </w:tcPr>
          <w:p w14:paraId="1756D225" w14:textId="77777777" w:rsidR="00B91F80" w:rsidRPr="00A81780" w:rsidRDefault="00B91F80" w:rsidP="004A396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3DFD114F" w14:textId="5476A28F" w:rsidR="00B91F80" w:rsidRPr="00A81780" w:rsidRDefault="00A81780" w:rsidP="004A396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Style w:val="Enfasigrassetto"/>
                <w:rFonts w:ascii="Arial" w:hAnsi="Arial" w:cs="Arial"/>
                <w:lang w:val="en-US"/>
              </w:rPr>
              <w:t>Supplementary Fig.</w:t>
            </w:r>
            <w:r w:rsidR="00B91F80" w:rsidRPr="00A81780">
              <w:rPr>
                <w:rStyle w:val="Enfasigrassetto"/>
                <w:rFonts w:ascii="Arial" w:hAnsi="Arial" w:cs="Arial"/>
                <w:lang w:val="en-US"/>
              </w:rPr>
              <w:t xml:space="preserve"> 14.</w:t>
            </w:r>
            <w:r w:rsidR="00B91F80" w:rsidRPr="00A81780">
              <w:rPr>
                <w:rFonts w:ascii="Arial" w:hAnsi="Arial" w:cs="Arial"/>
                <w:lang w:val="en-US"/>
              </w:rPr>
              <w:t xml:space="preserve"> </w:t>
            </w:r>
            <w:r w:rsidR="00B91F80" w:rsidRPr="00A81780">
              <w:rPr>
                <w:rFonts w:ascii="Arial" w:hAnsi="Arial" w:cs="Arial"/>
                <w:b/>
                <w:lang w:val="en-US"/>
              </w:rPr>
              <w:t xml:space="preserve">Combined treatment with </w:t>
            </w:r>
            <w:proofErr w:type="spellStart"/>
            <w:r w:rsidR="00B91F80" w:rsidRPr="00A81780">
              <w:rPr>
                <w:rFonts w:ascii="Arial" w:hAnsi="Arial" w:cs="Arial"/>
                <w:b/>
                <w:lang w:val="en-US"/>
              </w:rPr>
              <w:t>sorafenib</w:t>
            </w:r>
            <w:proofErr w:type="spellEnd"/>
            <w:r w:rsidR="00B91F80" w:rsidRPr="00A81780">
              <w:rPr>
                <w:rFonts w:ascii="Arial" w:hAnsi="Arial" w:cs="Arial"/>
                <w:b/>
                <w:lang w:val="en-US"/>
              </w:rPr>
              <w:t xml:space="preserve"> and SR9009 reduces mitochondrial respiratory complex components and increases HO-1 protein levels </w:t>
            </w:r>
            <w:r w:rsidR="00B91F80" w:rsidRPr="00A81780">
              <w:rPr>
                <w:rFonts w:ascii="Arial" w:hAnsi="Arial" w:cs="Arial"/>
                <w:b/>
                <w:i/>
                <w:lang w:val="en-US"/>
              </w:rPr>
              <w:t>in vivo</w:t>
            </w:r>
            <w:r w:rsidR="00B91F80" w:rsidRPr="00A81780">
              <w:rPr>
                <w:rFonts w:ascii="Arial" w:hAnsi="Arial" w:cs="Arial"/>
                <w:lang w:val="en-US"/>
              </w:rPr>
              <w:t xml:space="preserve">.  Western blot analysis was performed on xenograft tumors derived from H55-RES cells treated with </w:t>
            </w:r>
            <w:proofErr w:type="spellStart"/>
            <w:r w:rsidR="00B91F80" w:rsidRPr="00A81780">
              <w:rPr>
                <w:rFonts w:ascii="Arial" w:hAnsi="Arial" w:cs="Arial"/>
                <w:lang w:val="en-US"/>
              </w:rPr>
              <w:t>sorafenib</w:t>
            </w:r>
            <w:proofErr w:type="spellEnd"/>
            <w:r w:rsidR="00B91F80" w:rsidRPr="00A81780">
              <w:rPr>
                <w:rFonts w:ascii="Arial" w:hAnsi="Arial" w:cs="Arial"/>
                <w:lang w:val="en-US"/>
              </w:rPr>
              <w:t xml:space="preserve"> (SF), SR9009 (SR), or their combination (SF+SR). Protein levels of key components of the mitochondrial electron transport chain, including succinate dehydrogenase subunit A (SDHA), cytochrome c oxidase I (COX1/MT-CO1) and cytochrome c, were markedly reduced in tumors treated with the combination compared to single-agent treatments. Conversely, HO-1 protein levels were significantly upregulated upon combined treatment, suggesting the activation of an adaptive stress response. All values were normalized to GAPDH and expressed relative to untreated controls.</w:t>
            </w:r>
          </w:p>
        </w:tc>
      </w:tr>
    </w:tbl>
    <w:p w14:paraId="6C885140" w14:textId="77777777" w:rsidR="00670C99" w:rsidRPr="00A81780" w:rsidRDefault="00670C99" w:rsidP="00A13E8C">
      <w:pPr>
        <w:spacing w:line="480" w:lineRule="auto"/>
        <w:rPr>
          <w:rFonts w:ascii="Arial" w:hAnsi="Arial" w:cs="Arial"/>
          <w:color w:val="FF0000"/>
          <w:lang w:val="en-US"/>
        </w:rPr>
      </w:pPr>
    </w:p>
    <w:sectPr w:rsidR="00670C99" w:rsidRPr="00A81780">
      <w:footerReference w:type="default" r:id="rId2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259C7" w14:textId="77777777" w:rsidR="00F86552" w:rsidRDefault="00F86552" w:rsidP="00A13E8C">
      <w:pPr>
        <w:spacing w:after="0" w:line="240" w:lineRule="auto"/>
      </w:pPr>
      <w:r>
        <w:separator/>
      </w:r>
    </w:p>
  </w:endnote>
  <w:endnote w:type="continuationSeparator" w:id="0">
    <w:p w14:paraId="75774B46" w14:textId="77777777" w:rsidR="00F86552" w:rsidRDefault="00F86552" w:rsidP="00A1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4402295"/>
      <w:docPartObj>
        <w:docPartGallery w:val="Page Numbers (Bottom of Page)"/>
        <w:docPartUnique/>
      </w:docPartObj>
    </w:sdtPr>
    <w:sdtEndPr/>
    <w:sdtContent>
      <w:p w14:paraId="1E9FEB48" w14:textId="4EBB8436" w:rsidR="006D0987" w:rsidRDefault="006D098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6C9">
          <w:rPr>
            <w:noProof/>
          </w:rPr>
          <w:t>15</w:t>
        </w:r>
        <w:r>
          <w:fldChar w:fldCharType="end"/>
        </w:r>
      </w:p>
    </w:sdtContent>
  </w:sdt>
  <w:p w14:paraId="501F12A4" w14:textId="77777777" w:rsidR="006D0987" w:rsidRDefault="006D09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523ED" w14:textId="77777777" w:rsidR="00F86552" w:rsidRDefault="00F86552" w:rsidP="00A13E8C">
      <w:pPr>
        <w:spacing w:after="0" w:line="240" w:lineRule="auto"/>
      </w:pPr>
      <w:r>
        <w:separator/>
      </w:r>
    </w:p>
  </w:footnote>
  <w:footnote w:type="continuationSeparator" w:id="0">
    <w:p w14:paraId="4B90BF27" w14:textId="77777777" w:rsidR="00F86552" w:rsidRDefault="00F86552" w:rsidP="00A13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A470E"/>
    <w:multiLevelType w:val="multilevel"/>
    <w:tmpl w:val="47D051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6DF10FD7"/>
    <w:multiLevelType w:val="hybridMultilevel"/>
    <w:tmpl w:val="F8A6A804"/>
    <w:lvl w:ilvl="0" w:tplc="1158DD7A">
      <w:start w:val="1"/>
      <w:numFmt w:val="bullet"/>
      <w:pStyle w:val="Bulletpoints5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2A271ED"/>
    <w:multiLevelType w:val="hybridMultilevel"/>
    <w:tmpl w:val="C05AC40C"/>
    <w:lvl w:ilvl="0" w:tplc="BCFEF12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FF425374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DB82B4E2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DEFADD2E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D982DEAC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1624E2B6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1D68A1E2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FB50ED78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C82CDB30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580"/>
    <w:rsid w:val="00000927"/>
    <w:rsid w:val="000066AF"/>
    <w:rsid w:val="00011592"/>
    <w:rsid w:val="00013D91"/>
    <w:rsid w:val="00020F55"/>
    <w:rsid w:val="00035D7B"/>
    <w:rsid w:val="00044EF8"/>
    <w:rsid w:val="00074516"/>
    <w:rsid w:val="000850B3"/>
    <w:rsid w:val="00085D9C"/>
    <w:rsid w:val="000911C6"/>
    <w:rsid w:val="00091C71"/>
    <w:rsid w:val="00094584"/>
    <w:rsid w:val="000D5CBC"/>
    <w:rsid w:val="000F6212"/>
    <w:rsid w:val="000F637F"/>
    <w:rsid w:val="00102302"/>
    <w:rsid w:val="00105D00"/>
    <w:rsid w:val="0012003E"/>
    <w:rsid w:val="00135236"/>
    <w:rsid w:val="00150EB2"/>
    <w:rsid w:val="00161346"/>
    <w:rsid w:val="00170E9F"/>
    <w:rsid w:val="001772BC"/>
    <w:rsid w:val="001857C2"/>
    <w:rsid w:val="00195C7C"/>
    <w:rsid w:val="001C4466"/>
    <w:rsid w:val="001E35F3"/>
    <w:rsid w:val="001E5A13"/>
    <w:rsid w:val="001F2F51"/>
    <w:rsid w:val="0021189E"/>
    <w:rsid w:val="00245C4E"/>
    <w:rsid w:val="0027264B"/>
    <w:rsid w:val="00273B2F"/>
    <w:rsid w:val="0028159C"/>
    <w:rsid w:val="002D78A9"/>
    <w:rsid w:val="002E1F8D"/>
    <w:rsid w:val="002F156B"/>
    <w:rsid w:val="00311D63"/>
    <w:rsid w:val="00322DB9"/>
    <w:rsid w:val="00324A82"/>
    <w:rsid w:val="00333985"/>
    <w:rsid w:val="003644CA"/>
    <w:rsid w:val="00381373"/>
    <w:rsid w:val="00384649"/>
    <w:rsid w:val="003853C2"/>
    <w:rsid w:val="003B3763"/>
    <w:rsid w:val="003B712B"/>
    <w:rsid w:val="003C14D4"/>
    <w:rsid w:val="003D20EF"/>
    <w:rsid w:val="003E7401"/>
    <w:rsid w:val="004026B8"/>
    <w:rsid w:val="0041136D"/>
    <w:rsid w:val="0042271F"/>
    <w:rsid w:val="004228FD"/>
    <w:rsid w:val="00423BEB"/>
    <w:rsid w:val="00466F9B"/>
    <w:rsid w:val="00481B95"/>
    <w:rsid w:val="004A3963"/>
    <w:rsid w:val="004A4114"/>
    <w:rsid w:val="004B058D"/>
    <w:rsid w:val="004D53BA"/>
    <w:rsid w:val="004E3D18"/>
    <w:rsid w:val="00500E9D"/>
    <w:rsid w:val="005023BD"/>
    <w:rsid w:val="00532D9E"/>
    <w:rsid w:val="00543837"/>
    <w:rsid w:val="005458FA"/>
    <w:rsid w:val="00554D89"/>
    <w:rsid w:val="00571207"/>
    <w:rsid w:val="0057495F"/>
    <w:rsid w:val="00575BF4"/>
    <w:rsid w:val="00582F5F"/>
    <w:rsid w:val="005B5A5E"/>
    <w:rsid w:val="005D7820"/>
    <w:rsid w:val="005E1978"/>
    <w:rsid w:val="00670C99"/>
    <w:rsid w:val="00675D83"/>
    <w:rsid w:val="00694285"/>
    <w:rsid w:val="006A0A69"/>
    <w:rsid w:val="006B0456"/>
    <w:rsid w:val="006B16BD"/>
    <w:rsid w:val="006B54CD"/>
    <w:rsid w:val="006D0987"/>
    <w:rsid w:val="006D2044"/>
    <w:rsid w:val="006D5BBF"/>
    <w:rsid w:val="006D5D8B"/>
    <w:rsid w:val="006E1024"/>
    <w:rsid w:val="006F2E6B"/>
    <w:rsid w:val="00707564"/>
    <w:rsid w:val="00735C0A"/>
    <w:rsid w:val="007526BF"/>
    <w:rsid w:val="0075534B"/>
    <w:rsid w:val="00755936"/>
    <w:rsid w:val="00756CF6"/>
    <w:rsid w:val="007720F1"/>
    <w:rsid w:val="007A453E"/>
    <w:rsid w:val="007D0D33"/>
    <w:rsid w:val="007D7FDA"/>
    <w:rsid w:val="00804042"/>
    <w:rsid w:val="008312B9"/>
    <w:rsid w:val="00831A43"/>
    <w:rsid w:val="00842DCE"/>
    <w:rsid w:val="00875A4F"/>
    <w:rsid w:val="00887CE9"/>
    <w:rsid w:val="008A0EE0"/>
    <w:rsid w:val="008A61F0"/>
    <w:rsid w:val="008C2D41"/>
    <w:rsid w:val="008D6C36"/>
    <w:rsid w:val="008D6CAC"/>
    <w:rsid w:val="008F086E"/>
    <w:rsid w:val="00903736"/>
    <w:rsid w:val="009150BD"/>
    <w:rsid w:val="0092089A"/>
    <w:rsid w:val="00952776"/>
    <w:rsid w:val="0096052E"/>
    <w:rsid w:val="00980B1F"/>
    <w:rsid w:val="00981CCA"/>
    <w:rsid w:val="009840E1"/>
    <w:rsid w:val="00995504"/>
    <w:rsid w:val="009C2FF5"/>
    <w:rsid w:val="009E5F16"/>
    <w:rsid w:val="009F20B3"/>
    <w:rsid w:val="009F7A13"/>
    <w:rsid w:val="00A13E8C"/>
    <w:rsid w:val="00A60B87"/>
    <w:rsid w:val="00A62FD2"/>
    <w:rsid w:val="00A67B0F"/>
    <w:rsid w:val="00A74939"/>
    <w:rsid w:val="00A74FFE"/>
    <w:rsid w:val="00A81780"/>
    <w:rsid w:val="00A84F39"/>
    <w:rsid w:val="00AD532D"/>
    <w:rsid w:val="00B21FDA"/>
    <w:rsid w:val="00B26B1F"/>
    <w:rsid w:val="00B37094"/>
    <w:rsid w:val="00B50580"/>
    <w:rsid w:val="00B562F6"/>
    <w:rsid w:val="00B61CE6"/>
    <w:rsid w:val="00B72DEE"/>
    <w:rsid w:val="00B77778"/>
    <w:rsid w:val="00B91F80"/>
    <w:rsid w:val="00BA0ADA"/>
    <w:rsid w:val="00BA7AF3"/>
    <w:rsid w:val="00BC7754"/>
    <w:rsid w:val="00BE7FA6"/>
    <w:rsid w:val="00BF7E36"/>
    <w:rsid w:val="00C16339"/>
    <w:rsid w:val="00C31994"/>
    <w:rsid w:val="00C57A31"/>
    <w:rsid w:val="00C74517"/>
    <w:rsid w:val="00C75A64"/>
    <w:rsid w:val="00C779FB"/>
    <w:rsid w:val="00C85434"/>
    <w:rsid w:val="00C906C9"/>
    <w:rsid w:val="00CA48EE"/>
    <w:rsid w:val="00CC204F"/>
    <w:rsid w:val="00CD15E7"/>
    <w:rsid w:val="00CF06FA"/>
    <w:rsid w:val="00D06B8B"/>
    <w:rsid w:val="00D30117"/>
    <w:rsid w:val="00D370D6"/>
    <w:rsid w:val="00D53084"/>
    <w:rsid w:val="00D60486"/>
    <w:rsid w:val="00D612FD"/>
    <w:rsid w:val="00D65C2D"/>
    <w:rsid w:val="00D67AB8"/>
    <w:rsid w:val="00D71802"/>
    <w:rsid w:val="00D758FA"/>
    <w:rsid w:val="00D8642C"/>
    <w:rsid w:val="00D97BD7"/>
    <w:rsid w:val="00DC4EF8"/>
    <w:rsid w:val="00DD24C3"/>
    <w:rsid w:val="00DD7D12"/>
    <w:rsid w:val="00E350C5"/>
    <w:rsid w:val="00E43DEA"/>
    <w:rsid w:val="00E5648C"/>
    <w:rsid w:val="00E6299D"/>
    <w:rsid w:val="00E66F8B"/>
    <w:rsid w:val="00E72FA5"/>
    <w:rsid w:val="00ED163B"/>
    <w:rsid w:val="00EF4155"/>
    <w:rsid w:val="00F009E2"/>
    <w:rsid w:val="00F05459"/>
    <w:rsid w:val="00F226A9"/>
    <w:rsid w:val="00F62C46"/>
    <w:rsid w:val="00F80F9E"/>
    <w:rsid w:val="00F86552"/>
    <w:rsid w:val="00FC1436"/>
    <w:rsid w:val="00FC1498"/>
    <w:rsid w:val="00FE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C68E"/>
  <w15:docId w15:val="{92B22107-20D1-42FE-95AD-B12F9D9C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05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50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0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058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B5058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5058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50580"/>
    <w:rPr>
      <w:sz w:val="20"/>
      <w:szCs w:val="20"/>
    </w:rPr>
  </w:style>
  <w:style w:type="paragraph" w:styleId="NormaleWeb">
    <w:name w:val="Normal (Web)"/>
    <w:basedOn w:val="Normale"/>
    <w:uiPriority w:val="99"/>
    <w:unhideWhenUsed/>
    <w:rsid w:val="00B50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E35F3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2E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2E6B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13E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3E8C"/>
  </w:style>
  <w:style w:type="paragraph" w:styleId="Pidipagina">
    <w:name w:val="footer"/>
    <w:basedOn w:val="Normale"/>
    <w:link w:val="PidipaginaCarattere"/>
    <w:uiPriority w:val="99"/>
    <w:unhideWhenUsed/>
    <w:rsid w:val="00A13E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3E8C"/>
  </w:style>
  <w:style w:type="character" w:styleId="Numeroriga">
    <w:name w:val="line number"/>
    <w:basedOn w:val="Carpredefinitoparagrafo"/>
    <w:uiPriority w:val="99"/>
    <w:semiHidden/>
    <w:unhideWhenUsed/>
    <w:rsid w:val="00A13E8C"/>
  </w:style>
  <w:style w:type="paragraph" w:styleId="Revisione">
    <w:name w:val="Revision"/>
    <w:hidden/>
    <w:uiPriority w:val="99"/>
    <w:semiHidden/>
    <w:rsid w:val="00F009E2"/>
    <w:pPr>
      <w:spacing w:after="0" w:line="240" w:lineRule="auto"/>
    </w:pPr>
  </w:style>
  <w:style w:type="character" w:styleId="Enfasigrassetto">
    <w:name w:val="Strong"/>
    <w:basedOn w:val="Carpredefinitoparagrafo"/>
    <w:uiPriority w:val="22"/>
    <w:qFormat/>
    <w:rsid w:val="00ED163B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E5648C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5648C"/>
    <w:rPr>
      <w:i/>
      <w:iCs/>
    </w:rPr>
  </w:style>
  <w:style w:type="paragraph" w:customStyle="1" w:styleId="Bulletpoints5">
    <w:name w:val="Bulletpoints Ü5"/>
    <w:basedOn w:val="Normale"/>
    <w:qFormat/>
    <w:rsid w:val="001C4466"/>
    <w:pPr>
      <w:numPr>
        <w:numId w:val="3"/>
      </w:numPr>
      <w:spacing w:before="120" w:after="0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771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53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8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conductor.org/packages/release/bioc/html/TCseq.html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15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ngm</dc:creator>
  <cp:lastModifiedBy>elisacallegari@outlook.it</cp:lastModifiedBy>
  <cp:revision>9</cp:revision>
  <cp:lastPrinted>2025-11-08T08:43:00Z</cp:lastPrinted>
  <dcterms:created xsi:type="dcterms:W3CDTF">2025-11-07T14:11:00Z</dcterms:created>
  <dcterms:modified xsi:type="dcterms:W3CDTF">2025-11-08T08:43:00Z</dcterms:modified>
</cp:coreProperties>
</file>