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07F21" w14:textId="77777777" w:rsidR="00685E66" w:rsidRPr="00DA1DBB" w:rsidRDefault="00685E66" w:rsidP="00685E66">
      <w:pPr>
        <w:spacing w:line="480" w:lineRule="auto"/>
        <w:jc w:val="both"/>
        <w:rPr>
          <w:b/>
          <w:bCs/>
          <w:color w:val="000000" w:themeColor="text1"/>
          <w:sz w:val="24"/>
          <w:szCs w:val="24"/>
        </w:rPr>
      </w:pPr>
      <w:r w:rsidRPr="00DA1DBB">
        <w:rPr>
          <w:b/>
          <w:bCs/>
          <w:color w:val="000000" w:themeColor="text1"/>
          <w:sz w:val="24"/>
          <w:szCs w:val="24"/>
        </w:rPr>
        <w:t>MATERIALS AND METHODS</w:t>
      </w:r>
    </w:p>
    <w:p w14:paraId="46AA01C9" w14:textId="77777777" w:rsidR="00685E66" w:rsidRPr="00DA1DBB" w:rsidRDefault="00685E66" w:rsidP="00685E66">
      <w:pPr>
        <w:spacing w:line="480" w:lineRule="auto"/>
        <w:jc w:val="both"/>
        <w:rPr>
          <w:color w:val="000000" w:themeColor="text1"/>
          <w:sz w:val="24"/>
          <w:szCs w:val="24"/>
        </w:rPr>
      </w:pPr>
    </w:p>
    <w:p w14:paraId="03134BF9" w14:textId="77777777" w:rsidR="00685E66" w:rsidRPr="00DA1DBB" w:rsidRDefault="00685E66" w:rsidP="00685E66">
      <w:pPr>
        <w:spacing w:line="480" w:lineRule="auto"/>
        <w:jc w:val="both"/>
        <w:rPr>
          <w:b/>
          <w:bCs/>
          <w:color w:val="000000" w:themeColor="text1"/>
          <w:sz w:val="24"/>
          <w:szCs w:val="24"/>
        </w:rPr>
      </w:pPr>
      <w:r w:rsidRPr="00DA1DBB">
        <w:rPr>
          <w:b/>
          <w:bCs/>
          <w:color w:val="000000" w:themeColor="text1"/>
          <w:sz w:val="24"/>
          <w:szCs w:val="24"/>
        </w:rPr>
        <w:t>Study design</w:t>
      </w:r>
    </w:p>
    <w:p w14:paraId="16563BAB"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The aim of this work was to study the contribution of stromal cells to the tumor microenvironment and their interactions with cancer cells, to identify the stromal cells secreted mediators promoting carcinogenesis, and to assess the diagnostic validity of the identified mediators in colon adenocarcinoma. For in vitro studies, we selected colon fibroblasts from non-metastasized cancer that supported either proliferation of migration of colon cancer cells, respectively. The aim of the </w:t>
      </w:r>
      <w:r w:rsidRPr="00DA1DBB">
        <w:rPr>
          <w:i/>
          <w:iCs/>
          <w:color w:val="000000" w:themeColor="text1"/>
          <w:sz w:val="24"/>
          <w:szCs w:val="24"/>
        </w:rPr>
        <w:t>in vitro</w:t>
      </w:r>
      <w:r w:rsidRPr="00DA1DBB">
        <w:rPr>
          <w:color w:val="000000" w:themeColor="text1"/>
          <w:sz w:val="24"/>
          <w:szCs w:val="24"/>
        </w:rPr>
        <w:t xml:space="preserve"> studies was to identify stromal paracrine factors that mediate the tumor stroma interaction. The aim of the patient studies was to validate the abnormalities in the expression of the stromal mediators from urine samples. Due to low numbers of persons included into each cohort, we selected homogenous populations of persons to minimize the interpersonal differences in the expression of the stromal mediators.</w:t>
      </w:r>
    </w:p>
    <w:p w14:paraId="053BC90C" w14:textId="77777777" w:rsidR="00685E66" w:rsidRPr="00DA1DBB" w:rsidRDefault="00685E66" w:rsidP="00685E66">
      <w:pPr>
        <w:spacing w:line="480" w:lineRule="auto"/>
        <w:jc w:val="both"/>
        <w:rPr>
          <w:color w:val="000000" w:themeColor="text1"/>
          <w:sz w:val="24"/>
          <w:szCs w:val="24"/>
        </w:rPr>
      </w:pPr>
    </w:p>
    <w:p w14:paraId="619C8522" w14:textId="77777777" w:rsidR="00685E66" w:rsidRPr="00DA1DBB" w:rsidRDefault="00685E66" w:rsidP="00685E66">
      <w:pPr>
        <w:spacing w:line="480" w:lineRule="auto"/>
        <w:jc w:val="both"/>
        <w:rPr>
          <w:b/>
          <w:bCs/>
          <w:color w:val="000000" w:themeColor="text1"/>
          <w:sz w:val="24"/>
          <w:szCs w:val="24"/>
        </w:rPr>
      </w:pPr>
      <w:r w:rsidRPr="00DA1DBB">
        <w:rPr>
          <w:b/>
          <w:bCs/>
          <w:color w:val="000000" w:themeColor="text1"/>
          <w:sz w:val="24"/>
          <w:szCs w:val="24"/>
        </w:rPr>
        <w:t>Cell lines and patient-derived primary cells</w:t>
      </w:r>
    </w:p>
    <w:p w14:paraId="4CAC56E5" w14:textId="0D189231"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All primary cells were cultured in </w:t>
      </w:r>
      <w:r w:rsidRPr="00DA1DBB">
        <w:rPr>
          <w:color w:val="000000" w:themeColor="text1"/>
          <w:sz w:val="24"/>
          <w:szCs w:val="24"/>
        </w:rPr>
        <w:sym w:font="Symbol" w:char="F061"/>
      </w:r>
      <w:r w:rsidRPr="00DA1DBB">
        <w:rPr>
          <w:color w:val="000000" w:themeColor="text1"/>
          <w:sz w:val="24"/>
          <w:szCs w:val="24"/>
        </w:rPr>
        <w:t>MEM (</w:t>
      </w:r>
      <w:proofErr w:type="spellStart"/>
      <w:r w:rsidRPr="00DA1DBB">
        <w:rPr>
          <w:color w:val="000000" w:themeColor="text1"/>
          <w:sz w:val="24"/>
          <w:szCs w:val="24"/>
        </w:rPr>
        <w:t>Euroclone</w:t>
      </w:r>
      <w:proofErr w:type="spellEnd"/>
      <w:r w:rsidRPr="00DA1DBB">
        <w:rPr>
          <w:color w:val="000000" w:themeColor="text1"/>
          <w:sz w:val="24"/>
          <w:szCs w:val="24"/>
        </w:rPr>
        <w:t>, Milano, IT) supplemented with 10 % defined fetal bovine serum (FBS) (GE-Healthcare, Chicago, IL, USA), non-essential amino acids (</w:t>
      </w:r>
      <w:proofErr w:type="spellStart"/>
      <w:r w:rsidRPr="00DA1DBB">
        <w:rPr>
          <w:color w:val="000000" w:themeColor="text1"/>
          <w:sz w:val="24"/>
          <w:szCs w:val="24"/>
        </w:rPr>
        <w:t>Euroclone</w:t>
      </w:r>
      <w:proofErr w:type="spellEnd"/>
      <w:r w:rsidRPr="00DA1DBB">
        <w:rPr>
          <w:color w:val="000000" w:themeColor="text1"/>
          <w:sz w:val="24"/>
          <w:szCs w:val="24"/>
        </w:rPr>
        <w:t>) L-alanine-L-glutamine (</w:t>
      </w:r>
      <w:proofErr w:type="spellStart"/>
      <w:r w:rsidRPr="00DA1DBB">
        <w:rPr>
          <w:color w:val="000000" w:themeColor="text1"/>
          <w:sz w:val="24"/>
          <w:szCs w:val="24"/>
        </w:rPr>
        <w:t>Euroclone</w:t>
      </w:r>
      <w:proofErr w:type="spellEnd"/>
      <w:r w:rsidRPr="00DA1DBB">
        <w:rPr>
          <w:color w:val="000000" w:themeColor="text1"/>
          <w:sz w:val="24"/>
          <w:szCs w:val="24"/>
        </w:rPr>
        <w:t>), and penicillin/streptomycin (</w:t>
      </w:r>
      <w:proofErr w:type="spellStart"/>
      <w:r w:rsidRPr="00DA1DBB">
        <w:rPr>
          <w:color w:val="000000" w:themeColor="text1"/>
          <w:sz w:val="24"/>
          <w:szCs w:val="24"/>
        </w:rPr>
        <w:t>Euroclone</w:t>
      </w:r>
      <w:proofErr w:type="spellEnd"/>
      <w:r w:rsidRPr="00DA1DBB">
        <w:rPr>
          <w:color w:val="000000" w:themeColor="text1"/>
          <w:sz w:val="24"/>
          <w:szCs w:val="24"/>
        </w:rPr>
        <w:t>). Colorectal carcinoma</w:t>
      </w:r>
      <w:r w:rsidR="00EC6F42" w:rsidRPr="00DA1DBB">
        <w:rPr>
          <w:color w:val="000000" w:themeColor="text1"/>
          <w:sz w:val="24"/>
          <w:szCs w:val="24"/>
        </w:rPr>
        <w:t xml:space="preserve"> C</w:t>
      </w:r>
      <w:r w:rsidR="005F06B7" w:rsidRPr="00DA1DBB">
        <w:rPr>
          <w:color w:val="000000" w:themeColor="text1"/>
          <w:sz w:val="24"/>
          <w:szCs w:val="24"/>
        </w:rPr>
        <w:t>a</w:t>
      </w:r>
      <w:r w:rsidR="00EC6F42" w:rsidRPr="00DA1DBB">
        <w:rPr>
          <w:color w:val="000000" w:themeColor="text1"/>
          <w:sz w:val="24"/>
          <w:szCs w:val="24"/>
        </w:rPr>
        <w:t>Co2, DLD1, and</w:t>
      </w:r>
      <w:r w:rsidRPr="00DA1DBB">
        <w:rPr>
          <w:color w:val="000000" w:themeColor="text1"/>
          <w:sz w:val="24"/>
          <w:szCs w:val="24"/>
        </w:rPr>
        <w:t xml:space="preserve"> HCT116 cells (ATTC, Manassas, VA, USA) were grown in DMEM (</w:t>
      </w:r>
      <w:proofErr w:type="spellStart"/>
      <w:r w:rsidRPr="00DA1DBB">
        <w:rPr>
          <w:color w:val="000000" w:themeColor="text1"/>
          <w:sz w:val="24"/>
          <w:szCs w:val="24"/>
        </w:rPr>
        <w:t>Euroclone</w:t>
      </w:r>
      <w:proofErr w:type="spellEnd"/>
      <w:r w:rsidRPr="00DA1DBB">
        <w:rPr>
          <w:color w:val="000000" w:themeColor="text1"/>
          <w:sz w:val="24"/>
          <w:szCs w:val="24"/>
        </w:rPr>
        <w:t>) supplemented with</w:t>
      </w:r>
      <w:r w:rsidR="00EC6F42" w:rsidRPr="00DA1DBB">
        <w:rPr>
          <w:color w:val="000000" w:themeColor="text1"/>
          <w:sz w:val="24"/>
          <w:szCs w:val="24"/>
        </w:rPr>
        <w:t xml:space="preserve"> 10</w:t>
      </w:r>
      <w:r w:rsidR="005622CD" w:rsidRPr="00DA1DBB">
        <w:rPr>
          <w:color w:val="000000" w:themeColor="text1"/>
          <w:sz w:val="24"/>
          <w:szCs w:val="24"/>
        </w:rPr>
        <w:t xml:space="preserve"> </w:t>
      </w:r>
      <w:r w:rsidR="00EC6F42" w:rsidRPr="00DA1DBB">
        <w:rPr>
          <w:color w:val="000000" w:themeColor="text1"/>
          <w:sz w:val="24"/>
          <w:szCs w:val="24"/>
        </w:rPr>
        <w:t>% FBS (</w:t>
      </w:r>
      <w:proofErr w:type="spellStart"/>
      <w:r w:rsidR="00EC6F42" w:rsidRPr="00DA1DBB">
        <w:rPr>
          <w:color w:val="000000" w:themeColor="text1"/>
          <w:sz w:val="24"/>
          <w:szCs w:val="24"/>
        </w:rPr>
        <w:t>Euroclone</w:t>
      </w:r>
      <w:proofErr w:type="spellEnd"/>
      <w:r w:rsidR="00EC6F42" w:rsidRPr="00DA1DBB">
        <w:rPr>
          <w:color w:val="000000" w:themeColor="text1"/>
          <w:sz w:val="24"/>
          <w:szCs w:val="24"/>
        </w:rPr>
        <w:t>),</w:t>
      </w:r>
      <w:r w:rsidRPr="00DA1DBB">
        <w:rPr>
          <w:color w:val="000000" w:themeColor="text1"/>
          <w:sz w:val="24"/>
          <w:szCs w:val="24"/>
        </w:rPr>
        <w:t xml:space="preserve"> glutamine (</w:t>
      </w:r>
      <w:proofErr w:type="spellStart"/>
      <w:r w:rsidRPr="00DA1DBB">
        <w:rPr>
          <w:color w:val="000000" w:themeColor="text1"/>
          <w:sz w:val="24"/>
          <w:szCs w:val="24"/>
        </w:rPr>
        <w:t>Euroclone</w:t>
      </w:r>
      <w:proofErr w:type="spellEnd"/>
      <w:r w:rsidRPr="00DA1DBB">
        <w:rPr>
          <w:color w:val="000000" w:themeColor="text1"/>
          <w:sz w:val="24"/>
          <w:szCs w:val="24"/>
        </w:rPr>
        <w:t>) and penicillin/streptomycin (</w:t>
      </w:r>
      <w:proofErr w:type="spellStart"/>
      <w:r w:rsidRPr="00DA1DBB">
        <w:rPr>
          <w:color w:val="000000" w:themeColor="text1"/>
          <w:sz w:val="24"/>
          <w:szCs w:val="24"/>
        </w:rPr>
        <w:t>Euroclone</w:t>
      </w:r>
      <w:proofErr w:type="spellEnd"/>
      <w:r w:rsidRPr="00DA1DBB">
        <w:rPr>
          <w:color w:val="000000" w:themeColor="text1"/>
          <w:sz w:val="24"/>
          <w:szCs w:val="24"/>
        </w:rPr>
        <w:t>).</w:t>
      </w:r>
    </w:p>
    <w:p w14:paraId="0A8E7E77"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br/>
        <w:t xml:space="preserve">Ethical approval for the isolation of colon fibroblasts and urine collection was obtained from the ethical committees of </w:t>
      </w:r>
      <w:proofErr w:type="spellStart"/>
      <w:r w:rsidRPr="00DA1DBB">
        <w:rPr>
          <w:color w:val="000000" w:themeColor="text1"/>
          <w:sz w:val="24"/>
          <w:szCs w:val="24"/>
        </w:rPr>
        <w:t>Monaldi</w:t>
      </w:r>
      <w:proofErr w:type="spellEnd"/>
      <w:r w:rsidRPr="00DA1DBB">
        <w:rPr>
          <w:color w:val="000000" w:themeColor="text1"/>
          <w:sz w:val="24"/>
          <w:szCs w:val="24"/>
        </w:rPr>
        <w:t xml:space="preserve"> Hospital, Naples, Italy (Project 2013-01-02, deliberation number 1293), the University of Naples Federico II, Naples, Italy (Protocol 394/19), and </w:t>
      </w:r>
      <w:r w:rsidRPr="00DA1DBB">
        <w:rPr>
          <w:color w:val="000000" w:themeColor="text1"/>
          <w:sz w:val="24"/>
          <w:szCs w:val="24"/>
          <w:lang w:eastAsia="it-IT"/>
        </w:rPr>
        <w:t xml:space="preserve">from </w:t>
      </w:r>
      <w:r w:rsidRPr="00DA1DBB">
        <w:rPr>
          <w:color w:val="000000" w:themeColor="text1"/>
          <w:sz w:val="24"/>
          <w:szCs w:val="24"/>
          <w:lang w:eastAsia="it-IT"/>
        </w:rPr>
        <w:lastRenderedPageBreak/>
        <w:t xml:space="preserve">the Clinical </w:t>
      </w:r>
      <w:proofErr w:type="spellStart"/>
      <w:r w:rsidRPr="00DA1DBB">
        <w:rPr>
          <w:color w:val="000000" w:themeColor="text1"/>
          <w:sz w:val="24"/>
          <w:szCs w:val="24"/>
          <w:lang w:eastAsia="it-IT"/>
        </w:rPr>
        <w:t>Mediterranea</w:t>
      </w:r>
      <w:proofErr w:type="spellEnd"/>
      <w:r w:rsidRPr="00DA1DBB">
        <w:rPr>
          <w:color w:val="000000" w:themeColor="text1"/>
          <w:sz w:val="24"/>
          <w:szCs w:val="24"/>
          <w:lang w:eastAsia="it-IT"/>
        </w:rPr>
        <w:t xml:space="preserve"> hospital, Naples, Italy (Authorization released by Medical Director on 24.5.2023).</w:t>
      </w:r>
      <w:r w:rsidRPr="00DA1DBB">
        <w:rPr>
          <w:color w:val="000000" w:themeColor="text1"/>
          <w:sz w:val="24"/>
          <w:szCs w:val="24"/>
        </w:rPr>
        <w:t xml:space="preserve"> Informed consent was obtained from all participating patients. The study was performed in accordance with the Declaration of Helsinki.</w:t>
      </w:r>
    </w:p>
    <w:p w14:paraId="17964498" w14:textId="77777777" w:rsidR="00685E66" w:rsidRPr="00DA1DBB" w:rsidRDefault="00685E66" w:rsidP="00685E66">
      <w:pPr>
        <w:spacing w:line="480" w:lineRule="auto"/>
        <w:jc w:val="both"/>
        <w:rPr>
          <w:color w:val="000000" w:themeColor="text1"/>
          <w:sz w:val="24"/>
          <w:szCs w:val="24"/>
        </w:rPr>
      </w:pPr>
    </w:p>
    <w:p w14:paraId="186C120D" w14:textId="77777777" w:rsidR="005622CD" w:rsidRPr="00DA1DBB" w:rsidRDefault="005622CD" w:rsidP="005622CD">
      <w:pPr>
        <w:spacing w:line="480" w:lineRule="auto"/>
        <w:jc w:val="both"/>
        <w:rPr>
          <w:color w:val="000000" w:themeColor="text1"/>
          <w:sz w:val="24"/>
          <w:szCs w:val="24"/>
        </w:rPr>
      </w:pPr>
      <w:r w:rsidRPr="00DA1DBB">
        <w:rPr>
          <w:color w:val="000000" w:themeColor="text1"/>
          <w:sz w:val="24"/>
          <w:szCs w:val="24"/>
        </w:rPr>
        <w:t xml:space="preserve">Diagnosis of primary cell donor patients; </w:t>
      </w:r>
      <w:r w:rsidRPr="00DA1DBB">
        <w:rPr>
          <w:b/>
          <w:bCs/>
          <w:color w:val="000000" w:themeColor="text1"/>
          <w:sz w:val="24"/>
          <w:szCs w:val="24"/>
        </w:rPr>
        <w:t>Adenoma patient</w:t>
      </w:r>
      <w:r w:rsidRPr="00DA1DBB">
        <w:rPr>
          <w:color w:val="000000" w:themeColor="text1"/>
          <w:sz w:val="24"/>
          <w:szCs w:val="24"/>
        </w:rPr>
        <w:t xml:space="preserve">: </w:t>
      </w:r>
      <w:proofErr w:type="spellStart"/>
      <w:r w:rsidRPr="00DA1DBB">
        <w:rPr>
          <w:color w:val="000000" w:themeColor="text1"/>
          <w:sz w:val="24"/>
          <w:szCs w:val="24"/>
        </w:rPr>
        <w:t>Tubulovillous</w:t>
      </w:r>
      <w:proofErr w:type="spellEnd"/>
      <w:r w:rsidRPr="00DA1DBB">
        <w:rPr>
          <w:color w:val="000000" w:themeColor="text1"/>
          <w:sz w:val="24"/>
          <w:szCs w:val="24"/>
        </w:rPr>
        <w:t xml:space="preserve"> adenoma with low-grade dysplasia. </w:t>
      </w:r>
      <w:r w:rsidRPr="00DA1DBB">
        <w:rPr>
          <w:b/>
          <w:bCs/>
          <w:color w:val="000000" w:themeColor="text1"/>
          <w:sz w:val="24"/>
          <w:szCs w:val="24"/>
        </w:rPr>
        <w:t>Adenocarcinoma patient</w:t>
      </w:r>
      <w:r w:rsidRPr="00DA1DBB">
        <w:rPr>
          <w:color w:val="000000" w:themeColor="text1"/>
          <w:sz w:val="24"/>
          <w:szCs w:val="24"/>
        </w:rPr>
        <w:t xml:space="preserve">: Moderately differentiated intestinal adenocarcinoma infiltrating the full thickness of the muscular wall and extending to the subserosa. Reactive lymph nodes. Chronic cholecystitis. Pathologic stage: pT3 N0 MX. </w:t>
      </w:r>
      <w:r w:rsidRPr="00DA1DBB">
        <w:rPr>
          <w:b/>
          <w:bCs/>
          <w:color w:val="000000" w:themeColor="text1"/>
          <w:sz w:val="24"/>
          <w:szCs w:val="24"/>
        </w:rPr>
        <w:t>Metastasized adenocarcinoma patient</w:t>
      </w:r>
      <w:r w:rsidRPr="00DA1DBB">
        <w:rPr>
          <w:color w:val="000000" w:themeColor="text1"/>
          <w:sz w:val="24"/>
          <w:szCs w:val="24"/>
        </w:rPr>
        <w:t>: Moderately differentiated adenocarcinoma with early infiltration of adipose tissue. Metastatic involvement of one lymph node. Pathologic stage: pT3 N1, Dukes’ stage C2.</w:t>
      </w:r>
    </w:p>
    <w:p w14:paraId="27378813" w14:textId="77777777" w:rsidR="005622CD" w:rsidRPr="00DA1DBB" w:rsidRDefault="005622CD" w:rsidP="00685E66">
      <w:pPr>
        <w:spacing w:line="480" w:lineRule="auto"/>
        <w:jc w:val="both"/>
        <w:rPr>
          <w:color w:val="000000" w:themeColor="text1"/>
          <w:sz w:val="24"/>
          <w:szCs w:val="24"/>
        </w:rPr>
      </w:pPr>
    </w:p>
    <w:p w14:paraId="7AD238E2"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Primary benign adeno TAFs, adenocarcinoma TAFs, and their naïve counterpart fibroblasts (isolated approximately 20 cm from the tumor from a normal segment of the colon that was histologically confirmed to be free of neoplasia) were isolated by cutting the tissue into small pieces, which were then incubated overnight at 37 °C in </w:t>
      </w:r>
      <w:r w:rsidRPr="00DA1DBB">
        <w:rPr>
          <w:color w:val="000000" w:themeColor="text1"/>
          <w:sz w:val="24"/>
          <w:szCs w:val="24"/>
        </w:rPr>
        <w:sym w:font="Symbol" w:char="F061"/>
      </w:r>
      <w:r w:rsidRPr="00DA1DBB">
        <w:rPr>
          <w:color w:val="000000" w:themeColor="text1"/>
          <w:sz w:val="24"/>
          <w:szCs w:val="24"/>
        </w:rPr>
        <w:t>MEM (</w:t>
      </w:r>
      <w:proofErr w:type="spellStart"/>
      <w:r w:rsidRPr="00DA1DBB">
        <w:rPr>
          <w:color w:val="000000" w:themeColor="text1"/>
          <w:sz w:val="24"/>
          <w:szCs w:val="24"/>
        </w:rPr>
        <w:t>Euroclone</w:t>
      </w:r>
      <w:proofErr w:type="spellEnd"/>
      <w:r w:rsidRPr="00DA1DBB">
        <w:rPr>
          <w:color w:val="000000" w:themeColor="text1"/>
          <w:sz w:val="24"/>
          <w:szCs w:val="24"/>
        </w:rPr>
        <w:t xml:space="preserve">) supplemented with antibiotic-antimycotic and gentamicin, along with collagenase type II at 150 U/ml (Gibco, Waltham, MA, USA). The following day, undigested tissue fragments were removed via centrifugation, and the supernatant was plated onto gelatin (1 g/l) coated dishes in </w:t>
      </w:r>
      <w:r w:rsidRPr="00DA1DBB">
        <w:rPr>
          <w:color w:val="000000" w:themeColor="text1"/>
          <w:sz w:val="24"/>
          <w:szCs w:val="24"/>
        </w:rPr>
        <w:sym w:font="Symbol" w:char="F061"/>
      </w:r>
      <w:r w:rsidRPr="00DA1DBB">
        <w:rPr>
          <w:color w:val="000000" w:themeColor="text1"/>
          <w:sz w:val="24"/>
          <w:szCs w:val="24"/>
        </w:rPr>
        <w:t>MEM supplemented with 10 % defined fetal bovine serum, non-essential amino acids, L-alanine-L-glutamine, penicillin/streptomycin, antibiotic-antimycotic and gentamicin. The cell culture medium and antibiotics were refreshed daily during the initial weeks of the primary cell isolation. The cells were passaged for the first time when the culture reached approximately 30 % confluence. Primary fibroblasts at passages 6-8 were utilized for the study.</w:t>
      </w:r>
    </w:p>
    <w:p w14:paraId="6DDD22BF" w14:textId="77777777" w:rsidR="00685E66" w:rsidRPr="00DA1DBB" w:rsidRDefault="00685E66" w:rsidP="00685E66">
      <w:pPr>
        <w:spacing w:line="480" w:lineRule="auto"/>
        <w:jc w:val="both"/>
        <w:rPr>
          <w:color w:val="000000" w:themeColor="text1"/>
          <w:sz w:val="24"/>
          <w:szCs w:val="24"/>
        </w:rPr>
      </w:pPr>
    </w:p>
    <w:p w14:paraId="578AE1E9" w14:textId="77777777" w:rsidR="00685E66" w:rsidRPr="00DA1DBB" w:rsidRDefault="00685E66" w:rsidP="00685E66">
      <w:pPr>
        <w:spacing w:line="480" w:lineRule="auto"/>
        <w:jc w:val="both"/>
        <w:rPr>
          <w:b/>
          <w:bCs/>
          <w:color w:val="000000" w:themeColor="text1"/>
          <w:sz w:val="24"/>
          <w:szCs w:val="24"/>
        </w:rPr>
      </w:pPr>
      <w:proofErr w:type="spellStart"/>
      <w:r w:rsidRPr="00DA1DBB">
        <w:rPr>
          <w:b/>
          <w:bCs/>
          <w:color w:val="000000" w:themeColor="text1"/>
          <w:sz w:val="24"/>
          <w:szCs w:val="24"/>
        </w:rPr>
        <w:lastRenderedPageBreak/>
        <w:t>BrdU</w:t>
      </w:r>
      <w:proofErr w:type="spellEnd"/>
      <w:r w:rsidRPr="00DA1DBB">
        <w:rPr>
          <w:b/>
          <w:bCs/>
          <w:color w:val="000000" w:themeColor="text1"/>
          <w:sz w:val="24"/>
          <w:szCs w:val="24"/>
        </w:rPr>
        <w:t xml:space="preserve"> DNA replication analysis</w:t>
      </w:r>
    </w:p>
    <w:p w14:paraId="06099079" w14:textId="28FFD6E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To investigate the impact of primary mesenchymal cell on cancer cell proliferation,</w:t>
      </w:r>
      <w:r w:rsidR="004D13C7" w:rsidRPr="00DA1DBB">
        <w:rPr>
          <w:color w:val="000000" w:themeColor="text1"/>
          <w:sz w:val="24"/>
          <w:szCs w:val="24"/>
        </w:rPr>
        <w:t xml:space="preserve"> CaCo</w:t>
      </w:r>
      <w:r w:rsidR="004D13C7" w:rsidRPr="00DA1DBB">
        <w:rPr>
          <w:color w:val="000000" w:themeColor="text1"/>
          <w:sz w:val="24"/>
          <w:szCs w:val="24"/>
          <w:vertAlign w:val="subscript"/>
        </w:rPr>
        <w:t>2</w:t>
      </w:r>
      <w:r w:rsidR="004D13C7" w:rsidRPr="00DA1DBB">
        <w:rPr>
          <w:color w:val="000000" w:themeColor="text1"/>
          <w:sz w:val="24"/>
          <w:szCs w:val="24"/>
        </w:rPr>
        <w:t>, DLD1, and</w:t>
      </w:r>
      <w:r w:rsidRPr="00DA1DBB">
        <w:rPr>
          <w:color w:val="000000" w:themeColor="text1"/>
          <w:sz w:val="24"/>
          <w:szCs w:val="24"/>
        </w:rPr>
        <w:t xml:space="preserve"> HCT116 cells were initially seeded onto coverslips (Waldemar </w:t>
      </w:r>
      <w:proofErr w:type="spellStart"/>
      <w:r w:rsidRPr="00DA1DBB">
        <w:rPr>
          <w:color w:val="000000" w:themeColor="text1"/>
          <w:sz w:val="24"/>
          <w:szCs w:val="24"/>
        </w:rPr>
        <w:t>Knittel</w:t>
      </w:r>
      <w:proofErr w:type="spellEnd"/>
      <w:r w:rsidRPr="00DA1DBB">
        <w:rPr>
          <w:color w:val="000000" w:themeColor="text1"/>
          <w:sz w:val="24"/>
          <w:szCs w:val="24"/>
        </w:rPr>
        <w:t xml:space="preserve"> </w:t>
      </w:r>
      <w:proofErr w:type="spellStart"/>
      <w:r w:rsidRPr="00DA1DBB">
        <w:rPr>
          <w:color w:val="000000" w:themeColor="text1"/>
          <w:sz w:val="24"/>
          <w:szCs w:val="24"/>
        </w:rPr>
        <w:t>Glasbearbeituns</w:t>
      </w:r>
      <w:proofErr w:type="spellEnd"/>
      <w:r w:rsidRPr="00DA1DBB">
        <w:rPr>
          <w:color w:val="000000" w:themeColor="text1"/>
          <w:sz w:val="24"/>
          <w:szCs w:val="24"/>
        </w:rPr>
        <w:t>-GmbH, Braunschweig, Germany) and allowed to grow until reaching 60-70 % confluence. Following this, the coverslips were incubated overnight in the presence of primary cell cultures. Naïve colon fibroblasts and colon TAFs, which were approximately 70-80 % confluent at the time of co-culture, were prepared three days in advance in 100x200 mm dishes to facilitate the concentration of paracrine factors in the cell culture medium.</w:t>
      </w:r>
    </w:p>
    <w:p w14:paraId="201717AF" w14:textId="77777777" w:rsidR="00907C21" w:rsidRPr="00DA1DBB" w:rsidRDefault="00907C21" w:rsidP="00685E66">
      <w:pPr>
        <w:spacing w:line="480" w:lineRule="auto"/>
        <w:jc w:val="both"/>
        <w:rPr>
          <w:color w:val="000000" w:themeColor="text1"/>
          <w:sz w:val="24"/>
          <w:szCs w:val="24"/>
        </w:rPr>
      </w:pPr>
    </w:p>
    <w:p w14:paraId="466A7D5E" w14:textId="4FDE6579"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To assess cell proliferation, bromodeoxyuridine (</w:t>
      </w:r>
      <w:proofErr w:type="spellStart"/>
      <w:r w:rsidRPr="00DA1DBB">
        <w:rPr>
          <w:color w:val="000000" w:themeColor="text1"/>
          <w:sz w:val="24"/>
          <w:szCs w:val="24"/>
        </w:rPr>
        <w:t>BrdU</w:t>
      </w:r>
      <w:proofErr w:type="spellEnd"/>
      <w:r w:rsidRPr="00DA1DBB">
        <w:rPr>
          <w:color w:val="000000" w:themeColor="text1"/>
          <w:sz w:val="24"/>
          <w:szCs w:val="24"/>
        </w:rPr>
        <w:t xml:space="preserve">) was added to the co-culture medium at a concentration of 10 mM (Roche, Basel, Switzerland) and allowed to incubate for 15 min. The HCT116 cells grown on the coverslips were subsequently fixed using an ethanol fixative solution. </w:t>
      </w:r>
      <w:proofErr w:type="spellStart"/>
      <w:r w:rsidRPr="00DA1DBB">
        <w:rPr>
          <w:color w:val="000000" w:themeColor="text1"/>
          <w:sz w:val="24"/>
          <w:szCs w:val="24"/>
        </w:rPr>
        <w:t>BrdU</w:t>
      </w:r>
      <w:proofErr w:type="spellEnd"/>
      <w:r w:rsidRPr="00DA1DBB">
        <w:rPr>
          <w:color w:val="000000" w:themeColor="text1"/>
          <w:sz w:val="24"/>
          <w:szCs w:val="24"/>
        </w:rPr>
        <w:t xml:space="preserve">-positive cells were then detected using FITC-conjugated secondary antibodies (Jackson </w:t>
      </w:r>
      <w:proofErr w:type="spellStart"/>
      <w:r w:rsidRPr="00DA1DBB">
        <w:rPr>
          <w:color w:val="000000" w:themeColor="text1"/>
          <w:sz w:val="24"/>
          <w:szCs w:val="24"/>
        </w:rPr>
        <w:t>Immuno</w:t>
      </w:r>
      <w:proofErr w:type="spellEnd"/>
      <w:r w:rsidRPr="00DA1DBB">
        <w:rPr>
          <w:color w:val="000000" w:themeColor="text1"/>
          <w:sz w:val="24"/>
          <w:szCs w:val="24"/>
        </w:rPr>
        <w:t xml:space="preserve"> Research Laboratories Inc. West Grove, PA, USA). Nuclei were counterstained with Hoechst dye (Sigma, St. Louis, MO, USA) to enable visualization of cell morphology. </w:t>
      </w:r>
      <w:proofErr w:type="spellStart"/>
      <w:r w:rsidRPr="00DA1DBB">
        <w:rPr>
          <w:color w:val="000000" w:themeColor="text1"/>
          <w:sz w:val="24"/>
          <w:szCs w:val="24"/>
        </w:rPr>
        <w:t>BrdU</w:t>
      </w:r>
      <w:proofErr w:type="spellEnd"/>
      <w:r w:rsidRPr="00DA1DBB">
        <w:rPr>
          <w:color w:val="000000" w:themeColor="text1"/>
          <w:sz w:val="24"/>
          <w:szCs w:val="24"/>
        </w:rPr>
        <w:t>-positive cells were counted across high-power fields using a microscope. As controls, naïve counterpart fibroblasts isolated from the same patients as the TAFs were employed.</w:t>
      </w:r>
      <w:r w:rsidR="00E92715" w:rsidRPr="00DA1DBB">
        <w:rPr>
          <w:color w:val="000000" w:themeColor="text1"/>
          <w:sz w:val="24"/>
          <w:szCs w:val="24"/>
        </w:rPr>
        <w:t xml:space="preserve"> The experiments were repeated at least three times.</w:t>
      </w:r>
    </w:p>
    <w:p w14:paraId="7E584B92" w14:textId="77777777" w:rsidR="00685E66" w:rsidRPr="00DA1DBB" w:rsidRDefault="00685E66" w:rsidP="00685E66">
      <w:pPr>
        <w:spacing w:line="480" w:lineRule="auto"/>
        <w:jc w:val="both"/>
        <w:rPr>
          <w:color w:val="000000" w:themeColor="text1"/>
          <w:sz w:val="24"/>
          <w:szCs w:val="24"/>
        </w:rPr>
      </w:pPr>
    </w:p>
    <w:p w14:paraId="1C582ABC" w14:textId="77777777" w:rsidR="00685E66" w:rsidRPr="00DA1DBB" w:rsidRDefault="00685E66" w:rsidP="00685E66">
      <w:pPr>
        <w:spacing w:line="480" w:lineRule="auto"/>
        <w:jc w:val="both"/>
        <w:rPr>
          <w:b/>
          <w:bCs/>
          <w:color w:val="000000" w:themeColor="text1"/>
          <w:sz w:val="24"/>
          <w:szCs w:val="24"/>
        </w:rPr>
      </w:pPr>
      <w:r w:rsidRPr="00DA1DBB">
        <w:rPr>
          <w:b/>
          <w:bCs/>
          <w:color w:val="000000" w:themeColor="text1"/>
          <w:sz w:val="24"/>
          <w:szCs w:val="24"/>
        </w:rPr>
        <w:t>Matrigel migration analysis</w:t>
      </w:r>
    </w:p>
    <w:p w14:paraId="7D6C2A29" w14:textId="4D745A1D"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For the chemotactic invasion assay, 100 </w:t>
      </w:r>
      <w:r w:rsidRPr="00DA1DBB">
        <w:rPr>
          <w:color w:val="000000" w:themeColor="text1"/>
          <w:sz w:val="24"/>
          <w:szCs w:val="24"/>
        </w:rPr>
        <w:sym w:font="Symbol" w:char="F06D"/>
      </w:r>
      <w:r w:rsidRPr="00DA1DBB">
        <w:rPr>
          <w:color w:val="000000" w:themeColor="text1"/>
          <w:sz w:val="24"/>
          <w:szCs w:val="24"/>
        </w:rPr>
        <w:t xml:space="preserve">l of Matrigel (Corning, Corning, NY, USA) at a concentration of 1 mg/ml was added to migration chambers (8 microns, BD, San Jose, CA, USA) and allowed to stabilize at room temperature for 30 minutes. To evaluate the impact of primary cells on cancer cell migration, stromal cells were cultured in 12-well plates until </w:t>
      </w:r>
      <w:r w:rsidRPr="00DA1DBB">
        <w:rPr>
          <w:color w:val="000000" w:themeColor="text1"/>
          <w:sz w:val="24"/>
          <w:szCs w:val="24"/>
        </w:rPr>
        <w:lastRenderedPageBreak/>
        <w:t>reaching full confluence over a three-day period, enabling the concentration of paracrine factors in the medium.</w:t>
      </w:r>
      <w:r w:rsidR="00E92715" w:rsidRPr="00DA1DBB">
        <w:rPr>
          <w:color w:val="000000" w:themeColor="text1"/>
          <w:sz w:val="24"/>
          <w:szCs w:val="24"/>
        </w:rPr>
        <w:t xml:space="preserve"> The experiments were repeated at least three times.</w:t>
      </w:r>
    </w:p>
    <w:p w14:paraId="399A6C1E" w14:textId="77777777" w:rsidR="00685E66" w:rsidRPr="00DA1DBB" w:rsidRDefault="00685E66" w:rsidP="00685E66">
      <w:pPr>
        <w:spacing w:line="480" w:lineRule="auto"/>
        <w:jc w:val="both"/>
        <w:rPr>
          <w:color w:val="000000" w:themeColor="text1"/>
          <w:sz w:val="24"/>
          <w:szCs w:val="24"/>
        </w:rPr>
      </w:pPr>
    </w:p>
    <w:p w14:paraId="7432933C" w14:textId="03F9409D"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Subsequently, chambers containing 50 000 </w:t>
      </w:r>
      <w:r w:rsidR="00F211B3" w:rsidRPr="00DA1DBB">
        <w:rPr>
          <w:color w:val="000000" w:themeColor="text1"/>
          <w:sz w:val="24"/>
          <w:szCs w:val="24"/>
        </w:rPr>
        <w:t>CaCo</w:t>
      </w:r>
      <w:r w:rsidR="00F211B3" w:rsidRPr="00DA1DBB">
        <w:rPr>
          <w:color w:val="000000" w:themeColor="text1"/>
          <w:sz w:val="24"/>
          <w:szCs w:val="24"/>
          <w:vertAlign w:val="subscript"/>
        </w:rPr>
        <w:t>2</w:t>
      </w:r>
      <w:r w:rsidR="00F211B3" w:rsidRPr="00DA1DBB">
        <w:rPr>
          <w:color w:val="000000" w:themeColor="text1"/>
          <w:sz w:val="24"/>
          <w:szCs w:val="24"/>
        </w:rPr>
        <w:t xml:space="preserve">, DLD1, or </w:t>
      </w:r>
      <w:r w:rsidRPr="00DA1DBB">
        <w:rPr>
          <w:color w:val="000000" w:themeColor="text1"/>
          <w:sz w:val="24"/>
          <w:szCs w:val="24"/>
        </w:rPr>
        <w:t xml:space="preserve">HCT116 cells embedded in Matrigel were transferred to the 12-well stromal cell cultures for an overnight incubation at 37 </w:t>
      </w:r>
      <w:r w:rsidRPr="00DA1DBB">
        <w:rPr>
          <w:color w:val="000000" w:themeColor="text1"/>
          <w:sz w:val="24"/>
          <w:szCs w:val="24"/>
        </w:rPr>
        <w:sym w:font="Symbol" w:char="F0B0"/>
      </w:r>
      <w:r w:rsidRPr="00DA1DBB">
        <w:rPr>
          <w:color w:val="000000" w:themeColor="text1"/>
          <w:sz w:val="24"/>
          <w:szCs w:val="24"/>
        </w:rPr>
        <w:t xml:space="preserve">C. The following day, Matrigel was carefully removed from the chambers, and the migrated cells were fixed with 7 % paraformaldehyde (Sigma). After fixation, the cells were washed with phosphate-buffered saline (PBS) and stained with crystal violet (Sigma) for visualization. The number of migrated cells was quantified in high-power microscope fields. As controls, naïve counterpart fibroblasts isolated from the same patient as the TAFs were utilized. </w:t>
      </w:r>
    </w:p>
    <w:p w14:paraId="29D865BA" w14:textId="77777777" w:rsidR="00907C21" w:rsidRPr="00DA1DBB" w:rsidRDefault="00907C21" w:rsidP="00685E66">
      <w:pPr>
        <w:spacing w:line="480" w:lineRule="auto"/>
        <w:jc w:val="both"/>
        <w:rPr>
          <w:color w:val="000000" w:themeColor="text1"/>
          <w:sz w:val="24"/>
          <w:szCs w:val="24"/>
        </w:rPr>
      </w:pPr>
    </w:p>
    <w:p w14:paraId="53476AEB" w14:textId="77777777" w:rsidR="00685E66" w:rsidRPr="00DA1DBB" w:rsidRDefault="00685E66" w:rsidP="00685E66">
      <w:pPr>
        <w:spacing w:line="480" w:lineRule="auto"/>
        <w:jc w:val="both"/>
        <w:rPr>
          <w:b/>
          <w:bCs/>
          <w:color w:val="000000" w:themeColor="text1"/>
          <w:sz w:val="24"/>
          <w:szCs w:val="24"/>
        </w:rPr>
      </w:pPr>
      <w:r w:rsidRPr="00DA1DBB">
        <w:rPr>
          <w:b/>
          <w:bCs/>
          <w:color w:val="000000" w:themeColor="text1"/>
          <w:sz w:val="24"/>
          <w:szCs w:val="24"/>
        </w:rPr>
        <w:t>Gene expression analysis</w:t>
      </w:r>
    </w:p>
    <w:p w14:paraId="75DD989A"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For expression analysis, mRNA was isolated from cells using the RNeasy Mini Kit (Qiagen, Hilden, Germany) and subsequently reverse transcribed to cDNA using the </w:t>
      </w:r>
      <w:proofErr w:type="spellStart"/>
      <w:r w:rsidRPr="00DA1DBB">
        <w:rPr>
          <w:color w:val="000000" w:themeColor="text1"/>
          <w:sz w:val="24"/>
          <w:szCs w:val="24"/>
        </w:rPr>
        <w:t>QuantiTect</w:t>
      </w:r>
      <w:proofErr w:type="spellEnd"/>
      <w:r w:rsidRPr="00DA1DBB">
        <w:rPr>
          <w:color w:val="000000" w:themeColor="text1"/>
          <w:sz w:val="24"/>
          <w:szCs w:val="24"/>
        </w:rPr>
        <w:t xml:space="preserve"> Reverse Transcription Kit (Qiagen). Quantitative PCR (qPCR) was performed using SYBR Green PCR Master Mix (Applied Biosystems, Foster City, CA, USA). The following primers were utilized for gene amplification:</w:t>
      </w:r>
    </w:p>
    <w:p w14:paraId="513446FA" w14:textId="574B85F3" w:rsidR="00685E66" w:rsidRPr="00DA1DBB" w:rsidRDefault="00685E66" w:rsidP="00685E66">
      <w:pPr>
        <w:pStyle w:val="p"/>
        <w:spacing w:after="0" w:line="480" w:lineRule="auto"/>
        <w:contextualSpacing/>
        <w:jc w:val="both"/>
        <w:rPr>
          <w:bCs/>
          <w:color w:val="000000" w:themeColor="text1"/>
          <w:lang w:eastAsia="it-IT"/>
        </w:rPr>
      </w:pPr>
      <w:r w:rsidRPr="00DA1DBB">
        <w:rPr>
          <w:bCs/>
          <w:i/>
          <w:color w:val="000000" w:themeColor="text1"/>
          <w:lang w:eastAsia="it-IT"/>
        </w:rPr>
        <w:t>FIBROBLAST GROWTH FACTOR 1</w:t>
      </w:r>
      <w:r w:rsidRPr="00DA1DBB">
        <w:rPr>
          <w:bCs/>
          <w:color w:val="000000" w:themeColor="text1"/>
          <w:lang w:eastAsia="it-IT"/>
        </w:rPr>
        <w:t xml:space="preserve"> (</w:t>
      </w:r>
      <w:r w:rsidRPr="00DA1DBB">
        <w:rPr>
          <w:bCs/>
          <w:i/>
          <w:color w:val="000000" w:themeColor="text1"/>
          <w:lang w:eastAsia="it-IT"/>
        </w:rPr>
        <w:t>FGF1</w:t>
      </w:r>
      <w:r w:rsidRPr="00DA1DBB">
        <w:rPr>
          <w:bCs/>
          <w:color w:val="000000" w:themeColor="text1"/>
          <w:lang w:eastAsia="it-IT"/>
        </w:rPr>
        <w:t xml:space="preserve">) forward </w:t>
      </w:r>
      <w:proofErr w:type="spellStart"/>
      <w:r w:rsidRPr="00DA1DBB">
        <w:rPr>
          <w:bCs/>
          <w:color w:val="000000" w:themeColor="text1"/>
          <w:lang w:eastAsia="it-IT"/>
        </w:rPr>
        <w:t>ctgcagtagcctggaggttc</w:t>
      </w:r>
      <w:proofErr w:type="spellEnd"/>
      <w:r w:rsidRPr="00DA1DBB">
        <w:rPr>
          <w:bCs/>
          <w:color w:val="000000" w:themeColor="text1"/>
          <w:lang w:eastAsia="it-IT"/>
        </w:rPr>
        <w:t xml:space="preserve"> and reverse </w:t>
      </w:r>
      <w:proofErr w:type="spellStart"/>
      <w:r w:rsidRPr="00DA1DBB">
        <w:rPr>
          <w:bCs/>
          <w:color w:val="000000" w:themeColor="text1"/>
          <w:lang w:eastAsia="it-IT"/>
        </w:rPr>
        <w:t>ggctgtgaaggtggtgattt</w:t>
      </w:r>
      <w:proofErr w:type="spellEnd"/>
      <w:r w:rsidRPr="00DA1DBB">
        <w:rPr>
          <w:bCs/>
          <w:color w:val="000000" w:themeColor="text1"/>
          <w:lang w:eastAsia="it-IT"/>
        </w:rPr>
        <w:t>, human</w:t>
      </w:r>
      <w:r w:rsidRPr="00DA1DBB">
        <w:rPr>
          <w:bCs/>
          <w:i/>
          <w:color w:val="000000" w:themeColor="text1"/>
          <w:lang w:eastAsia="it-IT"/>
        </w:rPr>
        <w:t xml:space="preserve"> FGF2</w:t>
      </w:r>
      <w:r w:rsidRPr="00DA1DBB">
        <w:rPr>
          <w:bCs/>
          <w:color w:val="000000" w:themeColor="text1"/>
          <w:lang w:eastAsia="it-IT"/>
        </w:rPr>
        <w:t xml:space="preserve"> forward </w:t>
      </w:r>
      <w:proofErr w:type="spellStart"/>
      <w:r w:rsidRPr="00DA1DBB">
        <w:rPr>
          <w:bCs/>
          <w:color w:val="000000" w:themeColor="text1"/>
          <w:lang w:eastAsia="it-IT"/>
        </w:rPr>
        <w:t>ggtgaaaccccgtctctaca</w:t>
      </w:r>
      <w:proofErr w:type="spellEnd"/>
      <w:r w:rsidRPr="00DA1DBB">
        <w:rPr>
          <w:bCs/>
          <w:color w:val="000000" w:themeColor="text1"/>
          <w:lang w:eastAsia="it-IT"/>
        </w:rPr>
        <w:t xml:space="preserve"> and reverse </w:t>
      </w:r>
      <w:proofErr w:type="spellStart"/>
      <w:r w:rsidRPr="00DA1DBB">
        <w:rPr>
          <w:bCs/>
          <w:color w:val="000000" w:themeColor="text1"/>
          <w:lang w:eastAsia="it-IT"/>
        </w:rPr>
        <w:t>tctgttgcctaggctggact</w:t>
      </w:r>
      <w:proofErr w:type="spellEnd"/>
      <w:r w:rsidRPr="00DA1DBB">
        <w:rPr>
          <w:bCs/>
          <w:color w:val="000000" w:themeColor="text1"/>
          <w:lang w:eastAsia="it-IT"/>
        </w:rPr>
        <w:t>, human</w:t>
      </w:r>
      <w:r w:rsidRPr="00DA1DBB">
        <w:rPr>
          <w:bCs/>
          <w:i/>
          <w:color w:val="000000" w:themeColor="text1"/>
          <w:lang w:eastAsia="it-IT"/>
        </w:rPr>
        <w:t xml:space="preserve"> FGF22</w:t>
      </w:r>
      <w:r w:rsidRPr="00DA1DBB">
        <w:rPr>
          <w:bCs/>
          <w:color w:val="000000" w:themeColor="text1"/>
          <w:lang w:eastAsia="it-IT"/>
        </w:rPr>
        <w:t xml:space="preserve"> forward </w:t>
      </w:r>
      <w:proofErr w:type="spellStart"/>
      <w:r w:rsidRPr="00DA1DBB">
        <w:rPr>
          <w:bCs/>
          <w:color w:val="000000" w:themeColor="text1"/>
          <w:lang w:eastAsia="it-IT"/>
        </w:rPr>
        <w:t>caggacagcatcctggagat</w:t>
      </w:r>
      <w:proofErr w:type="spellEnd"/>
      <w:r w:rsidRPr="00DA1DBB">
        <w:rPr>
          <w:bCs/>
          <w:color w:val="000000" w:themeColor="text1"/>
          <w:lang w:eastAsia="it-IT"/>
        </w:rPr>
        <w:t xml:space="preserve"> and reverse </w:t>
      </w:r>
      <w:proofErr w:type="spellStart"/>
      <w:r w:rsidRPr="00DA1DBB">
        <w:rPr>
          <w:bCs/>
          <w:color w:val="000000" w:themeColor="text1"/>
          <w:lang w:eastAsia="it-IT"/>
        </w:rPr>
        <w:t>gtaggtgttgtggccgttct</w:t>
      </w:r>
      <w:proofErr w:type="spellEnd"/>
      <w:r w:rsidRPr="00DA1DBB">
        <w:rPr>
          <w:bCs/>
          <w:color w:val="000000" w:themeColor="text1"/>
          <w:lang w:eastAsia="it-IT"/>
        </w:rPr>
        <w:t>, human</w:t>
      </w:r>
      <w:r w:rsidRPr="00DA1DBB">
        <w:rPr>
          <w:bCs/>
          <w:i/>
          <w:color w:val="000000" w:themeColor="text1"/>
          <w:lang w:eastAsia="it-IT"/>
        </w:rPr>
        <w:t xml:space="preserve"> VASCULAR ENDOTHELIAL GROWTH FACTOR A</w:t>
      </w:r>
      <w:r w:rsidRPr="00DA1DBB">
        <w:rPr>
          <w:bCs/>
          <w:color w:val="000000" w:themeColor="text1"/>
          <w:lang w:eastAsia="it-IT"/>
        </w:rPr>
        <w:t xml:space="preserve"> (</w:t>
      </w:r>
      <w:r w:rsidRPr="00DA1DBB">
        <w:rPr>
          <w:bCs/>
          <w:i/>
          <w:color w:val="000000" w:themeColor="text1"/>
          <w:lang w:eastAsia="it-IT"/>
        </w:rPr>
        <w:t>VEGF A</w:t>
      </w:r>
      <w:r w:rsidRPr="00DA1DBB">
        <w:rPr>
          <w:bCs/>
          <w:color w:val="000000" w:themeColor="text1"/>
          <w:lang w:eastAsia="it-IT"/>
        </w:rPr>
        <w:t xml:space="preserve">) forward </w:t>
      </w:r>
      <w:proofErr w:type="spellStart"/>
      <w:r w:rsidRPr="00DA1DBB">
        <w:rPr>
          <w:bCs/>
          <w:color w:val="000000" w:themeColor="text1"/>
          <w:lang w:eastAsia="it-IT"/>
        </w:rPr>
        <w:t>cccactgaggagtccaacat</w:t>
      </w:r>
      <w:proofErr w:type="spellEnd"/>
      <w:r w:rsidRPr="00DA1DBB">
        <w:rPr>
          <w:bCs/>
          <w:color w:val="000000" w:themeColor="text1"/>
          <w:lang w:eastAsia="it-IT"/>
        </w:rPr>
        <w:t xml:space="preserve"> and reverse </w:t>
      </w:r>
      <w:proofErr w:type="spellStart"/>
      <w:r w:rsidRPr="00DA1DBB">
        <w:rPr>
          <w:bCs/>
          <w:color w:val="000000" w:themeColor="text1"/>
          <w:lang w:eastAsia="it-IT"/>
        </w:rPr>
        <w:t>tttcttgcgctttcgttttt</w:t>
      </w:r>
      <w:proofErr w:type="spellEnd"/>
      <w:r w:rsidRPr="00DA1DBB">
        <w:rPr>
          <w:bCs/>
          <w:color w:val="000000" w:themeColor="text1"/>
          <w:lang w:eastAsia="it-IT"/>
        </w:rPr>
        <w:t>, human</w:t>
      </w:r>
      <w:r w:rsidRPr="00DA1DBB">
        <w:rPr>
          <w:bCs/>
          <w:i/>
          <w:color w:val="000000" w:themeColor="text1"/>
          <w:lang w:eastAsia="it-IT"/>
        </w:rPr>
        <w:t xml:space="preserve"> PLATELET DERIVED GROWTH FACTOR</w:t>
      </w:r>
      <w:r w:rsidRPr="00DA1DBB">
        <w:rPr>
          <w:bCs/>
          <w:color w:val="000000" w:themeColor="text1"/>
          <w:lang w:eastAsia="it-IT"/>
        </w:rPr>
        <w:t xml:space="preserve"> (</w:t>
      </w:r>
      <w:r w:rsidRPr="00DA1DBB">
        <w:rPr>
          <w:bCs/>
          <w:i/>
          <w:color w:val="000000" w:themeColor="text1"/>
          <w:lang w:eastAsia="it-IT"/>
        </w:rPr>
        <w:t>PDGF</w:t>
      </w:r>
      <w:r w:rsidRPr="00DA1DBB">
        <w:rPr>
          <w:bCs/>
          <w:color w:val="000000" w:themeColor="text1"/>
          <w:lang w:eastAsia="it-IT"/>
        </w:rPr>
        <w:t xml:space="preserve">) forward </w:t>
      </w:r>
      <w:proofErr w:type="spellStart"/>
      <w:r w:rsidRPr="00DA1DBB">
        <w:rPr>
          <w:bCs/>
          <w:color w:val="000000" w:themeColor="text1"/>
          <w:lang w:eastAsia="it-IT"/>
        </w:rPr>
        <w:t>gtggaggaaattgtggctgt</w:t>
      </w:r>
      <w:proofErr w:type="spellEnd"/>
      <w:r w:rsidRPr="00DA1DBB">
        <w:rPr>
          <w:bCs/>
          <w:color w:val="000000" w:themeColor="text1"/>
          <w:lang w:eastAsia="it-IT"/>
        </w:rPr>
        <w:t xml:space="preserve"> and reverse, human</w:t>
      </w:r>
      <w:r w:rsidRPr="00DA1DBB">
        <w:rPr>
          <w:bCs/>
          <w:i/>
          <w:color w:val="000000" w:themeColor="text1"/>
          <w:lang w:eastAsia="it-IT"/>
        </w:rPr>
        <w:t xml:space="preserve"> BONE MOPHOGENIC PROTEIN 5</w:t>
      </w:r>
      <w:r w:rsidRPr="00DA1DBB">
        <w:rPr>
          <w:bCs/>
          <w:color w:val="000000" w:themeColor="text1"/>
          <w:lang w:eastAsia="it-IT"/>
        </w:rPr>
        <w:t xml:space="preserve"> (</w:t>
      </w:r>
      <w:r w:rsidRPr="00DA1DBB">
        <w:rPr>
          <w:bCs/>
          <w:i/>
          <w:color w:val="000000" w:themeColor="text1"/>
          <w:lang w:eastAsia="it-IT"/>
        </w:rPr>
        <w:t>BMP5</w:t>
      </w:r>
      <w:r w:rsidRPr="00DA1DBB">
        <w:rPr>
          <w:bCs/>
          <w:color w:val="000000" w:themeColor="text1"/>
          <w:lang w:eastAsia="it-IT"/>
        </w:rPr>
        <w:t xml:space="preserve">) forward </w:t>
      </w:r>
      <w:proofErr w:type="spellStart"/>
      <w:r w:rsidRPr="00DA1DBB">
        <w:rPr>
          <w:bCs/>
          <w:color w:val="000000" w:themeColor="text1"/>
          <w:lang w:eastAsia="it-IT"/>
        </w:rPr>
        <w:t>gatgtgggttggcttgtctt</w:t>
      </w:r>
      <w:proofErr w:type="spellEnd"/>
      <w:r w:rsidRPr="00DA1DBB">
        <w:rPr>
          <w:bCs/>
          <w:color w:val="000000" w:themeColor="text1"/>
          <w:lang w:eastAsia="it-IT"/>
        </w:rPr>
        <w:t xml:space="preserve"> and reverse </w:t>
      </w:r>
      <w:proofErr w:type="spellStart"/>
      <w:r w:rsidRPr="00DA1DBB">
        <w:rPr>
          <w:bCs/>
          <w:color w:val="000000" w:themeColor="text1"/>
          <w:lang w:eastAsia="it-IT"/>
        </w:rPr>
        <w:t>acctcactcgccttgaagaa</w:t>
      </w:r>
      <w:proofErr w:type="spellEnd"/>
      <w:r w:rsidRPr="00DA1DBB">
        <w:rPr>
          <w:bCs/>
          <w:color w:val="000000" w:themeColor="text1"/>
          <w:lang w:eastAsia="it-IT"/>
        </w:rPr>
        <w:t>, human</w:t>
      </w:r>
      <w:r w:rsidRPr="00DA1DBB">
        <w:rPr>
          <w:bCs/>
          <w:i/>
          <w:color w:val="000000" w:themeColor="text1"/>
          <w:lang w:eastAsia="it-IT"/>
        </w:rPr>
        <w:t xml:space="preserve"> BMP6</w:t>
      </w:r>
      <w:r w:rsidRPr="00DA1DBB">
        <w:rPr>
          <w:bCs/>
          <w:color w:val="000000" w:themeColor="text1"/>
          <w:lang w:eastAsia="it-IT"/>
        </w:rPr>
        <w:t xml:space="preserve"> forward </w:t>
      </w:r>
      <w:proofErr w:type="spellStart"/>
      <w:r w:rsidRPr="00DA1DBB">
        <w:rPr>
          <w:bCs/>
          <w:color w:val="000000" w:themeColor="text1"/>
          <w:lang w:eastAsia="it-IT"/>
        </w:rPr>
        <w:t>aagaaggctggctggaattt</w:t>
      </w:r>
      <w:proofErr w:type="spellEnd"/>
      <w:r w:rsidRPr="00DA1DBB">
        <w:rPr>
          <w:bCs/>
          <w:color w:val="000000" w:themeColor="text1"/>
          <w:lang w:eastAsia="it-IT"/>
        </w:rPr>
        <w:t xml:space="preserve"> and reverse </w:t>
      </w:r>
      <w:proofErr w:type="spellStart"/>
      <w:r w:rsidRPr="00DA1DBB">
        <w:rPr>
          <w:bCs/>
          <w:color w:val="000000" w:themeColor="text1"/>
          <w:lang w:eastAsia="it-IT"/>
        </w:rPr>
        <w:lastRenderedPageBreak/>
        <w:t>gaagggctgcttgtcgtaag</w:t>
      </w:r>
      <w:proofErr w:type="spellEnd"/>
      <w:r w:rsidRPr="00DA1DBB">
        <w:rPr>
          <w:bCs/>
          <w:color w:val="000000" w:themeColor="text1"/>
          <w:lang w:eastAsia="it-IT"/>
        </w:rPr>
        <w:t>, human</w:t>
      </w:r>
      <w:r w:rsidRPr="00DA1DBB">
        <w:rPr>
          <w:bCs/>
          <w:i/>
          <w:color w:val="000000" w:themeColor="text1"/>
          <w:lang w:eastAsia="it-IT"/>
        </w:rPr>
        <w:t xml:space="preserve"> BMP7 </w:t>
      </w:r>
      <w:r w:rsidRPr="00DA1DBB">
        <w:rPr>
          <w:bCs/>
          <w:color w:val="000000" w:themeColor="text1"/>
          <w:lang w:eastAsia="it-IT"/>
        </w:rPr>
        <w:t xml:space="preserve">forward </w:t>
      </w:r>
      <w:proofErr w:type="spellStart"/>
      <w:r w:rsidRPr="00DA1DBB">
        <w:rPr>
          <w:bCs/>
          <w:color w:val="000000" w:themeColor="text1"/>
          <w:lang w:eastAsia="it-IT"/>
        </w:rPr>
        <w:t>tgtgatccctcttggtgtga</w:t>
      </w:r>
      <w:proofErr w:type="spellEnd"/>
      <w:r w:rsidRPr="00DA1DBB">
        <w:rPr>
          <w:bCs/>
          <w:color w:val="000000" w:themeColor="text1"/>
          <w:lang w:eastAsia="it-IT"/>
        </w:rPr>
        <w:t xml:space="preserve"> and reverse </w:t>
      </w:r>
      <w:proofErr w:type="spellStart"/>
      <w:r w:rsidRPr="00DA1DBB">
        <w:rPr>
          <w:bCs/>
          <w:color w:val="000000" w:themeColor="text1"/>
          <w:lang w:eastAsia="it-IT"/>
        </w:rPr>
        <w:t>caggttgaaggaaagcaagc</w:t>
      </w:r>
      <w:proofErr w:type="spellEnd"/>
      <w:r w:rsidRPr="00DA1DBB">
        <w:rPr>
          <w:bCs/>
          <w:color w:val="000000" w:themeColor="text1"/>
          <w:lang w:eastAsia="it-IT"/>
        </w:rPr>
        <w:t xml:space="preserve">, human </w:t>
      </w:r>
      <w:r w:rsidRPr="00DA1DBB">
        <w:rPr>
          <w:bCs/>
          <w:i/>
          <w:iCs/>
          <w:color w:val="000000" w:themeColor="text1"/>
          <w:lang w:eastAsia="it-IT"/>
        </w:rPr>
        <w:t>CCL2</w:t>
      </w:r>
      <w:r w:rsidRPr="00DA1DBB">
        <w:rPr>
          <w:bCs/>
          <w:color w:val="000000" w:themeColor="text1"/>
          <w:lang w:eastAsia="it-IT"/>
        </w:rPr>
        <w:t xml:space="preserve"> forward </w:t>
      </w:r>
      <w:proofErr w:type="spellStart"/>
      <w:r w:rsidRPr="00DA1DBB">
        <w:rPr>
          <w:bCs/>
          <w:color w:val="000000" w:themeColor="text1"/>
          <w:lang w:eastAsia="it-IT"/>
        </w:rPr>
        <w:t>gcagcaagtgtcccaaagaa</w:t>
      </w:r>
      <w:proofErr w:type="spellEnd"/>
      <w:r w:rsidRPr="00DA1DBB">
        <w:rPr>
          <w:bCs/>
          <w:color w:val="000000" w:themeColor="text1"/>
          <w:lang w:eastAsia="it-IT"/>
        </w:rPr>
        <w:t xml:space="preserve"> and reverse </w:t>
      </w:r>
      <w:proofErr w:type="spellStart"/>
      <w:r w:rsidRPr="00DA1DBB">
        <w:rPr>
          <w:bCs/>
          <w:color w:val="000000" w:themeColor="text1"/>
          <w:lang w:eastAsia="it-IT"/>
        </w:rPr>
        <w:t>ctggggaaagctaggggaaa</w:t>
      </w:r>
      <w:proofErr w:type="spellEnd"/>
      <w:r w:rsidRPr="00DA1DBB">
        <w:rPr>
          <w:bCs/>
          <w:color w:val="000000" w:themeColor="text1"/>
          <w:lang w:eastAsia="it-IT"/>
        </w:rPr>
        <w:t xml:space="preserve">, human </w:t>
      </w:r>
      <w:r w:rsidRPr="00DA1DBB">
        <w:rPr>
          <w:bCs/>
          <w:i/>
          <w:iCs/>
          <w:color w:val="000000" w:themeColor="text1"/>
          <w:lang w:eastAsia="it-IT"/>
        </w:rPr>
        <w:t>CCL4</w:t>
      </w:r>
      <w:r w:rsidRPr="00DA1DBB">
        <w:rPr>
          <w:bCs/>
          <w:color w:val="000000" w:themeColor="text1"/>
          <w:lang w:eastAsia="it-IT"/>
        </w:rPr>
        <w:t xml:space="preserve"> forward </w:t>
      </w:r>
      <w:proofErr w:type="spellStart"/>
      <w:r w:rsidRPr="00DA1DBB">
        <w:rPr>
          <w:bCs/>
          <w:color w:val="000000" w:themeColor="text1"/>
          <w:lang w:eastAsia="it-IT"/>
        </w:rPr>
        <w:t>tgcttttcttacaccgcgag</w:t>
      </w:r>
      <w:proofErr w:type="spellEnd"/>
      <w:r w:rsidRPr="00DA1DBB">
        <w:rPr>
          <w:bCs/>
          <w:color w:val="000000" w:themeColor="text1"/>
          <w:lang w:eastAsia="it-IT"/>
        </w:rPr>
        <w:t xml:space="preserve"> and reverse </w:t>
      </w:r>
      <w:proofErr w:type="spellStart"/>
      <w:r w:rsidRPr="00DA1DBB">
        <w:rPr>
          <w:bCs/>
          <w:color w:val="000000" w:themeColor="text1"/>
          <w:lang w:eastAsia="it-IT"/>
        </w:rPr>
        <w:t>cttcctgtctctgagcagct</w:t>
      </w:r>
      <w:proofErr w:type="spellEnd"/>
      <w:r w:rsidRPr="00DA1DBB">
        <w:rPr>
          <w:bCs/>
          <w:color w:val="000000" w:themeColor="text1"/>
          <w:lang w:eastAsia="it-IT"/>
        </w:rPr>
        <w:t xml:space="preserve">, human </w:t>
      </w:r>
      <w:r w:rsidRPr="00DA1DBB">
        <w:rPr>
          <w:bCs/>
          <w:i/>
          <w:iCs/>
          <w:color w:val="000000" w:themeColor="text1"/>
          <w:lang w:eastAsia="it-IT"/>
        </w:rPr>
        <w:t>CCL5</w:t>
      </w:r>
      <w:r w:rsidRPr="00DA1DBB">
        <w:rPr>
          <w:bCs/>
          <w:color w:val="000000" w:themeColor="text1"/>
          <w:lang w:eastAsia="it-IT"/>
        </w:rPr>
        <w:t xml:space="preserve"> forward </w:t>
      </w:r>
      <w:proofErr w:type="spellStart"/>
      <w:r w:rsidRPr="00DA1DBB">
        <w:rPr>
          <w:bCs/>
          <w:color w:val="000000" w:themeColor="text1"/>
          <w:lang w:eastAsia="it-IT"/>
        </w:rPr>
        <w:t>ccaaagagagagggacagca</w:t>
      </w:r>
      <w:proofErr w:type="spellEnd"/>
      <w:r w:rsidRPr="00DA1DBB">
        <w:rPr>
          <w:bCs/>
          <w:color w:val="000000" w:themeColor="text1"/>
          <w:lang w:eastAsia="it-IT"/>
        </w:rPr>
        <w:t xml:space="preserve"> and reverse </w:t>
      </w:r>
      <w:proofErr w:type="spellStart"/>
      <w:r w:rsidRPr="00DA1DBB">
        <w:rPr>
          <w:bCs/>
          <w:color w:val="000000" w:themeColor="text1"/>
          <w:lang w:eastAsia="it-IT"/>
        </w:rPr>
        <w:t>ctttcccagcctcactcaga</w:t>
      </w:r>
      <w:proofErr w:type="spellEnd"/>
      <w:r w:rsidRPr="00DA1DBB">
        <w:rPr>
          <w:bCs/>
          <w:color w:val="000000" w:themeColor="text1"/>
          <w:lang w:eastAsia="it-IT"/>
        </w:rPr>
        <w:t xml:space="preserve">, human </w:t>
      </w:r>
      <w:r w:rsidRPr="00DA1DBB">
        <w:rPr>
          <w:bCs/>
          <w:i/>
          <w:iCs/>
          <w:color w:val="000000" w:themeColor="text1"/>
          <w:lang w:eastAsia="it-IT"/>
        </w:rPr>
        <w:t xml:space="preserve">CCL19 </w:t>
      </w:r>
      <w:r w:rsidRPr="00DA1DBB">
        <w:rPr>
          <w:bCs/>
          <w:color w:val="000000" w:themeColor="text1"/>
          <w:lang w:eastAsia="it-IT"/>
        </w:rPr>
        <w:t xml:space="preserve">forward </w:t>
      </w:r>
      <w:proofErr w:type="spellStart"/>
      <w:r w:rsidRPr="00DA1DBB">
        <w:rPr>
          <w:bCs/>
          <w:color w:val="000000" w:themeColor="text1"/>
          <w:lang w:eastAsia="it-IT"/>
        </w:rPr>
        <w:t>tgatggtgggtgcctgtaat</w:t>
      </w:r>
      <w:proofErr w:type="spellEnd"/>
      <w:r w:rsidRPr="00DA1DBB">
        <w:rPr>
          <w:bCs/>
          <w:color w:val="000000" w:themeColor="text1"/>
          <w:lang w:eastAsia="it-IT"/>
        </w:rPr>
        <w:t xml:space="preserve"> and reverse </w:t>
      </w:r>
      <w:proofErr w:type="spellStart"/>
      <w:r w:rsidRPr="00DA1DBB">
        <w:rPr>
          <w:bCs/>
          <w:color w:val="000000" w:themeColor="text1"/>
          <w:lang w:eastAsia="it-IT"/>
        </w:rPr>
        <w:t>ggaaccctgagtaaagccct</w:t>
      </w:r>
      <w:proofErr w:type="spellEnd"/>
      <w:r w:rsidRPr="00DA1DBB">
        <w:rPr>
          <w:bCs/>
          <w:color w:val="000000" w:themeColor="text1"/>
          <w:lang w:eastAsia="it-IT"/>
        </w:rPr>
        <w:t xml:space="preserve">, human </w:t>
      </w:r>
      <w:r w:rsidRPr="00DA1DBB">
        <w:rPr>
          <w:bCs/>
          <w:i/>
          <w:iCs/>
          <w:color w:val="000000" w:themeColor="text1"/>
          <w:lang w:eastAsia="it-IT"/>
        </w:rPr>
        <w:t>CCL21</w:t>
      </w:r>
      <w:r w:rsidRPr="00DA1DBB">
        <w:rPr>
          <w:bCs/>
          <w:color w:val="000000" w:themeColor="text1"/>
          <w:lang w:eastAsia="it-IT"/>
        </w:rPr>
        <w:t xml:space="preserve"> </w:t>
      </w:r>
      <w:proofErr w:type="spellStart"/>
      <w:r w:rsidRPr="00DA1DBB">
        <w:rPr>
          <w:bCs/>
          <w:color w:val="000000" w:themeColor="text1"/>
          <w:lang w:eastAsia="it-IT"/>
        </w:rPr>
        <w:t>ggccttgacctctcctcttt</w:t>
      </w:r>
      <w:proofErr w:type="spellEnd"/>
      <w:r w:rsidRPr="00DA1DBB">
        <w:rPr>
          <w:bCs/>
          <w:color w:val="000000" w:themeColor="text1"/>
          <w:lang w:eastAsia="it-IT"/>
        </w:rPr>
        <w:t xml:space="preserve"> and reverse </w:t>
      </w:r>
      <w:proofErr w:type="spellStart"/>
      <w:r w:rsidRPr="00DA1DBB">
        <w:rPr>
          <w:bCs/>
          <w:color w:val="000000" w:themeColor="text1"/>
          <w:lang w:eastAsia="it-IT"/>
        </w:rPr>
        <w:t>gttctgaaaacctgccccag</w:t>
      </w:r>
      <w:proofErr w:type="spellEnd"/>
      <w:r w:rsidRPr="00DA1DBB">
        <w:rPr>
          <w:bCs/>
          <w:color w:val="000000" w:themeColor="text1"/>
          <w:lang w:eastAsia="it-IT"/>
        </w:rPr>
        <w:t xml:space="preserve">, human </w:t>
      </w:r>
      <w:r w:rsidRPr="00DA1DBB">
        <w:rPr>
          <w:bCs/>
          <w:i/>
          <w:iCs/>
          <w:color w:val="000000" w:themeColor="text1"/>
          <w:lang w:eastAsia="it-IT"/>
        </w:rPr>
        <w:t>CXCL11</w:t>
      </w:r>
      <w:r w:rsidRPr="00DA1DBB">
        <w:rPr>
          <w:bCs/>
          <w:color w:val="000000" w:themeColor="text1"/>
          <w:lang w:eastAsia="it-IT"/>
        </w:rPr>
        <w:t xml:space="preserve"> forward </w:t>
      </w:r>
      <w:proofErr w:type="spellStart"/>
      <w:r w:rsidRPr="00DA1DBB">
        <w:rPr>
          <w:bCs/>
          <w:color w:val="000000" w:themeColor="text1"/>
          <w:lang w:eastAsia="it-IT"/>
        </w:rPr>
        <w:t>cagttgttcaaggcttcccc</w:t>
      </w:r>
      <w:proofErr w:type="spellEnd"/>
      <w:r w:rsidRPr="00DA1DBB">
        <w:rPr>
          <w:bCs/>
          <w:color w:val="000000" w:themeColor="text1"/>
          <w:lang w:eastAsia="it-IT"/>
        </w:rPr>
        <w:t xml:space="preserve"> and reverse </w:t>
      </w:r>
      <w:proofErr w:type="spellStart"/>
      <w:r w:rsidRPr="00DA1DBB">
        <w:rPr>
          <w:bCs/>
          <w:color w:val="000000" w:themeColor="text1"/>
          <w:lang w:eastAsia="it-IT"/>
        </w:rPr>
        <w:t>gggtttaggcatcgttgtcc</w:t>
      </w:r>
      <w:proofErr w:type="spellEnd"/>
      <w:r w:rsidRPr="00DA1DBB">
        <w:rPr>
          <w:bCs/>
          <w:color w:val="000000" w:themeColor="text1"/>
          <w:lang w:eastAsia="it-IT"/>
        </w:rPr>
        <w:t xml:space="preserve">, human </w:t>
      </w:r>
      <w:r w:rsidRPr="00DA1DBB">
        <w:rPr>
          <w:bCs/>
          <w:i/>
          <w:iCs/>
          <w:color w:val="000000" w:themeColor="text1"/>
          <w:lang w:eastAsia="it-IT"/>
        </w:rPr>
        <w:t>CXCL12</w:t>
      </w:r>
      <w:r w:rsidRPr="00DA1DBB">
        <w:rPr>
          <w:bCs/>
          <w:color w:val="000000" w:themeColor="text1"/>
          <w:lang w:eastAsia="it-IT"/>
        </w:rPr>
        <w:t xml:space="preserve"> forward </w:t>
      </w:r>
      <w:proofErr w:type="spellStart"/>
      <w:r w:rsidRPr="00DA1DBB">
        <w:rPr>
          <w:bCs/>
          <w:color w:val="000000" w:themeColor="text1"/>
          <w:lang w:eastAsia="it-IT"/>
        </w:rPr>
        <w:t>ccggctgaagaacaacaaca</w:t>
      </w:r>
      <w:proofErr w:type="spellEnd"/>
      <w:r w:rsidRPr="00DA1DBB">
        <w:rPr>
          <w:bCs/>
          <w:color w:val="000000" w:themeColor="text1"/>
          <w:lang w:eastAsia="it-IT"/>
        </w:rPr>
        <w:t xml:space="preserve"> and reverse </w:t>
      </w:r>
      <w:proofErr w:type="spellStart"/>
      <w:r w:rsidRPr="00DA1DBB">
        <w:rPr>
          <w:bCs/>
          <w:color w:val="000000" w:themeColor="text1"/>
          <w:lang w:eastAsia="it-IT"/>
        </w:rPr>
        <w:t>ttttccttttctgggcagcc</w:t>
      </w:r>
      <w:proofErr w:type="spellEnd"/>
      <w:r w:rsidRPr="00DA1DBB">
        <w:rPr>
          <w:bCs/>
          <w:color w:val="000000" w:themeColor="text1"/>
          <w:lang w:eastAsia="it-IT"/>
        </w:rPr>
        <w:t xml:space="preserve">, human </w:t>
      </w:r>
      <w:r w:rsidRPr="00DA1DBB">
        <w:rPr>
          <w:bCs/>
          <w:i/>
          <w:iCs/>
          <w:color w:val="000000" w:themeColor="text1"/>
          <w:lang w:eastAsia="it-IT"/>
        </w:rPr>
        <w:t>IL2</w:t>
      </w:r>
      <w:r w:rsidRPr="00DA1DBB">
        <w:rPr>
          <w:bCs/>
          <w:color w:val="000000" w:themeColor="text1"/>
          <w:lang w:eastAsia="it-IT"/>
        </w:rPr>
        <w:t xml:space="preserve"> forward </w:t>
      </w:r>
      <w:proofErr w:type="spellStart"/>
      <w:r w:rsidRPr="00DA1DBB">
        <w:rPr>
          <w:bCs/>
          <w:color w:val="000000" w:themeColor="text1"/>
          <w:lang w:eastAsia="it-IT"/>
        </w:rPr>
        <w:t>cctcaactcctgccacaatg</w:t>
      </w:r>
      <w:proofErr w:type="spellEnd"/>
      <w:r w:rsidRPr="00DA1DBB">
        <w:rPr>
          <w:bCs/>
          <w:color w:val="000000" w:themeColor="text1"/>
          <w:lang w:eastAsia="it-IT"/>
        </w:rPr>
        <w:t xml:space="preserve"> and reverse </w:t>
      </w:r>
      <w:proofErr w:type="spellStart"/>
      <w:r w:rsidRPr="00DA1DBB">
        <w:rPr>
          <w:bCs/>
          <w:color w:val="000000" w:themeColor="text1"/>
          <w:lang w:eastAsia="it-IT"/>
        </w:rPr>
        <w:t>tgtgagcatcctggtgagtt</w:t>
      </w:r>
      <w:proofErr w:type="spellEnd"/>
      <w:r w:rsidRPr="00DA1DBB">
        <w:rPr>
          <w:bCs/>
          <w:color w:val="000000" w:themeColor="text1"/>
          <w:lang w:eastAsia="it-IT"/>
        </w:rPr>
        <w:t xml:space="preserve">, human </w:t>
      </w:r>
      <w:r w:rsidRPr="00DA1DBB">
        <w:rPr>
          <w:bCs/>
          <w:i/>
          <w:iCs/>
          <w:color w:val="000000" w:themeColor="text1"/>
          <w:lang w:eastAsia="it-IT"/>
        </w:rPr>
        <w:t>IL18</w:t>
      </w:r>
      <w:r w:rsidRPr="00DA1DBB">
        <w:rPr>
          <w:bCs/>
          <w:color w:val="000000" w:themeColor="text1"/>
          <w:lang w:eastAsia="it-IT"/>
        </w:rPr>
        <w:t xml:space="preserve"> forward </w:t>
      </w:r>
      <w:proofErr w:type="spellStart"/>
      <w:r w:rsidRPr="00DA1DBB">
        <w:rPr>
          <w:bCs/>
          <w:color w:val="000000" w:themeColor="text1"/>
          <w:lang w:eastAsia="it-IT"/>
        </w:rPr>
        <w:t>ctcagaccttccagatcgct</w:t>
      </w:r>
      <w:proofErr w:type="spellEnd"/>
      <w:r w:rsidRPr="00DA1DBB">
        <w:rPr>
          <w:bCs/>
          <w:color w:val="000000" w:themeColor="text1"/>
          <w:lang w:eastAsia="it-IT"/>
        </w:rPr>
        <w:t xml:space="preserve"> and reverse </w:t>
      </w:r>
      <w:proofErr w:type="spellStart"/>
      <w:r w:rsidRPr="00DA1DBB">
        <w:rPr>
          <w:bCs/>
          <w:color w:val="000000" w:themeColor="text1"/>
          <w:lang w:eastAsia="it-IT"/>
        </w:rPr>
        <w:t>gccgatttccttggtcaatga</w:t>
      </w:r>
      <w:proofErr w:type="spellEnd"/>
      <w:r w:rsidRPr="00DA1DBB">
        <w:rPr>
          <w:bCs/>
          <w:color w:val="000000" w:themeColor="text1"/>
          <w:lang w:eastAsia="it-IT"/>
        </w:rPr>
        <w:t xml:space="preserve">, human </w:t>
      </w:r>
      <w:r w:rsidRPr="00DA1DBB">
        <w:rPr>
          <w:bCs/>
          <w:i/>
          <w:iCs/>
          <w:color w:val="000000" w:themeColor="text1"/>
          <w:lang w:eastAsia="it-IT"/>
        </w:rPr>
        <w:t>IL21</w:t>
      </w:r>
      <w:r w:rsidRPr="00DA1DBB">
        <w:rPr>
          <w:bCs/>
          <w:color w:val="000000" w:themeColor="text1"/>
          <w:lang w:eastAsia="it-IT"/>
        </w:rPr>
        <w:t xml:space="preserve"> forward </w:t>
      </w:r>
      <w:proofErr w:type="spellStart"/>
      <w:r w:rsidRPr="00DA1DBB">
        <w:rPr>
          <w:bCs/>
          <w:color w:val="000000" w:themeColor="text1"/>
          <w:lang w:eastAsia="it-IT"/>
        </w:rPr>
        <w:t>aggtcaagatcgccacatga</w:t>
      </w:r>
      <w:proofErr w:type="spellEnd"/>
      <w:r w:rsidRPr="00DA1DBB">
        <w:rPr>
          <w:bCs/>
          <w:color w:val="000000" w:themeColor="text1"/>
          <w:lang w:eastAsia="it-IT"/>
        </w:rPr>
        <w:t xml:space="preserve"> and reverse </w:t>
      </w:r>
      <w:proofErr w:type="spellStart"/>
      <w:r w:rsidRPr="00DA1DBB">
        <w:rPr>
          <w:bCs/>
          <w:color w:val="000000" w:themeColor="text1"/>
          <w:lang w:eastAsia="it-IT"/>
        </w:rPr>
        <w:t>tgggccttctgaaaacagga</w:t>
      </w:r>
      <w:proofErr w:type="spellEnd"/>
      <w:r w:rsidRPr="00DA1DBB">
        <w:rPr>
          <w:bCs/>
          <w:color w:val="000000" w:themeColor="text1"/>
          <w:lang w:eastAsia="it-IT"/>
        </w:rPr>
        <w:t xml:space="preserve">, human </w:t>
      </w:r>
      <w:r w:rsidRPr="00DA1DBB">
        <w:rPr>
          <w:bCs/>
          <w:i/>
          <w:color w:val="000000" w:themeColor="text1"/>
          <w:lang w:eastAsia="it-IT"/>
        </w:rPr>
        <w:t>18SRNA</w:t>
      </w:r>
      <w:r w:rsidRPr="00DA1DBB">
        <w:rPr>
          <w:bCs/>
          <w:color w:val="000000" w:themeColor="text1"/>
          <w:lang w:eastAsia="it-IT"/>
        </w:rPr>
        <w:t xml:space="preserve"> forward </w:t>
      </w:r>
      <w:proofErr w:type="spellStart"/>
      <w:r w:rsidRPr="00DA1DBB">
        <w:rPr>
          <w:bCs/>
          <w:color w:val="000000" w:themeColor="text1"/>
          <w:lang w:eastAsia="it-IT"/>
        </w:rPr>
        <w:t>gttggttttcggaactgagg</w:t>
      </w:r>
      <w:proofErr w:type="spellEnd"/>
      <w:r w:rsidRPr="00DA1DBB">
        <w:rPr>
          <w:bCs/>
          <w:color w:val="000000" w:themeColor="text1"/>
          <w:lang w:eastAsia="it-IT"/>
        </w:rPr>
        <w:t xml:space="preserve"> and reverse </w:t>
      </w:r>
      <w:proofErr w:type="spellStart"/>
      <w:r w:rsidRPr="00DA1DBB">
        <w:rPr>
          <w:bCs/>
          <w:color w:val="000000" w:themeColor="text1"/>
          <w:lang w:eastAsia="it-IT"/>
        </w:rPr>
        <w:t>gcatcgtttatggtcggaac</w:t>
      </w:r>
      <w:proofErr w:type="spellEnd"/>
      <w:r w:rsidRPr="00DA1DBB">
        <w:rPr>
          <w:bCs/>
          <w:color w:val="000000" w:themeColor="text1"/>
          <w:lang w:eastAsia="it-IT"/>
        </w:rPr>
        <w:t>.</w:t>
      </w:r>
      <w:r w:rsidR="008D0812" w:rsidRPr="00DA1DBB">
        <w:rPr>
          <w:color w:val="000000" w:themeColor="text1"/>
        </w:rPr>
        <w:t xml:space="preserve"> The experiments were repeated at least three times.</w:t>
      </w:r>
    </w:p>
    <w:p w14:paraId="53005393" w14:textId="77777777" w:rsidR="00907C21" w:rsidRPr="00DA1DBB" w:rsidRDefault="00907C21" w:rsidP="00685E66">
      <w:pPr>
        <w:spacing w:line="480" w:lineRule="auto"/>
        <w:jc w:val="both"/>
        <w:rPr>
          <w:b/>
          <w:bCs/>
          <w:color w:val="000000" w:themeColor="text1"/>
          <w:sz w:val="24"/>
          <w:szCs w:val="24"/>
        </w:rPr>
      </w:pPr>
      <w:r w:rsidRPr="00DA1DBB">
        <w:rPr>
          <w:b/>
          <w:bCs/>
          <w:color w:val="000000" w:themeColor="text1"/>
          <w:sz w:val="24"/>
          <w:szCs w:val="24"/>
        </w:rPr>
        <w:t>Analysis of secreted proteins and cytokines in colon naïve fibroblasts and colon adenocarcinoma TAFs</w:t>
      </w:r>
    </w:p>
    <w:p w14:paraId="09819A00" w14:textId="4CFAF7C6"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A commercial array (R&amp;D Systems, Minneapolis, MI, USA) was employed to assess the expression of growth factors in colon naïve fibroblasts and colon adenocarcinoma TAFs. Whole-cell lysates (70 </w:t>
      </w:r>
      <w:r w:rsidRPr="00DA1DBB">
        <w:rPr>
          <w:color w:val="000000" w:themeColor="text1"/>
          <w:sz w:val="24"/>
          <w:szCs w:val="24"/>
        </w:rPr>
        <w:sym w:font="Symbol" w:char="F06D"/>
      </w:r>
      <w:r w:rsidRPr="00DA1DBB">
        <w:rPr>
          <w:color w:val="000000" w:themeColor="text1"/>
          <w:sz w:val="24"/>
          <w:szCs w:val="24"/>
        </w:rPr>
        <w:t>g) from the fibroblasts were utilized for analysis, following the manufacturer’s instructions. The proteins were visualized by enhanced chemiluminescence detection kit (ECL, GE Healthcare, Chicago, IL, USA).</w:t>
      </w:r>
      <w:r w:rsidR="008D0812" w:rsidRPr="00DA1DBB">
        <w:rPr>
          <w:color w:val="000000" w:themeColor="text1"/>
          <w:sz w:val="24"/>
          <w:szCs w:val="24"/>
        </w:rPr>
        <w:t xml:space="preserve"> The experiments were repeated at least three times.</w:t>
      </w:r>
    </w:p>
    <w:p w14:paraId="4DC72523" w14:textId="77777777" w:rsidR="00907C21" w:rsidRPr="00DA1DBB" w:rsidRDefault="00907C21" w:rsidP="00685E66">
      <w:pPr>
        <w:spacing w:line="480" w:lineRule="auto"/>
        <w:jc w:val="both"/>
        <w:rPr>
          <w:color w:val="000000" w:themeColor="text1"/>
          <w:sz w:val="24"/>
          <w:szCs w:val="24"/>
        </w:rPr>
      </w:pPr>
    </w:p>
    <w:p w14:paraId="4A2E8169" w14:textId="77777777" w:rsidR="00907C21" w:rsidRPr="00DA1DBB" w:rsidRDefault="00907C21" w:rsidP="00907C21">
      <w:pPr>
        <w:spacing w:line="480" w:lineRule="auto"/>
        <w:jc w:val="both"/>
        <w:rPr>
          <w:b/>
          <w:bCs/>
          <w:color w:val="000000" w:themeColor="text1"/>
          <w:sz w:val="24"/>
          <w:szCs w:val="24"/>
          <w:lang w:eastAsia="it-IT"/>
        </w:rPr>
      </w:pPr>
      <w:r w:rsidRPr="00DA1DBB">
        <w:rPr>
          <w:b/>
          <w:bCs/>
          <w:color w:val="000000" w:themeColor="text1"/>
          <w:sz w:val="24"/>
          <w:szCs w:val="24"/>
          <w:lang w:eastAsia="it-IT"/>
        </w:rPr>
        <w:t>Western blot analysis and Small GTPase RAS and RAC pulldown analysis</w:t>
      </w:r>
    </w:p>
    <w:p w14:paraId="5BA857AA" w14:textId="707EC3E8" w:rsidR="00685E66" w:rsidRPr="00DA1DBB" w:rsidRDefault="00685E66" w:rsidP="00907C21">
      <w:pPr>
        <w:spacing w:line="480" w:lineRule="auto"/>
        <w:jc w:val="both"/>
        <w:rPr>
          <w:color w:val="000000" w:themeColor="text1"/>
          <w:sz w:val="24"/>
          <w:szCs w:val="24"/>
        </w:rPr>
      </w:pPr>
      <w:r w:rsidRPr="00DA1DBB">
        <w:rPr>
          <w:color w:val="000000" w:themeColor="text1"/>
          <w:sz w:val="24"/>
          <w:szCs w:val="24"/>
          <w:lang w:eastAsia="it-IT"/>
        </w:rPr>
        <w:t xml:space="preserve">For signaling analysis, </w:t>
      </w:r>
      <w:r w:rsidRPr="00DA1DBB">
        <w:rPr>
          <w:color w:val="000000" w:themeColor="text1"/>
          <w:sz w:val="24"/>
          <w:szCs w:val="24"/>
        </w:rPr>
        <w:t xml:space="preserve">cells were lysed using lysis buffer composed of 50 mM </w:t>
      </w:r>
      <w:proofErr w:type="spellStart"/>
      <w:r w:rsidRPr="00DA1DBB">
        <w:rPr>
          <w:color w:val="000000" w:themeColor="text1"/>
          <w:sz w:val="24"/>
          <w:szCs w:val="24"/>
        </w:rPr>
        <w:t>Hepes</w:t>
      </w:r>
      <w:proofErr w:type="spellEnd"/>
      <w:r w:rsidRPr="00DA1DBB">
        <w:rPr>
          <w:color w:val="000000" w:themeColor="text1"/>
          <w:sz w:val="24"/>
          <w:szCs w:val="24"/>
        </w:rPr>
        <w:t xml:space="preserve">, pH 7.5, 150 mM NaCl, 10% glycerol, 1% Triton X-100, 1 mM EGTA, 1.5 mM </w:t>
      </w:r>
      <w:proofErr w:type="spellStart"/>
      <w:r w:rsidRPr="00DA1DBB">
        <w:rPr>
          <w:color w:val="000000" w:themeColor="text1"/>
          <w:sz w:val="24"/>
          <w:szCs w:val="24"/>
        </w:rPr>
        <w:t>MgCl</w:t>
      </w:r>
      <w:proofErr w:type="spellEnd"/>
      <w:r w:rsidRPr="00DA1DBB">
        <w:rPr>
          <w:color w:val="000000" w:themeColor="text1"/>
          <w:position w:val="-6"/>
          <w:sz w:val="24"/>
          <w:szCs w:val="24"/>
        </w:rPr>
        <w:t>2</w:t>
      </w:r>
      <w:r w:rsidRPr="00DA1DBB">
        <w:rPr>
          <w:color w:val="000000" w:themeColor="text1"/>
          <w:sz w:val="24"/>
          <w:szCs w:val="24"/>
        </w:rPr>
        <w:t xml:space="preserve">, 10 mM </w:t>
      </w:r>
      <w:proofErr w:type="spellStart"/>
      <w:r w:rsidRPr="00DA1DBB">
        <w:rPr>
          <w:color w:val="000000" w:themeColor="text1"/>
          <w:sz w:val="24"/>
          <w:szCs w:val="24"/>
        </w:rPr>
        <w:t>NaF</w:t>
      </w:r>
      <w:proofErr w:type="spellEnd"/>
      <w:r w:rsidRPr="00DA1DBB">
        <w:rPr>
          <w:color w:val="000000" w:themeColor="text1"/>
          <w:sz w:val="24"/>
          <w:szCs w:val="24"/>
        </w:rPr>
        <w:t xml:space="preserve">, </w:t>
      </w:r>
      <w:r w:rsidRPr="00DA1DBB">
        <w:rPr>
          <w:color w:val="000000" w:themeColor="text1"/>
          <w:sz w:val="24"/>
          <w:szCs w:val="24"/>
        </w:rPr>
        <w:lastRenderedPageBreak/>
        <w:t>10 mM sodium pyrophosphate, 1 mM Na</w:t>
      </w:r>
      <w:r w:rsidRPr="00DA1DBB">
        <w:rPr>
          <w:color w:val="000000" w:themeColor="text1"/>
          <w:position w:val="-6"/>
          <w:sz w:val="24"/>
          <w:szCs w:val="24"/>
        </w:rPr>
        <w:t>3</w:t>
      </w:r>
      <w:r w:rsidRPr="00DA1DBB">
        <w:rPr>
          <w:color w:val="000000" w:themeColor="text1"/>
          <w:sz w:val="24"/>
          <w:szCs w:val="24"/>
        </w:rPr>
        <w:t>VO</w:t>
      </w:r>
      <w:r w:rsidRPr="00DA1DBB">
        <w:rPr>
          <w:color w:val="000000" w:themeColor="text1"/>
          <w:position w:val="-6"/>
          <w:sz w:val="24"/>
          <w:szCs w:val="24"/>
        </w:rPr>
        <w:t>4</w:t>
      </w:r>
      <w:r w:rsidRPr="00DA1DBB">
        <w:rPr>
          <w:color w:val="000000" w:themeColor="text1"/>
          <w:sz w:val="24"/>
          <w:szCs w:val="24"/>
        </w:rPr>
        <w:t xml:space="preserve">, 10 </w:t>
      </w:r>
      <w:proofErr w:type="spellStart"/>
      <w:r w:rsidRPr="00DA1DBB">
        <w:rPr>
          <w:color w:val="000000" w:themeColor="text1"/>
          <w:sz w:val="24"/>
          <w:szCs w:val="24"/>
        </w:rPr>
        <w:t>μg</w:t>
      </w:r>
      <w:proofErr w:type="spellEnd"/>
      <w:r w:rsidRPr="00DA1DBB">
        <w:rPr>
          <w:color w:val="000000" w:themeColor="text1"/>
          <w:sz w:val="24"/>
          <w:szCs w:val="24"/>
        </w:rPr>
        <w:t xml:space="preserve"> of aprotinin/ml, 10 </w:t>
      </w:r>
      <w:proofErr w:type="spellStart"/>
      <w:r w:rsidRPr="00DA1DBB">
        <w:rPr>
          <w:color w:val="000000" w:themeColor="text1"/>
          <w:sz w:val="24"/>
          <w:szCs w:val="24"/>
        </w:rPr>
        <w:t>μg</w:t>
      </w:r>
      <w:proofErr w:type="spellEnd"/>
      <w:r w:rsidRPr="00DA1DBB">
        <w:rPr>
          <w:color w:val="000000" w:themeColor="text1"/>
          <w:sz w:val="24"/>
          <w:szCs w:val="24"/>
        </w:rPr>
        <w:t xml:space="preserve"> of leupeptin/ml (all from Sigma). Protein lysates were separated by SDS page and transferred on nitrocellulose membranes (GE Healthcare) that were probed with antibodies pERK1/2, ERK1/2, </w:t>
      </w:r>
      <w:proofErr w:type="spellStart"/>
      <w:r w:rsidRPr="00DA1DBB">
        <w:rPr>
          <w:color w:val="000000" w:themeColor="text1"/>
          <w:sz w:val="24"/>
          <w:szCs w:val="24"/>
        </w:rPr>
        <w:t>pAKT</w:t>
      </w:r>
      <w:proofErr w:type="spellEnd"/>
      <w:r w:rsidRPr="00DA1DBB">
        <w:rPr>
          <w:color w:val="000000" w:themeColor="text1"/>
          <w:sz w:val="24"/>
          <w:szCs w:val="24"/>
        </w:rPr>
        <w:t xml:space="preserve"> T308, </w:t>
      </w:r>
      <w:proofErr w:type="spellStart"/>
      <w:r w:rsidRPr="00DA1DBB">
        <w:rPr>
          <w:color w:val="000000" w:themeColor="text1"/>
          <w:sz w:val="24"/>
          <w:szCs w:val="24"/>
        </w:rPr>
        <w:t>pAKT</w:t>
      </w:r>
      <w:proofErr w:type="spellEnd"/>
      <w:r w:rsidRPr="00DA1DBB">
        <w:rPr>
          <w:color w:val="000000" w:themeColor="text1"/>
          <w:sz w:val="24"/>
          <w:szCs w:val="24"/>
        </w:rPr>
        <w:t xml:space="preserve"> S473, AKT, pp38MAPK, p38MAPK, Tubulin, </w:t>
      </w:r>
      <w:proofErr w:type="spellStart"/>
      <w:r w:rsidRPr="00DA1DBB">
        <w:rPr>
          <w:color w:val="000000" w:themeColor="text1"/>
          <w:sz w:val="24"/>
          <w:szCs w:val="24"/>
        </w:rPr>
        <w:t>pJNK</w:t>
      </w:r>
      <w:proofErr w:type="spellEnd"/>
      <w:r w:rsidRPr="00DA1DBB">
        <w:rPr>
          <w:color w:val="000000" w:themeColor="text1"/>
          <w:sz w:val="24"/>
          <w:szCs w:val="24"/>
        </w:rPr>
        <w:t xml:space="preserve">, JNK, </w:t>
      </w:r>
      <w:proofErr w:type="spellStart"/>
      <w:r w:rsidRPr="00DA1DBB">
        <w:rPr>
          <w:color w:val="000000" w:themeColor="text1"/>
          <w:sz w:val="24"/>
          <w:szCs w:val="24"/>
        </w:rPr>
        <w:t>pSMAD</w:t>
      </w:r>
      <w:proofErr w:type="spellEnd"/>
      <w:r w:rsidRPr="00DA1DBB">
        <w:rPr>
          <w:color w:val="000000" w:themeColor="text1"/>
          <w:sz w:val="24"/>
          <w:szCs w:val="24"/>
        </w:rPr>
        <w:t>, pGSK3</w:t>
      </w:r>
      <w:r w:rsidRPr="00DA1DBB">
        <w:rPr>
          <w:color w:val="000000" w:themeColor="text1"/>
          <w:sz w:val="24"/>
          <w:szCs w:val="24"/>
        </w:rPr>
        <w:sym w:font="Symbol" w:char="F062"/>
      </w:r>
      <w:r w:rsidRPr="00DA1DBB">
        <w:rPr>
          <w:color w:val="000000" w:themeColor="text1"/>
          <w:sz w:val="24"/>
          <w:szCs w:val="24"/>
        </w:rPr>
        <w:t xml:space="preserve">, </w:t>
      </w:r>
      <w:r w:rsidRPr="00DA1DBB">
        <w:rPr>
          <w:color w:val="000000" w:themeColor="text1"/>
          <w:sz w:val="24"/>
          <w:szCs w:val="24"/>
        </w:rPr>
        <w:sym w:font="Symbol" w:char="F062"/>
      </w:r>
      <w:r w:rsidRPr="00DA1DBB">
        <w:rPr>
          <w:color w:val="000000" w:themeColor="text1"/>
          <w:sz w:val="24"/>
          <w:szCs w:val="24"/>
        </w:rPr>
        <w:t xml:space="preserve"> Catenin, PKA substrates, </w:t>
      </w:r>
      <w:proofErr w:type="spellStart"/>
      <w:r w:rsidRPr="00DA1DBB">
        <w:rPr>
          <w:color w:val="000000" w:themeColor="text1"/>
          <w:sz w:val="24"/>
          <w:szCs w:val="24"/>
        </w:rPr>
        <w:t>pCREB</w:t>
      </w:r>
      <w:proofErr w:type="spellEnd"/>
      <w:r w:rsidRPr="00DA1DBB">
        <w:rPr>
          <w:color w:val="000000" w:themeColor="text1"/>
          <w:sz w:val="24"/>
          <w:szCs w:val="24"/>
        </w:rPr>
        <w:t>, CREB, and actin. All antibodies are from Cell Signaling Technologies, Danvers, MA, USA. After the antibody incubation, the signaling molecules were visualized by an enhanced chemiluminescence detection kit (ECL, GE Healthcare).</w:t>
      </w:r>
      <w:r w:rsidR="008D0812" w:rsidRPr="00DA1DBB">
        <w:rPr>
          <w:color w:val="000000" w:themeColor="text1"/>
          <w:sz w:val="24"/>
          <w:szCs w:val="24"/>
        </w:rPr>
        <w:t xml:space="preserve"> The experiments were repeated at least three times.</w:t>
      </w:r>
    </w:p>
    <w:p w14:paraId="625D1D36" w14:textId="77777777" w:rsidR="00907C21" w:rsidRPr="00DA1DBB" w:rsidRDefault="00907C21" w:rsidP="00907C21">
      <w:pPr>
        <w:spacing w:line="480" w:lineRule="auto"/>
        <w:jc w:val="both"/>
        <w:rPr>
          <w:b/>
          <w:bCs/>
          <w:color w:val="000000" w:themeColor="text1"/>
          <w:sz w:val="24"/>
          <w:szCs w:val="24"/>
          <w:lang w:eastAsia="it-IT"/>
        </w:rPr>
      </w:pPr>
    </w:p>
    <w:p w14:paraId="53C0131C" w14:textId="7E51AD6B"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Small GTPase RAS and RAC pull-down analysis was performed using cells at 40 % confluence in 10 cm dishes. After serum starvation for 24 h, the cells were lysed using ice-cold Rho-lysis buffer containing 20 mM HEPES (pH 7.4), 0.1 M NaCl, 1 % Triton X-100, 10 mM EGTA, 40 mM glycerophosphate, 20 mM MgCl2, 1 mM Na3VO4, 1 mM dithiothreitol, a mixture of protease inhibitors, and 1 mM </w:t>
      </w:r>
      <w:proofErr w:type="spellStart"/>
      <w:r w:rsidRPr="00DA1DBB">
        <w:rPr>
          <w:color w:val="000000" w:themeColor="text1"/>
          <w:sz w:val="24"/>
          <w:szCs w:val="24"/>
        </w:rPr>
        <w:t>phenylmethylsulfonyl</w:t>
      </w:r>
      <w:proofErr w:type="spellEnd"/>
      <w:r w:rsidRPr="00DA1DBB">
        <w:rPr>
          <w:color w:val="000000" w:themeColor="text1"/>
          <w:sz w:val="24"/>
          <w:szCs w:val="24"/>
        </w:rPr>
        <w:t xml:space="preserve"> fluoride (All reagents from Sigma). The lysates were incubated for 15 min with a purified, bacterially expressed GST-fusion protein containing the CRIB domain of PAK1 (p21 activated kinase) that had been previously bound to glutathione-Sepharose beads, followed by three washes using Rho-lysis buffer. GST-RAF1-RBD and GTP-bound forms of RAC1 associated with GST-CRIB beads were used for RAS and RAC pull-down assay, respectively, and quantified through Western blotting analysis</w:t>
      </w:r>
      <w:r w:rsidR="00D74247" w:rsidRPr="00DA1DBB">
        <w:rPr>
          <w:color w:val="000000" w:themeColor="text1"/>
          <w:sz w:val="24"/>
          <w:szCs w:val="24"/>
        </w:rPr>
        <w:t>. The experiments were repeated at least three times.</w:t>
      </w:r>
    </w:p>
    <w:p w14:paraId="0AAA0B24" w14:textId="77777777" w:rsidR="00685E66" w:rsidRPr="00DA1DBB" w:rsidRDefault="00685E66" w:rsidP="00685E66">
      <w:pPr>
        <w:pStyle w:val="p"/>
        <w:spacing w:line="480" w:lineRule="auto"/>
        <w:contextualSpacing/>
        <w:jc w:val="both"/>
        <w:rPr>
          <w:b/>
          <w:bCs/>
          <w:color w:val="000000" w:themeColor="text1"/>
          <w:lang w:eastAsia="it-IT"/>
        </w:rPr>
      </w:pPr>
      <w:r w:rsidRPr="00DA1DBB">
        <w:rPr>
          <w:b/>
          <w:bCs/>
          <w:color w:val="000000" w:themeColor="text1"/>
          <w:lang w:eastAsia="it-IT"/>
        </w:rPr>
        <w:t>Seahorse XF Analyzer respiratory assay</w:t>
      </w:r>
    </w:p>
    <w:p w14:paraId="387A221F" w14:textId="77777777" w:rsidR="00685E66" w:rsidRPr="00DA1DBB" w:rsidRDefault="00685E66" w:rsidP="00685E66">
      <w:pPr>
        <w:pStyle w:val="p"/>
        <w:spacing w:line="480" w:lineRule="auto"/>
        <w:contextualSpacing/>
        <w:jc w:val="both"/>
        <w:rPr>
          <w:color w:val="000000" w:themeColor="text1"/>
          <w:lang w:eastAsia="it-IT"/>
        </w:rPr>
      </w:pPr>
      <w:r w:rsidRPr="00DA1DBB">
        <w:rPr>
          <w:color w:val="000000" w:themeColor="text1"/>
          <w:lang w:eastAsia="it-IT"/>
        </w:rPr>
        <w:t xml:space="preserve">Cellular oxygen consumption rate (OCR), which is an indictive of mitochondrial function, and extracellular acidification rate (ECAR), which indirectly indicates glycolytic activity, measurements were conducted using the XF96 Extracellular Flux Analyzer/Seahorse (Seahorse bioscience, Houston, TX, USA) in conjunction with the XF Cell Mito Stress Test </w:t>
      </w:r>
      <w:r w:rsidRPr="00DA1DBB">
        <w:rPr>
          <w:color w:val="000000" w:themeColor="text1"/>
          <w:lang w:eastAsia="it-IT"/>
        </w:rPr>
        <w:lastRenderedPageBreak/>
        <w:t xml:space="preserve">(Agilent, Santa Clara, CA, USA). The energy metabolism of naïve fibroblasts, TAFs, and HCT116 cells was assessed by measuring both mitochondrial respiration and glycolysis with the Seahorse respirometer. To study the effect of tumor stroma on cancer cells, naïve fibroblasts and TAFs (1-2x10^4 cells) isolated from adenoma, and HCT116 (5000 cells) were seeded onto XFe96 culture miniplates for 24 h and allowed to stabilize for 48 h. </w:t>
      </w:r>
    </w:p>
    <w:p w14:paraId="407BC206" w14:textId="77777777" w:rsidR="00685E66" w:rsidRPr="00DA1DBB" w:rsidRDefault="00685E66" w:rsidP="00685E66">
      <w:pPr>
        <w:pStyle w:val="p"/>
        <w:spacing w:line="480" w:lineRule="auto"/>
        <w:contextualSpacing/>
        <w:jc w:val="both"/>
        <w:rPr>
          <w:color w:val="000000" w:themeColor="text1"/>
          <w:lang w:eastAsia="it-IT"/>
        </w:rPr>
      </w:pPr>
    </w:p>
    <w:p w14:paraId="66CF33F3" w14:textId="77777777" w:rsidR="00685E66" w:rsidRPr="00DA1DBB" w:rsidRDefault="00685E66" w:rsidP="00685E66">
      <w:pPr>
        <w:pStyle w:val="p"/>
        <w:spacing w:line="480" w:lineRule="auto"/>
        <w:contextualSpacing/>
        <w:jc w:val="both"/>
        <w:rPr>
          <w:color w:val="000000" w:themeColor="text1"/>
          <w:lang w:eastAsia="it-IT"/>
        </w:rPr>
      </w:pPr>
      <w:r w:rsidRPr="00DA1DBB">
        <w:rPr>
          <w:color w:val="000000" w:themeColor="text1"/>
          <w:lang w:eastAsia="it-IT"/>
        </w:rPr>
        <w:t xml:space="preserve">After stabilization of the cultures, conditioned medium collected after three-day culture from naïve fibroblasts and TAFs from adenoma, was added on HCT116 cells at time points 24 h, 48 h, and 62 h. The total culture time with conditioned medium was set to 76 h. Next, the cells were washed with EX base medium, supplemented with 10 mM glucose, 10 mM pyruvate, and 2 mM L-glutamine at pH 7.4, and subsequently moved to 37 </w:t>
      </w:r>
      <w:r w:rsidRPr="00DA1DBB">
        <w:rPr>
          <w:color w:val="000000" w:themeColor="text1"/>
          <w:lang w:eastAsia="it-IT"/>
        </w:rPr>
        <w:sym w:font="Symbol" w:char="F0B0"/>
      </w:r>
      <w:r w:rsidRPr="00DA1DBB">
        <w:rPr>
          <w:color w:val="000000" w:themeColor="text1"/>
          <w:lang w:eastAsia="it-IT"/>
        </w:rPr>
        <w:t>C non-CO</w:t>
      </w:r>
      <w:r w:rsidRPr="00DA1DBB">
        <w:rPr>
          <w:color w:val="000000" w:themeColor="text1"/>
          <w:vertAlign w:val="subscript"/>
          <w:lang w:eastAsia="it-IT"/>
        </w:rPr>
        <w:t>2</w:t>
      </w:r>
      <w:r w:rsidRPr="00DA1DBB">
        <w:rPr>
          <w:color w:val="000000" w:themeColor="text1"/>
          <w:lang w:eastAsia="it-IT"/>
        </w:rPr>
        <w:t xml:space="preserve"> incubator in 180 </w:t>
      </w:r>
      <w:r w:rsidRPr="00DA1DBB">
        <w:rPr>
          <w:color w:val="000000" w:themeColor="text1"/>
          <w:lang w:eastAsia="it-IT"/>
        </w:rPr>
        <w:sym w:font="Symbol" w:char="F06D"/>
      </w:r>
      <w:r w:rsidRPr="00DA1DBB">
        <w:rPr>
          <w:color w:val="000000" w:themeColor="text1"/>
          <w:lang w:eastAsia="it-IT"/>
        </w:rPr>
        <w:t>l XF base medium. Similar protocol was applied to naïve fibroblast and TAF measurements.</w:t>
      </w:r>
    </w:p>
    <w:p w14:paraId="3608CDF7" w14:textId="77777777" w:rsidR="00685E66" w:rsidRPr="00DA1DBB" w:rsidRDefault="00685E66" w:rsidP="00685E66">
      <w:pPr>
        <w:pStyle w:val="p"/>
        <w:spacing w:line="480" w:lineRule="auto"/>
        <w:contextualSpacing/>
        <w:jc w:val="both"/>
        <w:rPr>
          <w:color w:val="000000" w:themeColor="text1"/>
          <w:lang w:eastAsia="it-IT"/>
        </w:rPr>
      </w:pPr>
    </w:p>
    <w:p w14:paraId="0AD24AA9" w14:textId="77777777" w:rsidR="00685E66" w:rsidRPr="00DA1DBB" w:rsidRDefault="00685E66" w:rsidP="00685E66">
      <w:pPr>
        <w:pStyle w:val="p"/>
        <w:spacing w:line="480" w:lineRule="auto"/>
        <w:contextualSpacing/>
        <w:jc w:val="both"/>
        <w:rPr>
          <w:color w:val="000000" w:themeColor="text1"/>
          <w:lang w:eastAsia="it-IT"/>
        </w:rPr>
      </w:pPr>
      <w:r w:rsidRPr="00DA1DBB">
        <w:rPr>
          <w:color w:val="000000" w:themeColor="text1"/>
          <w:lang w:eastAsia="it-IT"/>
        </w:rPr>
        <w:t xml:space="preserve">Calibration measurements were taken under basal conditions and following the sequential injection of stressors: 1) Oligomycin, an inhibitor of ATP synthase, was administered at 1.5 </w:t>
      </w:r>
      <w:r w:rsidRPr="00DA1DBB">
        <w:rPr>
          <w:color w:val="000000" w:themeColor="text1"/>
          <w:lang w:eastAsia="it-IT"/>
        </w:rPr>
        <w:sym w:font="Symbol" w:char="F06D"/>
      </w:r>
      <w:r w:rsidRPr="00DA1DBB">
        <w:rPr>
          <w:color w:val="000000" w:themeColor="text1"/>
          <w:lang w:eastAsia="it-IT"/>
        </w:rPr>
        <w:t xml:space="preserve">M concentration to naïve fibroblasts and TAFs, and at 1.0 </w:t>
      </w:r>
      <w:r w:rsidRPr="00DA1DBB">
        <w:rPr>
          <w:color w:val="000000" w:themeColor="text1"/>
          <w:lang w:eastAsia="it-IT"/>
        </w:rPr>
        <w:sym w:font="Symbol" w:char="F06D"/>
      </w:r>
      <w:r w:rsidRPr="00DA1DBB">
        <w:rPr>
          <w:color w:val="000000" w:themeColor="text1"/>
          <w:lang w:eastAsia="it-IT"/>
        </w:rPr>
        <w:t xml:space="preserve">M concentration to HCT116 cells. 2) FCCP, an uncoupler that discharges mitochondrial membrane </w:t>
      </w:r>
      <w:r w:rsidRPr="00DA1DBB">
        <w:rPr>
          <w:color w:val="000000" w:themeColor="text1"/>
          <w:lang w:eastAsia="it-IT"/>
        </w:rPr>
        <w:sym w:font="Symbol" w:char="F044"/>
      </w:r>
      <w:r w:rsidRPr="00DA1DBB">
        <w:rPr>
          <w:color w:val="000000" w:themeColor="text1"/>
          <w:lang w:eastAsia="it-IT"/>
        </w:rPr>
        <w:t xml:space="preserve">pH potential was administered at 2.5 </w:t>
      </w:r>
      <w:r w:rsidRPr="00DA1DBB">
        <w:rPr>
          <w:color w:val="000000" w:themeColor="text1"/>
          <w:lang w:eastAsia="it-IT"/>
        </w:rPr>
        <w:sym w:font="Symbol" w:char="F06D"/>
      </w:r>
      <w:r w:rsidRPr="00DA1DBB">
        <w:rPr>
          <w:color w:val="000000" w:themeColor="text1"/>
          <w:lang w:eastAsia="it-IT"/>
        </w:rPr>
        <w:t xml:space="preserve">M concentration to naïve fibroblasts and TAFs from adenomas and adenocarcinoma without metastasis, at 2.0 </w:t>
      </w:r>
      <w:r w:rsidRPr="00DA1DBB">
        <w:rPr>
          <w:color w:val="000000" w:themeColor="text1"/>
          <w:lang w:eastAsia="it-IT"/>
        </w:rPr>
        <w:sym w:font="Symbol" w:char="F06D"/>
      </w:r>
      <w:r w:rsidRPr="00DA1DBB">
        <w:rPr>
          <w:color w:val="000000" w:themeColor="text1"/>
          <w:lang w:eastAsia="it-IT"/>
        </w:rPr>
        <w:t xml:space="preserve">M concentration to TAFs isolated from metastasized adenocarcinoma, and at 0.5 </w:t>
      </w:r>
      <w:r w:rsidRPr="00DA1DBB">
        <w:rPr>
          <w:color w:val="000000" w:themeColor="text1"/>
          <w:lang w:eastAsia="it-IT"/>
        </w:rPr>
        <w:sym w:font="Symbol" w:char="F06D"/>
      </w:r>
      <w:r w:rsidRPr="00DA1DBB">
        <w:rPr>
          <w:color w:val="000000" w:themeColor="text1"/>
          <w:lang w:eastAsia="it-IT"/>
        </w:rPr>
        <w:t xml:space="preserve">M concentration to HCT116 cells. 3) Rotenone (0.5 </w:t>
      </w:r>
      <w:r w:rsidRPr="00DA1DBB">
        <w:rPr>
          <w:color w:val="000000" w:themeColor="text1"/>
          <w:lang w:eastAsia="it-IT"/>
        </w:rPr>
        <w:sym w:font="Symbol" w:char="F06D"/>
      </w:r>
      <w:r w:rsidRPr="00DA1DBB">
        <w:rPr>
          <w:color w:val="000000" w:themeColor="text1"/>
          <w:lang w:eastAsia="it-IT"/>
        </w:rPr>
        <w:t xml:space="preserve">M) and antimycin A (0.5 </w:t>
      </w:r>
      <w:r w:rsidRPr="00DA1DBB">
        <w:rPr>
          <w:color w:val="000000" w:themeColor="text1"/>
          <w:lang w:eastAsia="it-IT"/>
        </w:rPr>
        <w:sym w:font="Symbol" w:char="F06D"/>
      </w:r>
      <w:r w:rsidRPr="00DA1DBB">
        <w:rPr>
          <w:color w:val="000000" w:themeColor="text1"/>
          <w:lang w:eastAsia="it-IT"/>
        </w:rPr>
        <w:t xml:space="preserve">M), which inhibit complex I and complex III, respectively. </w:t>
      </w:r>
    </w:p>
    <w:p w14:paraId="4086E546" w14:textId="77777777" w:rsidR="00685E66" w:rsidRPr="00DA1DBB" w:rsidRDefault="00685E66" w:rsidP="00685E66">
      <w:pPr>
        <w:pStyle w:val="p"/>
        <w:spacing w:line="480" w:lineRule="auto"/>
        <w:contextualSpacing/>
        <w:jc w:val="both"/>
        <w:rPr>
          <w:color w:val="000000" w:themeColor="text1"/>
          <w:lang w:eastAsia="it-IT"/>
        </w:rPr>
      </w:pPr>
    </w:p>
    <w:p w14:paraId="12168AE5" w14:textId="2B5ADA53" w:rsidR="00685E66" w:rsidRPr="00DA1DBB" w:rsidRDefault="00685E66" w:rsidP="00685E66">
      <w:pPr>
        <w:pStyle w:val="p"/>
        <w:spacing w:line="480" w:lineRule="auto"/>
        <w:contextualSpacing/>
        <w:jc w:val="both"/>
        <w:rPr>
          <w:color w:val="000000" w:themeColor="text1"/>
          <w:lang w:eastAsia="it-IT"/>
        </w:rPr>
      </w:pPr>
      <w:r w:rsidRPr="00DA1DBB">
        <w:rPr>
          <w:color w:val="000000" w:themeColor="text1"/>
          <w:lang w:eastAsia="it-IT"/>
        </w:rPr>
        <w:t xml:space="preserve">The concentrations of the stressors were optimized as follows: 1) OCR and ECAR values were normalized in </w:t>
      </w:r>
      <w:proofErr w:type="spellStart"/>
      <w:r w:rsidRPr="00DA1DBB">
        <w:rPr>
          <w:color w:val="000000" w:themeColor="text1"/>
          <w:lang w:eastAsia="it-IT"/>
        </w:rPr>
        <w:t>pmol</w:t>
      </w:r>
      <w:proofErr w:type="spellEnd"/>
      <w:r w:rsidRPr="00DA1DBB">
        <w:rPr>
          <w:color w:val="000000" w:themeColor="text1"/>
          <w:lang w:eastAsia="it-IT"/>
        </w:rPr>
        <w:t xml:space="preserve">/min/10 000 cells. Basal OCR values were calculated by subtracting the endpoint after the addition of rotenone from the third measurement of the basal OCR value. </w:t>
      </w:r>
      <w:r w:rsidRPr="00DA1DBB">
        <w:rPr>
          <w:color w:val="000000" w:themeColor="text1"/>
          <w:lang w:eastAsia="it-IT"/>
        </w:rPr>
        <w:lastRenderedPageBreak/>
        <w:t>Spare respiratory capacity, which reflects the potential ATP production by mitochondria under energy demand, was determined as the difference between the maximal OCR (achieved with FCCP) and the basal OCR.</w:t>
      </w:r>
      <w:r w:rsidR="00D74247" w:rsidRPr="00DA1DBB">
        <w:rPr>
          <w:color w:val="000000" w:themeColor="text1"/>
          <w:lang w:eastAsia="it-IT"/>
        </w:rPr>
        <w:t xml:space="preserve"> </w:t>
      </w:r>
      <w:r w:rsidR="00D74247" w:rsidRPr="00DA1DBB">
        <w:rPr>
          <w:color w:val="000000" w:themeColor="text1"/>
        </w:rPr>
        <w:t>The experiments were repeated at least three times.</w:t>
      </w:r>
    </w:p>
    <w:p w14:paraId="05DB2C37" w14:textId="77777777" w:rsidR="00685E66" w:rsidRPr="00DA1DBB" w:rsidRDefault="00685E66" w:rsidP="00685E66">
      <w:pPr>
        <w:pStyle w:val="p"/>
        <w:spacing w:line="480" w:lineRule="auto"/>
        <w:contextualSpacing/>
        <w:jc w:val="both"/>
        <w:rPr>
          <w:color w:val="000000" w:themeColor="text1"/>
          <w:lang w:eastAsia="it-IT"/>
        </w:rPr>
      </w:pPr>
    </w:p>
    <w:p w14:paraId="443BF639" w14:textId="77777777" w:rsidR="00685E66" w:rsidRPr="00DA1DBB" w:rsidRDefault="00685E66" w:rsidP="00685E66">
      <w:pPr>
        <w:pStyle w:val="p"/>
        <w:spacing w:line="480" w:lineRule="auto"/>
        <w:contextualSpacing/>
        <w:jc w:val="both"/>
        <w:rPr>
          <w:b/>
          <w:bCs/>
          <w:color w:val="000000" w:themeColor="text1"/>
          <w:lang w:eastAsia="it-IT"/>
        </w:rPr>
      </w:pPr>
      <w:r w:rsidRPr="00DA1DBB">
        <w:rPr>
          <w:b/>
          <w:bCs/>
          <w:color w:val="000000" w:themeColor="text1"/>
          <w:lang w:eastAsia="it-IT"/>
        </w:rPr>
        <w:t>Oncometabolite detection from fibroblast culture medium</w:t>
      </w:r>
    </w:p>
    <w:p w14:paraId="4B61C40B" w14:textId="77777777" w:rsidR="00685E66" w:rsidRPr="00DA1DBB" w:rsidRDefault="00685E66" w:rsidP="00685E66">
      <w:pPr>
        <w:pStyle w:val="p"/>
        <w:spacing w:line="480" w:lineRule="auto"/>
        <w:contextualSpacing/>
        <w:jc w:val="both"/>
        <w:rPr>
          <w:color w:val="000000" w:themeColor="text1"/>
          <w:lang w:eastAsia="it-IT"/>
        </w:rPr>
      </w:pPr>
      <w:r w:rsidRPr="00DA1DBB">
        <w:rPr>
          <w:color w:val="000000" w:themeColor="text1"/>
          <w:lang w:eastAsia="it-IT"/>
        </w:rPr>
        <w:t>Chemicals and reagents</w:t>
      </w:r>
    </w:p>
    <w:p w14:paraId="00AAC3F3" w14:textId="77777777" w:rsidR="00685E66" w:rsidRPr="00DA1DBB" w:rsidRDefault="00685E66" w:rsidP="00685E66">
      <w:pPr>
        <w:pStyle w:val="p"/>
        <w:spacing w:line="480" w:lineRule="auto"/>
        <w:contextualSpacing/>
        <w:jc w:val="both"/>
        <w:rPr>
          <w:color w:val="000000" w:themeColor="text1"/>
        </w:rPr>
      </w:pPr>
      <w:r w:rsidRPr="00DA1DBB">
        <w:rPr>
          <w:color w:val="000000" w:themeColor="text1"/>
          <w:lang w:eastAsia="it-IT"/>
        </w:rPr>
        <w:t xml:space="preserve">All chemicals and solvents (Carlo </w:t>
      </w:r>
      <w:proofErr w:type="spellStart"/>
      <w:r w:rsidRPr="00DA1DBB">
        <w:rPr>
          <w:color w:val="000000" w:themeColor="text1"/>
          <w:lang w:eastAsia="it-IT"/>
        </w:rPr>
        <w:t>Erba</w:t>
      </w:r>
      <w:proofErr w:type="spellEnd"/>
      <w:r w:rsidRPr="00DA1DBB">
        <w:rPr>
          <w:color w:val="000000" w:themeColor="text1"/>
          <w:lang w:eastAsia="it-IT"/>
        </w:rPr>
        <w:t xml:space="preserve">, Milano, Italy) were analytical grade. </w:t>
      </w:r>
      <w:r w:rsidRPr="00DA1DBB">
        <w:rPr>
          <w:color w:val="000000" w:themeColor="text1"/>
        </w:rPr>
        <w:t>N-tert-</w:t>
      </w:r>
      <w:proofErr w:type="spellStart"/>
      <w:r w:rsidRPr="00DA1DBB">
        <w:rPr>
          <w:color w:val="000000" w:themeColor="text1"/>
        </w:rPr>
        <w:t>butyldimethylsilyl</w:t>
      </w:r>
      <w:proofErr w:type="spellEnd"/>
      <w:r w:rsidRPr="00DA1DBB">
        <w:rPr>
          <w:color w:val="000000" w:themeColor="text1"/>
        </w:rPr>
        <w:t>-N-methyl-trifluoroacetamide (MTBSTFA) and para-coumaric acid were purchased from Sigma.</w:t>
      </w:r>
    </w:p>
    <w:p w14:paraId="322BEE9C" w14:textId="77777777" w:rsidR="00685E66" w:rsidRPr="00DA1DBB" w:rsidRDefault="00685E66" w:rsidP="00685E66">
      <w:pPr>
        <w:pStyle w:val="p"/>
        <w:spacing w:line="480" w:lineRule="auto"/>
        <w:contextualSpacing/>
        <w:jc w:val="both"/>
        <w:rPr>
          <w:color w:val="000000" w:themeColor="text1"/>
        </w:rPr>
      </w:pPr>
    </w:p>
    <w:p w14:paraId="5A6DAC64" w14:textId="77777777" w:rsidR="00685E66" w:rsidRPr="00DA1DBB" w:rsidRDefault="00685E66" w:rsidP="00685E66">
      <w:pPr>
        <w:pStyle w:val="p"/>
        <w:spacing w:line="480" w:lineRule="auto"/>
        <w:contextualSpacing/>
        <w:jc w:val="both"/>
        <w:rPr>
          <w:color w:val="000000" w:themeColor="text1"/>
        </w:rPr>
      </w:pPr>
      <w:r w:rsidRPr="00DA1DBB">
        <w:rPr>
          <w:color w:val="000000" w:themeColor="text1"/>
        </w:rPr>
        <w:t>Sample extraction and derivatization</w:t>
      </w:r>
    </w:p>
    <w:p w14:paraId="3C7B55E0" w14:textId="77777777" w:rsidR="00685E66" w:rsidRPr="00DA1DBB" w:rsidRDefault="00685E66" w:rsidP="00685E66">
      <w:pPr>
        <w:pStyle w:val="p"/>
        <w:spacing w:line="480" w:lineRule="auto"/>
        <w:contextualSpacing/>
        <w:jc w:val="both"/>
        <w:rPr>
          <w:color w:val="000000" w:themeColor="text1"/>
        </w:rPr>
      </w:pPr>
      <w:r w:rsidRPr="00DA1DBB">
        <w:rPr>
          <w:color w:val="000000" w:themeColor="text1"/>
        </w:rPr>
        <w:t>Amino acids were analyzed by gas chromatography-mass spectrometry (GC-MS) after derivatization to their tert-</w:t>
      </w:r>
      <w:proofErr w:type="spellStart"/>
      <w:r w:rsidRPr="00DA1DBB">
        <w:rPr>
          <w:color w:val="000000" w:themeColor="text1"/>
        </w:rPr>
        <w:t>butyldimethylsilyl</w:t>
      </w:r>
      <w:proofErr w:type="spellEnd"/>
      <w:r w:rsidRPr="00DA1DBB">
        <w:rPr>
          <w:color w:val="000000" w:themeColor="text1"/>
        </w:rPr>
        <w:t xml:space="preserve"> (TBDMS) derivatives. Biological samples were treated with 100 </w:t>
      </w:r>
      <w:r w:rsidRPr="00DA1DBB">
        <w:rPr>
          <w:color w:val="000000" w:themeColor="text1"/>
          <w:lang w:eastAsia="it-IT"/>
        </w:rPr>
        <w:sym w:font="Symbol" w:char="F06D"/>
      </w:r>
      <w:r w:rsidRPr="00DA1DBB">
        <w:rPr>
          <w:color w:val="000000" w:themeColor="text1"/>
          <w:lang w:eastAsia="it-IT"/>
        </w:rPr>
        <w:t xml:space="preserve">l of 0.1 M </w:t>
      </w:r>
      <w:proofErr w:type="spellStart"/>
      <w:proofErr w:type="gramStart"/>
      <w:r w:rsidRPr="00DA1DBB">
        <w:rPr>
          <w:color w:val="000000" w:themeColor="text1"/>
          <w:lang w:eastAsia="it-IT"/>
        </w:rPr>
        <w:t>HCL:acetonitrile</w:t>
      </w:r>
      <w:proofErr w:type="spellEnd"/>
      <w:proofErr w:type="gramEnd"/>
      <w:r w:rsidRPr="00DA1DBB">
        <w:rPr>
          <w:color w:val="000000" w:themeColor="text1"/>
          <w:lang w:eastAsia="it-IT"/>
        </w:rPr>
        <w:t xml:space="preserve"> (1:1) solution. The mixtures were stirred for 2 min, sonicated for 1 min, and centrifuged for 2 min at 4000 rpm. A 50 </w:t>
      </w:r>
      <w:r w:rsidRPr="00DA1DBB">
        <w:rPr>
          <w:color w:val="000000" w:themeColor="text1"/>
          <w:lang w:eastAsia="it-IT"/>
        </w:rPr>
        <w:sym w:font="Symbol" w:char="F06D"/>
      </w:r>
      <w:r w:rsidRPr="00DA1DBB">
        <w:rPr>
          <w:color w:val="000000" w:themeColor="text1"/>
          <w:lang w:eastAsia="it-IT"/>
        </w:rPr>
        <w:t xml:space="preserve">l aliquot was then evaporated to dryness under a gentle stream of nitrogen. Following evaporation, 50 </w:t>
      </w:r>
      <w:r w:rsidRPr="00DA1DBB">
        <w:rPr>
          <w:color w:val="000000" w:themeColor="text1"/>
          <w:lang w:eastAsia="it-IT"/>
        </w:rPr>
        <w:sym w:font="Symbol" w:char="F06D"/>
      </w:r>
      <w:r w:rsidRPr="00DA1DBB">
        <w:rPr>
          <w:color w:val="000000" w:themeColor="text1"/>
          <w:lang w:eastAsia="it-IT"/>
        </w:rPr>
        <w:t xml:space="preserve">l of neat </w:t>
      </w:r>
      <w:r w:rsidRPr="00DA1DBB">
        <w:rPr>
          <w:color w:val="000000" w:themeColor="text1"/>
        </w:rPr>
        <w:t xml:space="preserve">MTBSTFA and 500 </w:t>
      </w:r>
      <w:r w:rsidRPr="00DA1DBB">
        <w:rPr>
          <w:color w:val="000000" w:themeColor="text1"/>
          <w:lang w:eastAsia="it-IT"/>
        </w:rPr>
        <w:sym w:font="Symbol" w:char="F06D"/>
      </w:r>
      <w:r w:rsidRPr="00DA1DBB">
        <w:rPr>
          <w:color w:val="000000" w:themeColor="text1"/>
          <w:lang w:eastAsia="it-IT"/>
        </w:rPr>
        <w:t xml:space="preserve">l of the internal standard solution (para-coumaric acid, 0.2 mg7ml in acetonitrile) were added. The mixture was heated at 80 </w:t>
      </w:r>
      <w:r w:rsidRPr="00DA1DBB">
        <w:rPr>
          <w:color w:val="000000" w:themeColor="text1"/>
          <w:lang w:eastAsia="it-IT"/>
        </w:rPr>
        <w:sym w:font="Symbol" w:char="F0B0"/>
      </w:r>
      <w:r w:rsidRPr="00DA1DBB">
        <w:rPr>
          <w:color w:val="000000" w:themeColor="text1"/>
          <w:lang w:eastAsia="it-IT"/>
        </w:rPr>
        <w:t>C for 1 h to complete the derivatization. The sample was then cooled and subjected directly to GC-MS analysis.</w:t>
      </w:r>
    </w:p>
    <w:p w14:paraId="629A56ED" w14:textId="77777777" w:rsidR="00685E66" w:rsidRPr="00DA1DBB" w:rsidRDefault="00685E66" w:rsidP="00685E66">
      <w:pPr>
        <w:pStyle w:val="p"/>
        <w:spacing w:line="480" w:lineRule="auto"/>
        <w:contextualSpacing/>
        <w:jc w:val="both"/>
        <w:rPr>
          <w:color w:val="000000" w:themeColor="text1"/>
          <w:lang w:eastAsia="it-IT"/>
        </w:rPr>
      </w:pPr>
    </w:p>
    <w:p w14:paraId="5605B928" w14:textId="77777777" w:rsidR="00685E66" w:rsidRPr="00DA1DBB" w:rsidRDefault="00685E66" w:rsidP="00685E66">
      <w:pPr>
        <w:pStyle w:val="p"/>
        <w:spacing w:line="480" w:lineRule="auto"/>
        <w:contextualSpacing/>
        <w:jc w:val="both"/>
        <w:rPr>
          <w:color w:val="000000" w:themeColor="text1"/>
        </w:rPr>
      </w:pPr>
      <w:r w:rsidRPr="00DA1DBB">
        <w:rPr>
          <w:color w:val="000000" w:themeColor="text1"/>
        </w:rPr>
        <w:t>Gas chromatography-mass spectrometry</w:t>
      </w:r>
    </w:p>
    <w:p w14:paraId="349D256C" w14:textId="77777777" w:rsidR="00685E66" w:rsidRPr="00DA1DBB" w:rsidRDefault="00685E66" w:rsidP="00685E66">
      <w:pPr>
        <w:pStyle w:val="p"/>
        <w:spacing w:line="480" w:lineRule="auto"/>
        <w:contextualSpacing/>
        <w:jc w:val="both"/>
        <w:rPr>
          <w:color w:val="000000" w:themeColor="text1"/>
        </w:rPr>
      </w:pPr>
      <w:r w:rsidRPr="00DA1DBB">
        <w:rPr>
          <w:color w:val="000000" w:themeColor="text1"/>
        </w:rPr>
        <w:t xml:space="preserve">Analyses were carried out using GC-MS system consisting of an Agilent 6850A gas chromatograph and a 5973N quadrupole mass detector (Agilent Technologies, Palo Alto, CA, USA). Chromatographic separation was achieved using an Agilent HP5ms fused-silica capillary column (30 m x 0.25 mm, </w:t>
      </w:r>
      <w:proofErr w:type="spellStart"/>
      <w:r w:rsidRPr="00DA1DBB">
        <w:rPr>
          <w:color w:val="000000" w:themeColor="text1"/>
        </w:rPr>
        <w:t>i.d.</w:t>
      </w:r>
      <w:proofErr w:type="spellEnd"/>
      <w:r w:rsidRPr="00DA1DBB">
        <w:rPr>
          <w:color w:val="000000" w:themeColor="text1"/>
        </w:rPr>
        <w:t xml:space="preserve"> 0.25 µm film thickness, 5%-phenyl-95%-</w:t>
      </w:r>
      <w:r w:rsidRPr="00DA1DBB">
        <w:rPr>
          <w:color w:val="000000" w:themeColor="text1"/>
        </w:rPr>
        <w:lastRenderedPageBreak/>
        <w:t>dimethylpolysiloxane). The injection was performed in spitless mode at 250 °C. The gas chromatography oven temperature was initially 80 °C for 1 min, then increased at 20 °C/min to 300 °C, and held for 15 min. Helium was the carrier gas, flowing at a constant rate of 1.0 ml/min. Mass spectra were recorded using electron impact ionization at 70 eV, with the ion source temperature set to 280 °C and a vacuum of 10⁻⁵ Torr. Mass spectral data were acquired simultaneously in TIC (m/z 50 to 600, 0.42 scans/s) and SIM modes. Gas Chromatography - Selected Ion Monitoring - Mass Spectrometry (GC-SIM-MS) analysis was performed selecting the following ions:</w:t>
      </w:r>
    </w:p>
    <w:p w14:paraId="0BB17DAC" w14:textId="77777777" w:rsidR="00685E66" w:rsidRPr="00DA1DBB" w:rsidRDefault="00685E66" w:rsidP="00685E66">
      <w:pPr>
        <w:pStyle w:val="p"/>
        <w:spacing w:line="276" w:lineRule="auto"/>
        <w:contextualSpacing/>
        <w:jc w:val="both"/>
        <w:rPr>
          <w:color w:val="000000" w:themeColor="text1"/>
        </w:rPr>
      </w:pPr>
    </w:p>
    <w:tbl>
      <w:tblPr>
        <w:tblStyle w:val="TableGrid"/>
        <w:tblW w:w="0" w:type="auto"/>
        <w:tblLook w:val="04A0" w:firstRow="1" w:lastRow="0" w:firstColumn="1" w:lastColumn="0" w:noHBand="0" w:noVBand="1"/>
      </w:tblPr>
      <w:tblGrid>
        <w:gridCol w:w="1749"/>
        <w:gridCol w:w="527"/>
        <w:gridCol w:w="1494"/>
        <w:gridCol w:w="527"/>
        <w:gridCol w:w="1794"/>
        <w:gridCol w:w="527"/>
        <w:gridCol w:w="1383"/>
        <w:gridCol w:w="527"/>
      </w:tblGrid>
      <w:tr w:rsidR="00DA1DBB" w:rsidRPr="00DA1DBB" w14:paraId="05898EC7" w14:textId="77777777" w:rsidTr="00707230">
        <w:trPr>
          <w:trHeight w:val="340"/>
        </w:trPr>
        <w:tc>
          <w:tcPr>
            <w:tcW w:w="0" w:type="auto"/>
            <w:vAlign w:val="center"/>
          </w:tcPr>
          <w:p w14:paraId="332EF65E" w14:textId="77777777" w:rsidR="00685E66" w:rsidRPr="00DA1DBB" w:rsidRDefault="00685E66" w:rsidP="00707230">
            <w:pPr>
              <w:pStyle w:val="NoSpacing"/>
              <w:rPr>
                <w:b/>
                <w:bCs/>
                <w:color w:val="000000" w:themeColor="text1"/>
              </w:rPr>
            </w:pPr>
            <w:r w:rsidRPr="00DA1DBB">
              <w:rPr>
                <w:b/>
                <w:bCs/>
                <w:color w:val="000000" w:themeColor="text1"/>
                <w:lang w:eastAsia="it-IT"/>
              </w:rPr>
              <w:t>Compound</w:t>
            </w:r>
          </w:p>
        </w:tc>
        <w:tc>
          <w:tcPr>
            <w:tcW w:w="0" w:type="auto"/>
            <w:vAlign w:val="center"/>
          </w:tcPr>
          <w:p w14:paraId="2BAE478C" w14:textId="77777777" w:rsidR="00685E66" w:rsidRPr="00DA1DBB" w:rsidRDefault="00685E66" w:rsidP="00707230">
            <w:pPr>
              <w:pStyle w:val="NoSpacing"/>
              <w:rPr>
                <w:b/>
                <w:bCs/>
                <w:color w:val="000000" w:themeColor="text1"/>
              </w:rPr>
            </w:pPr>
            <w:r w:rsidRPr="00DA1DBB">
              <w:rPr>
                <w:b/>
                <w:bCs/>
                <w:color w:val="000000" w:themeColor="text1"/>
                <w:lang w:eastAsia="it-IT"/>
              </w:rPr>
              <w:t xml:space="preserve">m/z </w:t>
            </w:r>
          </w:p>
        </w:tc>
        <w:tc>
          <w:tcPr>
            <w:tcW w:w="0" w:type="auto"/>
            <w:vAlign w:val="center"/>
          </w:tcPr>
          <w:p w14:paraId="57FB7FB4" w14:textId="77777777" w:rsidR="00685E66" w:rsidRPr="00DA1DBB" w:rsidRDefault="00685E66" w:rsidP="00707230">
            <w:pPr>
              <w:pStyle w:val="NoSpacing"/>
              <w:rPr>
                <w:b/>
                <w:bCs/>
                <w:color w:val="000000" w:themeColor="text1"/>
              </w:rPr>
            </w:pPr>
            <w:r w:rsidRPr="00DA1DBB">
              <w:rPr>
                <w:b/>
                <w:bCs/>
                <w:color w:val="000000" w:themeColor="text1"/>
                <w:lang w:eastAsia="it-IT"/>
              </w:rPr>
              <w:t>Compound</w:t>
            </w:r>
          </w:p>
        </w:tc>
        <w:tc>
          <w:tcPr>
            <w:tcW w:w="0" w:type="auto"/>
            <w:vAlign w:val="center"/>
          </w:tcPr>
          <w:p w14:paraId="665EFEEB" w14:textId="77777777" w:rsidR="00685E66" w:rsidRPr="00DA1DBB" w:rsidRDefault="00685E66" w:rsidP="00707230">
            <w:pPr>
              <w:pStyle w:val="NoSpacing"/>
              <w:rPr>
                <w:b/>
                <w:bCs/>
                <w:color w:val="000000" w:themeColor="text1"/>
              </w:rPr>
            </w:pPr>
            <w:r w:rsidRPr="00DA1DBB">
              <w:rPr>
                <w:b/>
                <w:bCs/>
                <w:color w:val="000000" w:themeColor="text1"/>
                <w:lang w:eastAsia="it-IT"/>
              </w:rPr>
              <w:t xml:space="preserve">m/z </w:t>
            </w:r>
          </w:p>
        </w:tc>
        <w:tc>
          <w:tcPr>
            <w:tcW w:w="0" w:type="auto"/>
            <w:vAlign w:val="center"/>
          </w:tcPr>
          <w:p w14:paraId="6566781A" w14:textId="77777777" w:rsidR="00685E66" w:rsidRPr="00DA1DBB" w:rsidRDefault="00685E66" w:rsidP="00707230">
            <w:pPr>
              <w:pStyle w:val="NoSpacing"/>
              <w:rPr>
                <w:b/>
                <w:bCs/>
                <w:color w:val="000000" w:themeColor="text1"/>
              </w:rPr>
            </w:pPr>
            <w:r w:rsidRPr="00DA1DBB">
              <w:rPr>
                <w:b/>
                <w:bCs/>
                <w:color w:val="000000" w:themeColor="text1"/>
                <w:lang w:eastAsia="it-IT"/>
              </w:rPr>
              <w:t>Compound</w:t>
            </w:r>
          </w:p>
        </w:tc>
        <w:tc>
          <w:tcPr>
            <w:tcW w:w="0" w:type="auto"/>
            <w:vAlign w:val="center"/>
          </w:tcPr>
          <w:p w14:paraId="271A6B84" w14:textId="77777777" w:rsidR="00685E66" w:rsidRPr="00DA1DBB" w:rsidRDefault="00685E66" w:rsidP="00707230">
            <w:pPr>
              <w:pStyle w:val="NoSpacing"/>
              <w:rPr>
                <w:b/>
                <w:bCs/>
                <w:color w:val="000000" w:themeColor="text1"/>
              </w:rPr>
            </w:pPr>
            <w:r w:rsidRPr="00DA1DBB">
              <w:rPr>
                <w:b/>
                <w:bCs/>
                <w:color w:val="000000" w:themeColor="text1"/>
                <w:lang w:eastAsia="it-IT"/>
              </w:rPr>
              <w:t xml:space="preserve">m/z </w:t>
            </w:r>
          </w:p>
        </w:tc>
        <w:tc>
          <w:tcPr>
            <w:tcW w:w="0" w:type="auto"/>
            <w:vAlign w:val="center"/>
          </w:tcPr>
          <w:p w14:paraId="3B9B7A46" w14:textId="77777777" w:rsidR="00685E66" w:rsidRPr="00DA1DBB" w:rsidRDefault="00685E66" w:rsidP="00707230">
            <w:pPr>
              <w:pStyle w:val="NoSpacing"/>
              <w:rPr>
                <w:b/>
                <w:bCs/>
                <w:color w:val="000000" w:themeColor="text1"/>
              </w:rPr>
            </w:pPr>
            <w:r w:rsidRPr="00DA1DBB">
              <w:rPr>
                <w:b/>
                <w:bCs/>
                <w:color w:val="000000" w:themeColor="text1"/>
                <w:lang w:eastAsia="it-IT"/>
              </w:rPr>
              <w:t>Compound</w:t>
            </w:r>
          </w:p>
        </w:tc>
        <w:tc>
          <w:tcPr>
            <w:tcW w:w="0" w:type="auto"/>
            <w:vAlign w:val="center"/>
          </w:tcPr>
          <w:p w14:paraId="56AEA8AB" w14:textId="77777777" w:rsidR="00685E66" w:rsidRPr="00DA1DBB" w:rsidRDefault="00685E66" w:rsidP="00707230">
            <w:pPr>
              <w:pStyle w:val="NoSpacing"/>
              <w:rPr>
                <w:b/>
                <w:bCs/>
                <w:color w:val="000000" w:themeColor="text1"/>
              </w:rPr>
            </w:pPr>
            <w:r w:rsidRPr="00DA1DBB">
              <w:rPr>
                <w:b/>
                <w:bCs/>
                <w:color w:val="000000" w:themeColor="text1"/>
                <w:lang w:eastAsia="it-IT"/>
              </w:rPr>
              <w:t xml:space="preserve">m/z </w:t>
            </w:r>
          </w:p>
        </w:tc>
      </w:tr>
      <w:tr w:rsidR="00DA1DBB" w:rsidRPr="00DA1DBB" w14:paraId="4F506F16" w14:textId="77777777" w:rsidTr="00707230">
        <w:trPr>
          <w:trHeight w:val="227"/>
        </w:trPr>
        <w:tc>
          <w:tcPr>
            <w:tcW w:w="0" w:type="auto"/>
            <w:vAlign w:val="center"/>
          </w:tcPr>
          <w:p w14:paraId="093715EE" w14:textId="77777777" w:rsidR="00685E66" w:rsidRPr="00DA1DBB" w:rsidRDefault="00685E66" w:rsidP="00707230">
            <w:pPr>
              <w:pStyle w:val="NoSpacing"/>
              <w:rPr>
                <w:color w:val="000000" w:themeColor="text1"/>
              </w:rPr>
            </w:pPr>
            <w:r w:rsidRPr="00DA1DBB">
              <w:rPr>
                <w:color w:val="000000" w:themeColor="text1"/>
                <w:lang w:eastAsia="it-IT"/>
              </w:rPr>
              <w:t>Alanine</w:t>
            </w:r>
          </w:p>
        </w:tc>
        <w:tc>
          <w:tcPr>
            <w:tcW w:w="0" w:type="auto"/>
            <w:vAlign w:val="center"/>
          </w:tcPr>
          <w:p w14:paraId="2150F054" w14:textId="77777777" w:rsidR="00685E66" w:rsidRPr="00DA1DBB" w:rsidRDefault="00685E66" w:rsidP="00707230">
            <w:pPr>
              <w:pStyle w:val="NoSpacing"/>
              <w:rPr>
                <w:color w:val="000000" w:themeColor="text1"/>
              </w:rPr>
            </w:pPr>
            <w:r w:rsidRPr="00DA1DBB">
              <w:rPr>
                <w:color w:val="000000" w:themeColor="text1"/>
                <w:lang w:eastAsia="it-IT"/>
              </w:rPr>
              <w:t>158</w:t>
            </w:r>
          </w:p>
        </w:tc>
        <w:tc>
          <w:tcPr>
            <w:tcW w:w="0" w:type="auto"/>
            <w:vAlign w:val="center"/>
          </w:tcPr>
          <w:p w14:paraId="39208814" w14:textId="77777777" w:rsidR="00685E66" w:rsidRPr="00DA1DBB" w:rsidRDefault="00685E66" w:rsidP="00707230">
            <w:pPr>
              <w:pStyle w:val="NoSpacing"/>
              <w:rPr>
                <w:color w:val="000000" w:themeColor="text1"/>
              </w:rPr>
            </w:pPr>
            <w:r w:rsidRPr="00DA1DBB">
              <w:rPr>
                <w:color w:val="000000" w:themeColor="text1"/>
                <w:lang w:eastAsia="it-IT"/>
              </w:rPr>
              <w:t>Glutamine</w:t>
            </w:r>
          </w:p>
        </w:tc>
        <w:tc>
          <w:tcPr>
            <w:tcW w:w="0" w:type="auto"/>
            <w:vAlign w:val="center"/>
          </w:tcPr>
          <w:p w14:paraId="30113EA2" w14:textId="77777777" w:rsidR="00685E66" w:rsidRPr="00DA1DBB" w:rsidRDefault="00685E66" w:rsidP="00707230">
            <w:pPr>
              <w:pStyle w:val="NoSpacing"/>
              <w:rPr>
                <w:color w:val="000000" w:themeColor="text1"/>
              </w:rPr>
            </w:pPr>
            <w:r w:rsidRPr="00DA1DBB">
              <w:rPr>
                <w:color w:val="000000" w:themeColor="text1"/>
                <w:lang w:eastAsia="it-IT"/>
              </w:rPr>
              <w:t>431</w:t>
            </w:r>
          </w:p>
        </w:tc>
        <w:tc>
          <w:tcPr>
            <w:tcW w:w="0" w:type="auto"/>
            <w:vAlign w:val="center"/>
          </w:tcPr>
          <w:p w14:paraId="209C9EC0" w14:textId="77777777" w:rsidR="00685E66" w:rsidRPr="00DA1DBB" w:rsidRDefault="00685E66" w:rsidP="00707230">
            <w:pPr>
              <w:pStyle w:val="NoSpacing"/>
              <w:rPr>
                <w:color w:val="000000" w:themeColor="text1"/>
              </w:rPr>
            </w:pPr>
            <w:r w:rsidRPr="00DA1DBB">
              <w:rPr>
                <w:color w:val="000000" w:themeColor="text1"/>
                <w:lang w:eastAsia="it-IT"/>
              </w:rPr>
              <w:t>Lysine</w:t>
            </w:r>
          </w:p>
        </w:tc>
        <w:tc>
          <w:tcPr>
            <w:tcW w:w="0" w:type="auto"/>
            <w:vAlign w:val="center"/>
          </w:tcPr>
          <w:p w14:paraId="3382F3AF" w14:textId="77777777" w:rsidR="00685E66" w:rsidRPr="00DA1DBB" w:rsidRDefault="00685E66" w:rsidP="00707230">
            <w:pPr>
              <w:pStyle w:val="NoSpacing"/>
              <w:rPr>
                <w:color w:val="000000" w:themeColor="text1"/>
              </w:rPr>
            </w:pPr>
            <w:r w:rsidRPr="00DA1DBB">
              <w:rPr>
                <w:color w:val="000000" w:themeColor="text1"/>
                <w:lang w:eastAsia="it-IT"/>
              </w:rPr>
              <w:t>198</w:t>
            </w:r>
          </w:p>
        </w:tc>
        <w:tc>
          <w:tcPr>
            <w:tcW w:w="0" w:type="auto"/>
            <w:vAlign w:val="center"/>
          </w:tcPr>
          <w:p w14:paraId="41CB4270" w14:textId="77777777" w:rsidR="00685E66" w:rsidRPr="00DA1DBB" w:rsidRDefault="00685E66" w:rsidP="00707230">
            <w:pPr>
              <w:pStyle w:val="NoSpacing"/>
              <w:rPr>
                <w:color w:val="000000" w:themeColor="text1"/>
              </w:rPr>
            </w:pPr>
            <w:r w:rsidRPr="00DA1DBB">
              <w:rPr>
                <w:color w:val="000000" w:themeColor="text1"/>
                <w:lang w:eastAsia="it-IT"/>
              </w:rPr>
              <w:t>Pyroglutamate</w:t>
            </w:r>
          </w:p>
        </w:tc>
        <w:tc>
          <w:tcPr>
            <w:tcW w:w="0" w:type="auto"/>
            <w:vAlign w:val="center"/>
          </w:tcPr>
          <w:p w14:paraId="2DC08F91" w14:textId="77777777" w:rsidR="00685E66" w:rsidRPr="00DA1DBB" w:rsidRDefault="00685E66" w:rsidP="00707230">
            <w:pPr>
              <w:pStyle w:val="NoSpacing"/>
              <w:rPr>
                <w:color w:val="000000" w:themeColor="text1"/>
              </w:rPr>
            </w:pPr>
            <w:r w:rsidRPr="00DA1DBB">
              <w:rPr>
                <w:color w:val="000000" w:themeColor="text1"/>
                <w:lang w:eastAsia="it-IT"/>
              </w:rPr>
              <w:t>300</w:t>
            </w:r>
          </w:p>
        </w:tc>
      </w:tr>
      <w:tr w:rsidR="00DA1DBB" w:rsidRPr="00DA1DBB" w14:paraId="6F4D54A9" w14:textId="77777777" w:rsidTr="00707230">
        <w:trPr>
          <w:trHeight w:val="227"/>
        </w:trPr>
        <w:tc>
          <w:tcPr>
            <w:tcW w:w="0" w:type="auto"/>
            <w:vAlign w:val="center"/>
          </w:tcPr>
          <w:p w14:paraId="5BC28EC9" w14:textId="77777777" w:rsidR="00685E66" w:rsidRPr="00DA1DBB" w:rsidRDefault="00685E66" w:rsidP="00707230">
            <w:pPr>
              <w:pStyle w:val="NoSpacing"/>
              <w:rPr>
                <w:color w:val="000000" w:themeColor="text1"/>
              </w:rPr>
            </w:pPr>
            <w:r w:rsidRPr="00DA1DBB">
              <w:rPr>
                <w:color w:val="000000" w:themeColor="text1"/>
                <w:lang w:eastAsia="it-IT"/>
              </w:rPr>
              <w:t>Asparagine</w:t>
            </w:r>
          </w:p>
        </w:tc>
        <w:tc>
          <w:tcPr>
            <w:tcW w:w="0" w:type="auto"/>
            <w:vAlign w:val="center"/>
          </w:tcPr>
          <w:p w14:paraId="51EC8F28" w14:textId="77777777" w:rsidR="00685E66" w:rsidRPr="00DA1DBB" w:rsidRDefault="00685E66" w:rsidP="00707230">
            <w:pPr>
              <w:pStyle w:val="NoSpacing"/>
              <w:rPr>
                <w:color w:val="000000" w:themeColor="text1"/>
              </w:rPr>
            </w:pPr>
            <w:r w:rsidRPr="00DA1DBB">
              <w:rPr>
                <w:color w:val="000000" w:themeColor="text1"/>
                <w:lang w:eastAsia="it-IT"/>
              </w:rPr>
              <w:t>417</w:t>
            </w:r>
          </w:p>
        </w:tc>
        <w:tc>
          <w:tcPr>
            <w:tcW w:w="0" w:type="auto"/>
            <w:vAlign w:val="center"/>
          </w:tcPr>
          <w:p w14:paraId="7B3CDF13" w14:textId="77777777" w:rsidR="00685E66" w:rsidRPr="00DA1DBB" w:rsidRDefault="00685E66" w:rsidP="00707230">
            <w:pPr>
              <w:pStyle w:val="NoSpacing"/>
              <w:rPr>
                <w:color w:val="000000" w:themeColor="text1"/>
              </w:rPr>
            </w:pPr>
            <w:r w:rsidRPr="00DA1DBB">
              <w:rPr>
                <w:color w:val="000000" w:themeColor="text1"/>
                <w:lang w:eastAsia="it-IT"/>
              </w:rPr>
              <w:t>Glycine</w:t>
            </w:r>
          </w:p>
        </w:tc>
        <w:tc>
          <w:tcPr>
            <w:tcW w:w="0" w:type="auto"/>
            <w:vAlign w:val="center"/>
          </w:tcPr>
          <w:p w14:paraId="6946CB2B" w14:textId="77777777" w:rsidR="00685E66" w:rsidRPr="00DA1DBB" w:rsidRDefault="00685E66" w:rsidP="00707230">
            <w:pPr>
              <w:pStyle w:val="NoSpacing"/>
              <w:rPr>
                <w:color w:val="000000" w:themeColor="text1"/>
              </w:rPr>
            </w:pPr>
            <w:r w:rsidRPr="00DA1DBB">
              <w:rPr>
                <w:color w:val="000000" w:themeColor="text1"/>
                <w:lang w:eastAsia="it-IT"/>
              </w:rPr>
              <w:t>218</w:t>
            </w:r>
          </w:p>
        </w:tc>
        <w:tc>
          <w:tcPr>
            <w:tcW w:w="0" w:type="auto"/>
            <w:vAlign w:val="center"/>
          </w:tcPr>
          <w:p w14:paraId="5BED26C8" w14:textId="77777777" w:rsidR="00685E66" w:rsidRPr="00DA1DBB" w:rsidRDefault="00685E66" w:rsidP="00707230">
            <w:pPr>
              <w:pStyle w:val="NoSpacing"/>
              <w:rPr>
                <w:color w:val="000000" w:themeColor="text1"/>
              </w:rPr>
            </w:pPr>
            <w:r w:rsidRPr="00DA1DBB">
              <w:rPr>
                <w:color w:val="000000" w:themeColor="text1"/>
                <w:lang w:eastAsia="it-IT"/>
              </w:rPr>
              <w:t>Methionine</w:t>
            </w:r>
          </w:p>
        </w:tc>
        <w:tc>
          <w:tcPr>
            <w:tcW w:w="0" w:type="auto"/>
            <w:vAlign w:val="center"/>
          </w:tcPr>
          <w:p w14:paraId="33F5B1A8" w14:textId="77777777" w:rsidR="00685E66" w:rsidRPr="00DA1DBB" w:rsidRDefault="00685E66" w:rsidP="00707230">
            <w:pPr>
              <w:pStyle w:val="NoSpacing"/>
              <w:rPr>
                <w:color w:val="000000" w:themeColor="text1"/>
              </w:rPr>
            </w:pPr>
            <w:r w:rsidRPr="00DA1DBB">
              <w:rPr>
                <w:color w:val="000000" w:themeColor="text1"/>
                <w:lang w:eastAsia="it-IT"/>
              </w:rPr>
              <w:t>218</w:t>
            </w:r>
          </w:p>
        </w:tc>
        <w:tc>
          <w:tcPr>
            <w:tcW w:w="0" w:type="auto"/>
            <w:vAlign w:val="center"/>
          </w:tcPr>
          <w:p w14:paraId="73AD3C31" w14:textId="77777777" w:rsidR="00685E66" w:rsidRPr="00DA1DBB" w:rsidRDefault="00685E66" w:rsidP="00707230">
            <w:pPr>
              <w:pStyle w:val="NoSpacing"/>
              <w:rPr>
                <w:color w:val="000000" w:themeColor="text1"/>
              </w:rPr>
            </w:pPr>
            <w:r w:rsidRPr="00DA1DBB">
              <w:rPr>
                <w:color w:val="000000" w:themeColor="text1"/>
                <w:lang w:eastAsia="it-IT"/>
              </w:rPr>
              <w:t>Serine</w:t>
            </w:r>
          </w:p>
        </w:tc>
        <w:tc>
          <w:tcPr>
            <w:tcW w:w="0" w:type="auto"/>
            <w:vAlign w:val="center"/>
          </w:tcPr>
          <w:p w14:paraId="57EB0C8D" w14:textId="77777777" w:rsidR="00685E66" w:rsidRPr="00DA1DBB" w:rsidRDefault="00685E66" w:rsidP="00707230">
            <w:pPr>
              <w:pStyle w:val="NoSpacing"/>
              <w:rPr>
                <w:color w:val="000000" w:themeColor="text1"/>
              </w:rPr>
            </w:pPr>
            <w:r w:rsidRPr="00DA1DBB">
              <w:rPr>
                <w:color w:val="000000" w:themeColor="text1"/>
                <w:lang w:eastAsia="it-IT"/>
              </w:rPr>
              <w:t>288</w:t>
            </w:r>
          </w:p>
        </w:tc>
      </w:tr>
      <w:tr w:rsidR="00DA1DBB" w:rsidRPr="00DA1DBB" w14:paraId="26E92220" w14:textId="77777777" w:rsidTr="00707230">
        <w:trPr>
          <w:trHeight w:val="227"/>
        </w:trPr>
        <w:tc>
          <w:tcPr>
            <w:tcW w:w="0" w:type="auto"/>
            <w:vAlign w:val="center"/>
          </w:tcPr>
          <w:p w14:paraId="04B5D6A0" w14:textId="77777777" w:rsidR="00685E66" w:rsidRPr="00DA1DBB" w:rsidRDefault="00685E66" w:rsidP="00707230">
            <w:pPr>
              <w:pStyle w:val="NoSpacing"/>
              <w:rPr>
                <w:color w:val="000000" w:themeColor="text1"/>
              </w:rPr>
            </w:pPr>
            <w:r w:rsidRPr="00DA1DBB">
              <w:rPr>
                <w:color w:val="000000" w:themeColor="text1"/>
                <w:lang w:eastAsia="it-IT"/>
              </w:rPr>
              <w:t>Aspartate</w:t>
            </w:r>
          </w:p>
        </w:tc>
        <w:tc>
          <w:tcPr>
            <w:tcW w:w="0" w:type="auto"/>
            <w:vAlign w:val="center"/>
          </w:tcPr>
          <w:p w14:paraId="4EF77C16" w14:textId="77777777" w:rsidR="00685E66" w:rsidRPr="00DA1DBB" w:rsidRDefault="00685E66" w:rsidP="00707230">
            <w:pPr>
              <w:pStyle w:val="NoSpacing"/>
              <w:rPr>
                <w:color w:val="000000" w:themeColor="text1"/>
              </w:rPr>
            </w:pPr>
            <w:r w:rsidRPr="00DA1DBB">
              <w:rPr>
                <w:color w:val="000000" w:themeColor="text1"/>
                <w:lang w:eastAsia="it-IT"/>
              </w:rPr>
              <w:t>302</w:t>
            </w:r>
          </w:p>
        </w:tc>
        <w:tc>
          <w:tcPr>
            <w:tcW w:w="0" w:type="auto"/>
            <w:vAlign w:val="center"/>
          </w:tcPr>
          <w:p w14:paraId="0760282B" w14:textId="77777777" w:rsidR="00685E66" w:rsidRPr="00DA1DBB" w:rsidRDefault="00685E66" w:rsidP="00707230">
            <w:pPr>
              <w:pStyle w:val="NoSpacing"/>
              <w:rPr>
                <w:color w:val="000000" w:themeColor="text1"/>
              </w:rPr>
            </w:pPr>
            <w:r w:rsidRPr="00DA1DBB">
              <w:rPr>
                <w:color w:val="000000" w:themeColor="text1"/>
                <w:lang w:eastAsia="it-IT"/>
              </w:rPr>
              <w:t>Histidine</w:t>
            </w:r>
          </w:p>
        </w:tc>
        <w:tc>
          <w:tcPr>
            <w:tcW w:w="0" w:type="auto"/>
            <w:vAlign w:val="center"/>
          </w:tcPr>
          <w:p w14:paraId="0EF1BABD" w14:textId="77777777" w:rsidR="00685E66" w:rsidRPr="00DA1DBB" w:rsidRDefault="00685E66" w:rsidP="00707230">
            <w:pPr>
              <w:pStyle w:val="NoSpacing"/>
              <w:rPr>
                <w:color w:val="000000" w:themeColor="text1"/>
              </w:rPr>
            </w:pPr>
            <w:r w:rsidRPr="00DA1DBB">
              <w:rPr>
                <w:color w:val="000000" w:themeColor="text1"/>
                <w:lang w:eastAsia="it-IT"/>
              </w:rPr>
              <w:t>459</w:t>
            </w:r>
          </w:p>
        </w:tc>
        <w:tc>
          <w:tcPr>
            <w:tcW w:w="0" w:type="auto"/>
            <w:vAlign w:val="center"/>
          </w:tcPr>
          <w:p w14:paraId="6A959237" w14:textId="77777777" w:rsidR="00685E66" w:rsidRPr="00DA1DBB" w:rsidRDefault="00685E66" w:rsidP="00707230">
            <w:pPr>
              <w:pStyle w:val="NoSpacing"/>
              <w:rPr>
                <w:color w:val="000000" w:themeColor="text1"/>
              </w:rPr>
            </w:pPr>
            <w:r w:rsidRPr="00DA1DBB">
              <w:rPr>
                <w:color w:val="000000" w:themeColor="text1"/>
                <w:lang w:eastAsia="it-IT"/>
              </w:rPr>
              <w:t>N-Acetyl-Aspartate</w:t>
            </w:r>
          </w:p>
        </w:tc>
        <w:tc>
          <w:tcPr>
            <w:tcW w:w="0" w:type="auto"/>
            <w:vAlign w:val="center"/>
          </w:tcPr>
          <w:p w14:paraId="0717329B" w14:textId="77777777" w:rsidR="00685E66" w:rsidRPr="00DA1DBB" w:rsidRDefault="00685E66" w:rsidP="00707230">
            <w:pPr>
              <w:pStyle w:val="NoSpacing"/>
              <w:rPr>
                <w:color w:val="000000" w:themeColor="text1"/>
              </w:rPr>
            </w:pPr>
            <w:r w:rsidRPr="00DA1DBB">
              <w:rPr>
                <w:color w:val="000000" w:themeColor="text1"/>
                <w:lang w:eastAsia="it-IT"/>
              </w:rPr>
              <w:t>460</w:t>
            </w:r>
          </w:p>
        </w:tc>
        <w:tc>
          <w:tcPr>
            <w:tcW w:w="0" w:type="auto"/>
            <w:vAlign w:val="center"/>
          </w:tcPr>
          <w:p w14:paraId="1FFD29FF" w14:textId="77777777" w:rsidR="00685E66" w:rsidRPr="00DA1DBB" w:rsidRDefault="00685E66" w:rsidP="00707230">
            <w:pPr>
              <w:pStyle w:val="NoSpacing"/>
              <w:rPr>
                <w:color w:val="000000" w:themeColor="text1"/>
              </w:rPr>
            </w:pPr>
            <w:r w:rsidRPr="00DA1DBB">
              <w:rPr>
                <w:color w:val="000000" w:themeColor="text1"/>
                <w:lang w:eastAsia="it-IT"/>
              </w:rPr>
              <w:t>Succinate</w:t>
            </w:r>
          </w:p>
        </w:tc>
        <w:tc>
          <w:tcPr>
            <w:tcW w:w="0" w:type="auto"/>
            <w:vAlign w:val="center"/>
          </w:tcPr>
          <w:p w14:paraId="4E40CC44" w14:textId="77777777" w:rsidR="00685E66" w:rsidRPr="00DA1DBB" w:rsidRDefault="00685E66" w:rsidP="00707230">
            <w:pPr>
              <w:pStyle w:val="NoSpacing"/>
              <w:rPr>
                <w:color w:val="000000" w:themeColor="text1"/>
              </w:rPr>
            </w:pPr>
            <w:r w:rsidRPr="00DA1DBB">
              <w:rPr>
                <w:color w:val="000000" w:themeColor="text1"/>
                <w:lang w:eastAsia="it-IT"/>
              </w:rPr>
              <w:t>289</w:t>
            </w:r>
          </w:p>
        </w:tc>
      </w:tr>
      <w:tr w:rsidR="00DA1DBB" w:rsidRPr="00DA1DBB" w14:paraId="5C698E7F" w14:textId="77777777" w:rsidTr="00707230">
        <w:trPr>
          <w:trHeight w:val="227"/>
        </w:trPr>
        <w:tc>
          <w:tcPr>
            <w:tcW w:w="0" w:type="auto"/>
            <w:vAlign w:val="center"/>
          </w:tcPr>
          <w:p w14:paraId="58CEDBCC" w14:textId="77777777" w:rsidR="00685E66" w:rsidRPr="00DA1DBB" w:rsidRDefault="00685E66" w:rsidP="00707230">
            <w:pPr>
              <w:pStyle w:val="NoSpacing"/>
              <w:rPr>
                <w:color w:val="000000" w:themeColor="text1"/>
              </w:rPr>
            </w:pPr>
            <w:r w:rsidRPr="00DA1DBB">
              <w:rPr>
                <w:color w:val="000000" w:themeColor="text1"/>
                <w:lang w:eastAsia="it-IT"/>
              </w:rPr>
              <w:t>Coumaric acid (IS)</w:t>
            </w:r>
          </w:p>
        </w:tc>
        <w:tc>
          <w:tcPr>
            <w:tcW w:w="0" w:type="auto"/>
            <w:vAlign w:val="center"/>
          </w:tcPr>
          <w:p w14:paraId="12D30777" w14:textId="77777777" w:rsidR="00685E66" w:rsidRPr="00DA1DBB" w:rsidRDefault="00685E66" w:rsidP="00707230">
            <w:pPr>
              <w:pStyle w:val="NoSpacing"/>
              <w:rPr>
                <w:color w:val="000000" w:themeColor="text1"/>
              </w:rPr>
            </w:pPr>
            <w:r w:rsidRPr="00DA1DBB">
              <w:rPr>
                <w:color w:val="000000" w:themeColor="text1"/>
                <w:lang w:eastAsia="it-IT"/>
              </w:rPr>
              <w:t>335</w:t>
            </w:r>
          </w:p>
        </w:tc>
        <w:tc>
          <w:tcPr>
            <w:tcW w:w="0" w:type="auto"/>
            <w:vAlign w:val="center"/>
          </w:tcPr>
          <w:p w14:paraId="44D2185A" w14:textId="77777777" w:rsidR="00685E66" w:rsidRPr="00DA1DBB" w:rsidRDefault="00685E66" w:rsidP="00707230">
            <w:pPr>
              <w:pStyle w:val="NoSpacing"/>
              <w:rPr>
                <w:color w:val="000000" w:themeColor="text1"/>
              </w:rPr>
            </w:pPr>
            <w:r w:rsidRPr="00DA1DBB">
              <w:rPr>
                <w:color w:val="000000" w:themeColor="text1"/>
                <w:lang w:eastAsia="it-IT"/>
              </w:rPr>
              <w:t>Hydroxyproline</w:t>
            </w:r>
          </w:p>
        </w:tc>
        <w:tc>
          <w:tcPr>
            <w:tcW w:w="0" w:type="auto"/>
            <w:vAlign w:val="center"/>
          </w:tcPr>
          <w:p w14:paraId="4AFD1068" w14:textId="77777777" w:rsidR="00685E66" w:rsidRPr="00DA1DBB" w:rsidRDefault="00685E66" w:rsidP="00707230">
            <w:pPr>
              <w:pStyle w:val="NoSpacing"/>
              <w:rPr>
                <w:color w:val="000000" w:themeColor="text1"/>
              </w:rPr>
            </w:pPr>
            <w:r w:rsidRPr="00DA1DBB">
              <w:rPr>
                <w:color w:val="000000" w:themeColor="text1"/>
                <w:lang w:eastAsia="it-IT"/>
              </w:rPr>
              <w:t>314</w:t>
            </w:r>
          </w:p>
        </w:tc>
        <w:tc>
          <w:tcPr>
            <w:tcW w:w="0" w:type="auto"/>
            <w:vAlign w:val="center"/>
          </w:tcPr>
          <w:p w14:paraId="696B4C35" w14:textId="77777777" w:rsidR="00685E66" w:rsidRPr="00DA1DBB" w:rsidRDefault="00685E66" w:rsidP="00707230">
            <w:pPr>
              <w:pStyle w:val="NoSpacing"/>
              <w:rPr>
                <w:color w:val="000000" w:themeColor="text1"/>
              </w:rPr>
            </w:pPr>
            <w:r w:rsidRPr="00DA1DBB">
              <w:rPr>
                <w:color w:val="000000" w:themeColor="text1"/>
                <w:lang w:eastAsia="it-IT"/>
              </w:rPr>
              <w:t>Ornithine</w:t>
            </w:r>
          </w:p>
        </w:tc>
        <w:tc>
          <w:tcPr>
            <w:tcW w:w="0" w:type="auto"/>
            <w:vAlign w:val="center"/>
          </w:tcPr>
          <w:p w14:paraId="545772B5" w14:textId="77777777" w:rsidR="00685E66" w:rsidRPr="00DA1DBB" w:rsidRDefault="00685E66" w:rsidP="00707230">
            <w:pPr>
              <w:pStyle w:val="NoSpacing"/>
              <w:rPr>
                <w:color w:val="000000" w:themeColor="text1"/>
              </w:rPr>
            </w:pPr>
            <w:r w:rsidRPr="00DA1DBB">
              <w:rPr>
                <w:color w:val="000000" w:themeColor="text1"/>
                <w:lang w:eastAsia="it-IT"/>
              </w:rPr>
              <w:t>432</w:t>
            </w:r>
          </w:p>
        </w:tc>
        <w:tc>
          <w:tcPr>
            <w:tcW w:w="0" w:type="auto"/>
            <w:vAlign w:val="center"/>
          </w:tcPr>
          <w:p w14:paraId="39D86159" w14:textId="77777777" w:rsidR="00685E66" w:rsidRPr="00DA1DBB" w:rsidRDefault="00685E66" w:rsidP="00707230">
            <w:pPr>
              <w:pStyle w:val="NoSpacing"/>
              <w:rPr>
                <w:color w:val="000000" w:themeColor="text1"/>
              </w:rPr>
            </w:pPr>
            <w:r w:rsidRPr="00DA1DBB">
              <w:rPr>
                <w:color w:val="000000" w:themeColor="text1"/>
                <w:lang w:eastAsia="it-IT"/>
              </w:rPr>
              <w:t>Threonine</w:t>
            </w:r>
          </w:p>
        </w:tc>
        <w:tc>
          <w:tcPr>
            <w:tcW w:w="0" w:type="auto"/>
            <w:vAlign w:val="center"/>
          </w:tcPr>
          <w:p w14:paraId="3D1B53C5" w14:textId="77777777" w:rsidR="00685E66" w:rsidRPr="00DA1DBB" w:rsidRDefault="00685E66" w:rsidP="00707230">
            <w:pPr>
              <w:pStyle w:val="NoSpacing"/>
              <w:rPr>
                <w:color w:val="000000" w:themeColor="text1"/>
              </w:rPr>
            </w:pPr>
            <w:r w:rsidRPr="00DA1DBB">
              <w:rPr>
                <w:color w:val="000000" w:themeColor="text1"/>
                <w:lang w:eastAsia="it-IT"/>
              </w:rPr>
              <w:t>303</w:t>
            </w:r>
          </w:p>
        </w:tc>
      </w:tr>
      <w:tr w:rsidR="00DA1DBB" w:rsidRPr="00DA1DBB" w14:paraId="52A4F8CD" w14:textId="77777777" w:rsidTr="00707230">
        <w:trPr>
          <w:trHeight w:val="227"/>
        </w:trPr>
        <w:tc>
          <w:tcPr>
            <w:tcW w:w="0" w:type="auto"/>
            <w:vAlign w:val="center"/>
          </w:tcPr>
          <w:p w14:paraId="588C877C" w14:textId="77777777" w:rsidR="00685E66" w:rsidRPr="00DA1DBB" w:rsidRDefault="00685E66" w:rsidP="00707230">
            <w:pPr>
              <w:pStyle w:val="NoSpacing"/>
              <w:rPr>
                <w:color w:val="000000" w:themeColor="text1"/>
              </w:rPr>
            </w:pPr>
            <w:r w:rsidRPr="00DA1DBB">
              <w:rPr>
                <w:color w:val="000000" w:themeColor="text1"/>
                <w:lang w:eastAsia="it-IT"/>
              </w:rPr>
              <w:t>Cysteine</w:t>
            </w:r>
          </w:p>
        </w:tc>
        <w:tc>
          <w:tcPr>
            <w:tcW w:w="0" w:type="auto"/>
            <w:vAlign w:val="center"/>
          </w:tcPr>
          <w:p w14:paraId="223688B9" w14:textId="77777777" w:rsidR="00685E66" w:rsidRPr="00DA1DBB" w:rsidRDefault="00685E66" w:rsidP="00707230">
            <w:pPr>
              <w:pStyle w:val="NoSpacing"/>
              <w:rPr>
                <w:color w:val="000000" w:themeColor="text1"/>
              </w:rPr>
            </w:pPr>
            <w:r w:rsidRPr="00DA1DBB">
              <w:rPr>
                <w:color w:val="000000" w:themeColor="text1"/>
                <w:lang w:eastAsia="it-IT"/>
              </w:rPr>
              <w:t>406</w:t>
            </w:r>
          </w:p>
        </w:tc>
        <w:tc>
          <w:tcPr>
            <w:tcW w:w="0" w:type="auto"/>
            <w:vAlign w:val="center"/>
          </w:tcPr>
          <w:p w14:paraId="2127F188" w14:textId="77777777" w:rsidR="00685E66" w:rsidRPr="00DA1DBB" w:rsidRDefault="00685E66" w:rsidP="00707230">
            <w:pPr>
              <w:pStyle w:val="NoSpacing"/>
              <w:rPr>
                <w:color w:val="000000" w:themeColor="text1"/>
              </w:rPr>
            </w:pPr>
            <w:r w:rsidRPr="00DA1DBB">
              <w:rPr>
                <w:color w:val="000000" w:themeColor="text1"/>
                <w:lang w:eastAsia="it-IT"/>
              </w:rPr>
              <w:t>Isoleucine</w:t>
            </w:r>
          </w:p>
        </w:tc>
        <w:tc>
          <w:tcPr>
            <w:tcW w:w="0" w:type="auto"/>
            <w:vAlign w:val="center"/>
          </w:tcPr>
          <w:p w14:paraId="1469BD75" w14:textId="77777777" w:rsidR="00685E66" w:rsidRPr="00DA1DBB" w:rsidRDefault="00685E66" w:rsidP="00707230">
            <w:pPr>
              <w:pStyle w:val="NoSpacing"/>
              <w:rPr>
                <w:color w:val="000000" w:themeColor="text1"/>
              </w:rPr>
            </w:pPr>
            <w:r w:rsidRPr="00DA1DBB">
              <w:rPr>
                <w:color w:val="000000" w:themeColor="text1"/>
                <w:lang w:eastAsia="it-IT"/>
              </w:rPr>
              <w:t>274</w:t>
            </w:r>
          </w:p>
        </w:tc>
        <w:tc>
          <w:tcPr>
            <w:tcW w:w="0" w:type="auto"/>
            <w:vAlign w:val="center"/>
          </w:tcPr>
          <w:p w14:paraId="3795FD2F" w14:textId="77777777" w:rsidR="00685E66" w:rsidRPr="00DA1DBB" w:rsidRDefault="00685E66" w:rsidP="00707230">
            <w:pPr>
              <w:pStyle w:val="NoSpacing"/>
              <w:rPr>
                <w:color w:val="000000" w:themeColor="text1"/>
              </w:rPr>
            </w:pPr>
            <w:r w:rsidRPr="00DA1DBB">
              <w:rPr>
                <w:color w:val="000000" w:themeColor="text1"/>
                <w:lang w:eastAsia="it-IT"/>
              </w:rPr>
              <w:t>Orotate</w:t>
            </w:r>
          </w:p>
        </w:tc>
        <w:tc>
          <w:tcPr>
            <w:tcW w:w="0" w:type="auto"/>
            <w:vAlign w:val="center"/>
          </w:tcPr>
          <w:p w14:paraId="101EB916" w14:textId="77777777" w:rsidR="00685E66" w:rsidRPr="00DA1DBB" w:rsidRDefault="00685E66" w:rsidP="00707230">
            <w:pPr>
              <w:pStyle w:val="NoSpacing"/>
              <w:rPr>
                <w:color w:val="000000" w:themeColor="text1"/>
              </w:rPr>
            </w:pPr>
            <w:r w:rsidRPr="00DA1DBB">
              <w:rPr>
                <w:color w:val="000000" w:themeColor="text1"/>
                <w:lang w:eastAsia="it-IT"/>
              </w:rPr>
              <w:t>441</w:t>
            </w:r>
          </w:p>
        </w:tc>
        <w:tc>
          <w:tcPr>
            <w:tcW w:w="0" w:type="auto"/>
            <w:vAlign w:val="center"/>
          </w:tcPr>
          <w:p w14:paraId="05AF3FA3" w14:textId="77777777" w:rsidR="00685E66" w:rsidRPr="00DA1DBB" w:rsidRDefault="00685E66" w:rsidP="00707230">
            <w:pPr>
              <w:pStyle w:val="NoSpacing"/>
              <w:rPr>
                <w:color w:val="000000" w:themeColor="text1"/>
              </w:rPr>
            </w:pPr>
            <w:r w:rsidRPr="00DA1DBB">
              <w:rPr>
                <w:color w:val="000000" w:themeColor="text1"/>
                <w:lang w:eastAsia="it-IT"/>
              </w:rPr>
              <w:t>Tryptophan</w:t>
            </w:r>
          </w:p>
        </w:tc>
        <w:tc>
          <w:tcPr>
            <w:tcW w:w="0" w:type="auto"/>
            <w:vAlign w:val="center"/>
          </w:tcPr>
          <w:p w14:paraId="2F28FDFF" w14:textId="77777777" w:rsidR="00685E66" w:rsidRPr="00DA1DBB" w:rsidRDefault="00685E66" w:rsidP="00707230">
            <w:pPr>
              <w:pStyle w:val="NoSpacing"/>
              <w:rPr>
                <w:color w:val="000000" w:themeColor="text1"/>
              </w:rPr>
            </w:pPr>
            <w:r w:rsidRPr="00DA1DBB">
              <w:rPr>
                <w:color w:val="000000" w:themeColor="text1"/>
                <w:lang w:eastAsia="it-IT"/>
              </w:rPr>
              <w:t>244</w:t>
            </w:r>
          </w:p>
        </w:tc>
      </w:tr>
      <w:tr w:rsidR="00DA1DBB" w:rsidRPr="00DA1DBB" w14:paraId="37D064F8" w14:textId="77777777" w:rsidTr="00707230">
        <w:trPr>
          <w:trHeight w:val="227"/>
        </w:trPr>
        <w:tc>
          <w:tcPr>
            <w:tcW w:w="0" w:type="auto"/>
            <w:vAlign w:val="center"/>
          </w:tcPr>
          <w:p w14:paraId="1DE9B029" w14:textId="77777777" w:rsidR="00685E66" w:rsidRPr="00DA1DBB" w:rsidRDefault="00685E66" w:rsidP="00707230">
            <w:pPr>
              <w:pStyle w:val="NoSpacing"/>
              <w:rPr>
                <w:color w:val="000000" w:themeColor="text1"/>
              </w:rPr>
            </w:pPr>
            <w:r w:rsidRPr="00DA1DBB">
              <w:rPr>
                <w:color w:val="000000" w:themeColor="text1"/>
                <w:lang w:eastAsia="it-IT"/>
              </w:rPr>
              <w:t>Cystine</w:t>
            </w:r>
          </w:p>
        </w:tc>
        <w:tc>
          <w:tcPr>
            <w:tcW w:w="0" w:type="auto"/>
            <w:vAlign w:val="center"/>
          </w:tcPr>
          <w:p w14:paraId="2917C6A6" w14:textId="77777777" w:rsidR="00685E66" w:rsidRPr="00DA1DBB" w:rsidRDefault="00685E66" w:rsidP="00707230">
            <w:pPr>
              <w:pStyle w:val="NoSpacing"/>
              <w:rPr>
                <w:color w:val="000000" w:themeColor="text1"/>
              </w:rPr>
            </w:pPr>
            <w:r w:rsidRPr="00DA1DBB">
              <w:rPr>
                <w:color w:val="000000" w:themeColor="text1"/>
                <w:lang w:eastAsia="it-IT"/>
              </w:rPr>
              <w:t>348</w:t>
            </w:r>
          </w:p>
        </w:tc>
        <w:tc>
          <w:tcPr>
            <w:tcW w:w="0" w:type="auto"/>
            <w:vAlign w:val="center"/>
          </w:tcPr>
          <w:p w14:paraId="102C9929" w14:textId="77777777" w:rsidR="00685E66" w:rsidRPr="00DA1DBB" w:rsidRDefault="00685E66" w:rsidP="00707230">
            <w:pPr>
              <w:pStyle w:val="NoSpacing"/>
              <w:rPr>
                <w:color w:val="000000" w:themeColor="text1"/>
              </w:rPr>
            </w:pPr>
            <w:r w:rsidRPr="00DA1DBB">
              <w:rPr>
                <w:color w:val="000000" w:themeColor="text1"/>
                <w:lang w:eastAsia="it-IT"/>
              </w:rPr>
              <w:t>Lactate</w:t>
            </w:r>
          </w:p>
        </w:tc>
        <w:tc>
          <w:tcPr>
            <w:tcW w:w="0" w:type="auto"/>
            <w:vAlign w:val="center"/>
          </w:tcPr>
          <w:p w14:paraId="19FC7EFB" w14:textId="77777777" w:rsidR="00685E66" w:rsidRPr="00DA1DBB" w:rsidRDefault="00685E66" w:rsidP="00707230">
            <w:pPr>
              <w:pStyle w:val="NoSpacing"/>
              <w:rPr>
                <w:color w:val="000000" w:themeColor="text1"/>
              </w:rPr>
            </w:pPr>
            <w:r w:rsidRPr="00DA1DBB">
              <w:rPr>
                <w:color w:val="000000" w:themeColor="text1"/>
                <w:lang w:eastAsia="it-IT"/>
              </w:rPr>
              <w:t>261</w:t>
            </w:r>
          </w:p>
        </w:tc>
        <w:tc>
          <w:tcPr>
            <w:tcW w:w="0" w:type="auto"/>
            <w:vAlign w:val="center"/>
          </w:tcPr>
          <w:p w14:paraId="06A028CC" w14:textId="77777777" w:rsidR="00685E66" w:rsidRPr="00DA1DBB" w:rsidRDefault="00685E66" w:rsidP="00707230">
            <w:pPr>
              <w:pStyle w:val="NoSpacing"/>
              <w:rPr>
                <w:color w:val="000000" w:themeColor="text1"/>
              </w:rPr>
            </w:pPr>
            <w:r w:rsidRPr="00DA1DBB">
              <w:rPr>
                <w:color w:val="000000" w:themeColor="text1"/>
                <w:lang w:eastAsia="it-IT"/>
              </w:rPr>
              <w:t>Phenylalanine</w:t>
            </w:r>
          </w:p>
        </w:tc>
        <w:tc>
          <w:tcPr>
            <w:tcW w:w="0" w:type="auto"/>
            <w:vAlign w:val="center"/>
          </w:tcPr>
          <w:p w14:paraId="4949C3C5" w14:textId="77777777" w:rsidR="00685E66" w:rsidRPr="00DA1DBB" w:rsidRDefault="00685E66" w:rsidP="00707230">
            <w:pPr>
              <w:pStyle w:val="NoSpacing"/>
              <w:rPr>
                <w:color w:val="000000" w:themeColor="text1"/>
              </w:rPr>
            </w:pPr>
            <w:r w:rsidRPr="00DA1DBB">
              <w:rPr>
                <w:color w:val="000000" w:themeColor="text1"/>
                <w:lang w:eastAsia="it-IT"/>
              </w:rPr>
              <w:t>302</w:t>
            </w:r>
          </w:p>
        </w:tc>
        <w:tc>
          <w:tcPr>
            <w:tcW w:w="0" w:type="auto"/>
            <w:vAlign w:val="center"/>
          </w:tcPr>
          <w:p w14:paraId="2DE8361B" w14:textId="77777777" w:rsidR="00685E66" w:rsidRPr="00DA1DBB" w:rsidRDefault="00685E66" w:rsidP="00707230">
            <w:pPr>
              <w:pStyle w:val="NoSpacing"/>
              <w:rPr>
                <w:color w:val="000000" w:themeColor="text1"/>
              </w:rPr>
            </w:pPr>
            <w:r w:rsidRPr="00DA1DBB">
              <w:rPr>
                <w:color w:val="000000" w:themeColor="text1"/>
                <w:lang w:eastAsia="it-IT"/>
              </w:rPr>
              <w:t>Tyrosine</w:t>
            </w:r>
          </w:p>
        </w:tc>
        <w:tc>
          <w:tcPr>
            <w:tcW w:w="0" w:type="auto"/>
            <w:vAlign w:val="center"/>
          </w:tcPr>
          <w:p w14:paraId="407085F8" w14:textId="77777777" w:rsidR="00685E66" w:rsidRPr="00DA1DBB" w:rsidRDefault="00685E66" w:rsidP="00707230">
            <w:pPr>
              <w:pStyle w:val="NoSpacing"/>
              <w:rPr>
                <w:color w:val="000000" w:themeColor="text1"/>
              </w:rPr>
            </w:pPr>
            <w:r w:rsidRPr="00DA1DBB">
              <w:rPr>
                <w:color w:val="000000" w:themeColor="text1"/>
                <w:lang w:eastAsia="it-IT"/>
              </w:rPr>
              <w:t>302</w:t>
            </w:r>
          </w:p>
        </w:tc>
      </w:tr>
      <w:tr w:rsidR="00685E66" w:rsidRPr="00DA1DBB" w14:paraId="19CE0D02" w14:textId="77777777" w:rsidTr="00707230">
        <w:trPr>
          <w:trHeight w:val="227"/>
        </w:trPr>
        <w:tc>
          <w:tcPr>
            <w:tcW w:w="0" w:type="auto"/>
            <w:vAlign w:val="center"/>
          </w:tcPr>
          <w:p w14:paraId="50BE4AD2" w14:textId="77777777" w:rsidR="00685E66" w:rsidRPr="00DA1DBB" w:rsidRDefault="00685E66" w:rsidP="00707230">
            <w:pPr>
              <w:pStyle w:val="NoSpacing"/>
              <w:rPr>
                <w:color w:val="000000" w:themeColor="text1"/>
              </w:rPr>
            </w:pPr>
            <w:r w:rsidRPr="00DA1DBB">
              <w:rPr>
                <w:color w:val="000000" w:themeColor="text1"/>
                <w:lang w:eastAsia="it-IT"/>
              </w:rPr>
              <w:t>Glutamate</w:t>
            </w:r>
          </w:p>
        </w:tc>
        <w:tc>
          <w:tcPr>
            <w:tcW w:w="0" w:type="auto"/>
            <w:vAlign w:val="center"/>
          </w:tcPr>
          <w:p w14:paraId="2F493421" w14:textId="77777777" w:rsidR="00685E66" w:rsidRPr="00DA1DBB" w:rsidRDefault="00685E66" w:rsidP="00707230">
            <w:pPr>
              <w:pStyle w:val="NoSpacing"/>
              <w:rPr>
                <w:color w:val="000000" w:themeColor="text1"/>
              </w:rPr>
            </w:pPr>
            <w:r w:rsidRPr="00DA1DBB">
              <w:rPr>
                <w:color w:val="000000" w:themeColor="text1"/>
                <w:lang w:eastAsia="it-IT"/>
              </w:rPr>
              <w:t>432</w:t>
            </w:r>
          </w:p>
        </w:tc>
        <w:tc>
          <w:tcPr>
            <w:tcW w:w="0" w:type="auto"/>
            <w:vAlign w:val="center"/>
          </w:tcPr>
          <w:p w14:paraId="2661A7A9" w14:textId="77777777" w:rsidR="00685E66" w:rsidRPr="00DA1DBB" w:rsidRDefault="00685E66" w:rsidP="00707230">
            <w:pPr>
              <w:pStyle w:val="NoSpacing"/>
              <w:rPr>
                <w:color w:val="000000" w:themeColor="text1"/>
              </w:rPr>
            </w:pPr>
            <w:r w:rsidRPr="00DA1DBB">
              <w:rPr>
                <w:color w:val="000000" w:themeColor="text1"/>
                <w:lang w:eastAsia="it-IT"/>
              </w:rPr>
              <w:t>Leucine</w:t>
            </w:r>
          </w:p>
        </w:tc>
        <w:tc>
          <w:tcPr>
            <w:tcW w:w="0" w:type="auto"/>
            <w:vAlign w:val="center"/>
          </w:tcPr>
          <w:p w14:paraId="0B69D7CA" w14:textId="77777777" w:rsidR="00685E66" w:rsidRPr="00DA1DBB" w:rsidRDefault="00685E66" w:rsidP="00707230">
            <w:pPr>
              <w:pStyle w:val="NoSpacing"/>
              <w:rPr>
                <w:color w:val="000000" w:themeColor="text1"/>
              </w:rPr>
            </w:pPr>
            <w:r w:rsidRPr="00DA1DBB">
              <w:rPr>
                <w:color w:val="000000" w:themeColor="text1"/>
                <w:lang w:eastAsia="it-IT"/>
              </w:rPr>
              <w:t>274</w:t>
            </w:r>
          </w:p>
        </w:tc>
        <w:tc>
          <w:tcPr>
            <w:tcW w:w="0" w:type="auto"/>
            <w:vAlign w:val="center"/>
          </w:tcPr>
          <w:p w14:paraId="7688083E" w14:textId="77777777" w:rsidR="00685E66" w:rsidRPr="00DA1DBB" w:rsidRDefault="00685E66" w:rsidP="00707230">
            <w:pPr>
              <w:pStyle w:val="NoSpacing"/>
              <w:rPr>
                <w:color w:val="000000" w:themeColor="text1"/>
              </w:rPr>
            </w:pPr>
            <w:r w:rsidRPr="00DA1DBB">
              <w:rPr>
                <w:color w:val="000000" w:themeColor="text1"/>
                <w:lang w:eastAsia="it-IT"/>
              </w:rPr>
              <w:t>Proline</w:t>
            </w:r>
          </w:p>
        </w:tc>
        <w:tc>
          <w:tcPr>
            <w:tcW w:w="0" w:type="auto"/>
            <w:vAlign w:val="center"/>
          </w:tcPr>
          <w:p w14:paraId="5BB124A3" w14:textId="77777777" w:rsidR="00685E66" w:rsidRPr="00DA1DBB" w:rsidRDefault="00685E66" w:rsidP="00707230">
            <w:pPr>
              <w:pStyle w:val="NoSpacing"/>
              <w:rPr>
                <w:color w:val="000000" w:themeColor="text1"/>
              </w:rPr>
            </w:pPr>
            <w:r w:rsidRPr="00DA1DBB">
              <w:rPr>
                <w:color w:val="000000" w:themeColor="text1"/>
                <w:lang w:eastAsia="it-IT"/>
              </w:rPr>
              <w:t>258</w:t>
            </w:r>
          </w:p>
        </w:tc>
        <w:tc>
          <w:tcPr>
            <w:tcW w:w="0" w:type="auto"/>
            <w:vAlign w:val="center"/>
          </w:tcPr>
          <w:p w14:paraId="35D773A2" w14:textId="77777777" w:rsidR="00685E66" w:rsidRPr="00DA1DBB" w:rsidRDefault="00685E66" w:rsidP="00707230">
            <w:pPr>
              <w:pStyle w:val="NoSpacing"/>
              <w:rPr>
                <w:color w:val="000000" w:themeColor="text1"/>
              </w:rPr>
            </w:pPr>
            <w:r w:rsidRPr="00DA1DBB">
              <w:rPr>
                <w:color w:val="000000" w:themeColor="text1"/>
                <w:lang w:eastAsia="it-IT"/>
              </w:rPr>
              <w:t>Valine</w:t>
            </w:r>
          </w:p>
        </w:tc>
        <w:tc>
          <w:tcPr>
            <w:tcW w:w="0" w:type="auto"/>
            <w:vAlign w:val="center"/>
          </w:tcPr>
          <w:p w14:paraId="257BCF57" w14:textId="77777777" w:rsidR="00685E66" w:rsidRPr="00DA1DBB" w:rsidRDefault="00685E66" w:rsidP="00707230">
            <w:pPr>
              <w:pStyle w:val="NoSpacing"/>
              <w:rPr>
                <w:color w:val="000000" w:themeColor="text1"/>
              </w:rPr>
            </w:pPr>
            <w:r w:rsidRPr="00DA1DBB">
              <w:rPr>
                <w:color w:val="000000" w:themeColor="text1"/>
                <w:lang w:eastAsia="it-IT"/>
              </w:rPr>
              <w:t>186</w:t>
            </w:r>
          </w:p>
        </w:tc>
      </w:tr>
    </w:tbl>
    <w:p w14:paraId="2CBF2CC0" w14:textId="77777777" w:rsidR="00907C21" w:rsidRPr="00DA1DBB" w:rsidRDefault="00907C21" w:rsidP="00685E66">
      <w:pPr>
        <w:pStyle w:val="p"/>
        <w:spacing w:line="480" w:lineRule="auto"/>
        <w:contextualSpacing/>
        <w:jc w:val="both"/>
        <w:rPr>
          <w:b/>
          <w:bCs/>
          <w:color w:val="000000" w:themeColor="text1"/>
          <w:lang w:eastAsia="it-IT"/>
        </w:rPr>
      </w:pPr>
    </w:p>
    <w:p w14:paraId="10D5B562" w14:textId="29368CAA" w:rsidR="00685E66" w:rsidRPr="00DA1DBB" w:rsidRDefault="00685E66" w:rsidP="00685E66">
      <w:pPr>
        <w:pStyle w:val="p"/>
        <w:spacing w:line="480" w:lineRule="auto"/>
        <w:contextualSpacing/>
        <w:jc w:val="both"/>
        <w:rPr>
          <w:b/>
          <w:bCs/>
          <w:color w:val="000000" w:themeColor="text1"/>
          <w:lang w:eastAsia="it-IT"/>
        </w:rPr>
      </w:pPr>
      <w:r w:rsidRPr="00DA1DBB">
        <w:rPr>
          <w:b/>
          <w:bCs/>
          <w:color w:val="000000" w:themeColor="text1"/>
          <w:lang w:eastAsia="it-IT"/>
        </w:rPr>
        <w:t>Patients</w:t>
      </w:r>
    </w:p>
    <w:p w14:paraId="719C3828" w14:textId="0557B8AD" w:rsidR="00685E66" w:rsidRPr="00DA1DBB" w:rsidRDefault="00685E66" w:rsidP="00685E66">
      <w:pPr>
        <w:pStyle w:val="p"/>
        <w:spacing w:line="480" w:lineRule="auto"/>
        <w:contextualSpacing/>
        <w:jc w:val="both"/>
        <w:rPr>
          <w:color w:val="000000" w:themeColor="text1"/>
          <w:lang w:eastAsia="it-IT"/>
        </w:rPr>
      </w:pPr>
      <w:r w:rsidRPr="00DA1DBB">
        <w:rPr>
          <w:color w:val="000000" w:themeColor="text1"/>
          <w:lang w:eastAsia="it-IT"/>
        </w:rPr>
        <w:t>The exclusion criteria for patient selection included a body mass index (BMI) exceeding 24.9, the presence of metabolic syndrome, diabetes, recent cancer (with exception of ongoing colorectal cancer) ongoing pathologies that could affect metabolism (excluding inflammation), and the use of medications that influence metabolic processes. A total of 12 males and 3 females (n=15), aged between 45 and 60 years, were selected as controls. The cancer patient cohort contained 1</w:t>
      </w:r>
      <w:r w:rsidR="00C31097" w:rsidRPr="00DA1DBB">
        <w:rPr>
          <w:color w:val="000000" w:themeColor="text1"/>
          <w:lang w:eastAsia="it-IT"/>
        </w:rPr>
        <w:t>8</w:t>
      </w:r>
      <w:r w:rsidRPr="00DA1DBB">
        <w:rPr>
          <w:color w:val="000000" w:themeColor="text1"/>
          <w:lang w:eastAsia="it-IT"/>
        </w:rPr>
        <w:t xml:space="preserve"> males and </w:t>
      </w:r>
      <w:r w:rsidR="00C31097" w:rsidRPr="00DA1DBB">
        <w:rPr>
          <w:color w:val="000000" w:themeColor="text1"/>
          <w:lang w:eastAsia="it-IT"/>
        </w:rPr>
        <w:t>1</w:t>
      </w:r>
      <w:r w:rsidRPr="00DA1DBB">
        <w:rPr>
          <w:color w:val="000000" w:themeColor="text1"/>
          <w:lang w:eastAsia="it-IT"/>
        </w:rPr>
        <w:t xml:space="preserve"> female (n=</w:t>
      </w:r>
      <w:r w:rsidR="00C31097" w:rsidRPr="00DA1DBB">
        <w:rPr>
          <w:color w:val="000000" w:themeColor="text1"/>
          <w:lang w:eastAsia="it-IT"/>
        </w:rPr>
        <w:t>19</w:t>
      </w:r>
      <w:r w:rsidRPr="00DA1DBB">
        <w:rPr>
          <w:color w:val="000000" w:themeColor="text1"/>
          <w:lang w:eastAsia="it-IT"/>
        </w:rPr>
        <w:t>), aged 45 to 75 years, representing both non-metastasized and metastasized adenocarcinoma groups. To address incidence of false positives, we analyzed urine samples from 9 patients diagnosed with inflammation. Urine samples were collected in the morning. Prior to sample collection, patients were instructed to follow a low-carbohydrate diet rich in fiber and protein for three days and fast for 12 hours.</w:t>
      </w:r>
    </w:p>
    <w:p w14:paraId="11234248" w14:textId="77777777" w:rsidR="00685E66" w:rsidRPr="00DA1DBB" w:rsidRDefault="00685E66" w:rsidP="00685E66">
      <w:pPr>
        <w:spacing w:line="480" w:lineRule="auto"/>
        <w:jc w:val="both"/>
        <w:rPr>
          <w:rFonts w:eastAsia="Times New Roman"/>
          <w:b/>
          <w:bCs/>
          <w:color w:val="000000" w:themeColor="text1"/>
          <w:sz w:val="24"/>
          <w:szCs w:val="24"/>
          <w:lang w:eastAsia="it-IT"/>
        </w:rPr>
      </w:pPr>
      <w:r w:rsidRPr="00DA1DBB">
        <w:rPr>
          <w:rFonts w:eastAsia="Times New Roman"/>
          <w:b/>
          <w:bCs/>
          <w:color w:val="000000" w:themeColor="text1"/>
          <w:sz w:val="24"/>
          <w:szCs w:val="24"/>
          <w:lang w:eastAsia="it-IT"/>
        </w:rPr>
        <w:lastRenderedPageBreak/>
        <w:t>Analysis of patient urine samples using liquid chromatography-mass spectrometry (LC-MS)</w:t>
      </w:r>
    </w:p>
    <w:p w14:paraId="10B27F6E" w14:textId="77777777" w:rsidR="00685E66" w:rsidRPr="00DA1DBB" w:rsidRDefault="00685E66" w:rsidP="00685E66">
      <w:pPr>
        <w:spacing w:line="480" w:lineRule="auto"/>
        <w:jc w:val="both"/>
        <w:rPr>
          <w:rFonts w:eastAsia="Times New Roman"/>
          <w:color w:val="000000" w:themeColor="text1"/>
          <w:sz w:val="24"/>
          <w:szCs w:val="24"/>
          <w:lang w:eastAsia="it-IT"/>
        </w:rPr>
      </w:pPr>
      <w:r w:rsidRPr="00DA1DBB">
        <w:rPr>
          <w:rFonts w:eastAsia="Times New Roman"/>
          <w:color w:val="000000" w:themeColor="text1"/>
          <w:sz w:val="24"/>
          <w:szCs w:val="24"/>
          <w:lang w:eastAsia="it-IT"/>
        </w:rPr>
        <w:t xml:space="preserve">Urine samples were analyzed at Centro </w:t>
      </w:r>
      <w:proofErr w:type="spellStart"/>
      <w:r w:rsidRPr="00DA1DBB">
        <w:rPr>
          <w:rFonts w:eastAsia="Times New Roman"/>
          <w:color w:val="000000" w:themeColor="text1"/>
          <w:sz w:val="24"/>
          <w:szCs w:val="24"/>
          <w:lang w:eastAsia="it-IT"/>
        </w:rPr>
        <w:t>Varelli</w:t>
      </w:r>
      <w:proofErr w:type="spellEnd"/>
      <w:r w:rsidRPr="00DA1DBB">
        <w:rPr>
          <w:rFonts w:eastAsia="Times New Roman"/>
          <w:color w:val="000000" w:themeColor="text1"/>
          <w:sz w:val="24"/>
          <w:szCs w:val="24"/>
          <w:lang w:eastAsia="it-IT"/>
        </w:rPr>
        <w:t xml:space="preserve">, </w:t>
      </w:r>
      <w:proofErr w:type="spellStart"/>
      <w:r w:rsidRPr="00DA1DBB">
        <w:rPr>
          <w:rFonts w:eastAsia="Times New Roman"/>
          <w:color w:val="000000" w:themeColor="text1"/>
          <w:sz w:val="24"/>
          <w:szCs w:val="24"/>
          <w:lang w:eastAsia="it-IT"/>
        </w:rPr>
        <w:t>Naple</w:t>
      </w:r>
      <w:proofErr w:type="spellEnd"/>
      <w:r w:rsidRPr="00DA1DBB">
        <w:rPr>
          <w:rFonts w:eastAsia="Times New Roman"/>
          <w:color w:val="000000" w:themeColor="text1"/>
          <w:sz w:val="24"/>
          <w:szCs w:val="24"/>
          <w:lang w:eastAsia="it-IT"/>
        </w:rPr>
        <w:t>, Italy, employing ISO9001:2005 certified liquid chromatography mass spectrometry, LCMS 8050 from Shimadzu, integrated with Shimadzu HPLC system (Kyoto, Japan). The amino acid standards utilized included a mixture from “</w:t>
      </w:r>
      <w:proofErr w:type="spellStart"/>
      <w:r w:rsidRPr="00DA1DBB">
        <w:rPr>
          <w:rFonts w:eastAsia="Times New Roman"/>
          <w:color w:val="000000" w:themeColor="text1"/>
          <w:sz w:val="24"/>
          <w:szCs w:val="24"/>
          <w:lang w:eastAsia="it-IT"/>
        </w:rPr>
        <w:t>Supelco</w:t>
      </w:r>
      <w:proofErr w:type="spellEnd"/>
      <w:r w:rsidRPr="00DA1DBB">
        <w:rPr>
          <w:rFonts w:eastAsia="Times New Roman"/>
          <w:color w:val="000000" w:themeColor="text1"/>
          <w:sz w:val="24"/>
          <w:szCs w:val="24"/>
          <w:lang w:eastAsia="it-IT"/>
        </w:rPr>
        <w:t xml:space="preserve">” (Sigma) supplemented with pure standards of asparagine, glutamine, and ornithine. The chromatography separation was conducted using a Phenomenex C18 polar column (Sigma). For the mobile phases, Eluent A was prepared and contained 10 mM ammonium </w:t>
      </w:r>
      <w:proofErr w:type="spellStart"/>
      <w:r w:rsidRPr="00DA1DBB">
        <w:rPr>
          <w:rFonts w:eastAsia="Times New Roman"/>
          <w:color w:val="000000" w:themeColor="text1"/>
          <w:sz w:val="24"/>
          <w:szCs w:val="24"/>
          <w:lang w:eastAsia="it-IT"/>
        </w:rPr>
        <w:t>formate</w:t>
      </w:r>
      <w:proofErr w:type="spellEnd"/>
      <w:r w:rsidRPr="00DA1DBB">
        <w:rPr>
          <w:rFonts w:eastAsia="Times New Roman"/>
          <w:color w:val="000000" w:themeColor="text1"/>
          <w:sz w:val="24"/>
          <w:szCs w:val="24"/>
          <w:lang w:eastAsia="it-IT"/>
        </w:rPr>
        <w:t xml:space="preserve"> and 0.15 % formic acid, adjusted to a pH of 3.0. Eluent B was based on of </w:t>
      </w:r>
      <w:proofErr w:type="spellStart"/>
      <w:r w:rsidRPr="00DA1DBB">
        <w:rPr>
          <w:rFonts w:eastAsia="Times New Roman"/>
          <w:color w:val="000000" w:themeColor="text1"/>
          <w:sz w:val="24"/>
          <w:szCs w:val="24"/>
          <w:lang w:eastAsia="it-IT"/>
        </w:rPr>
        <w:t>acetynitrile</w:t>
      </w:r>
      <w:proofErr w:type="spellEnd"/>
      <w:r w:rsidRPr="00DA1DBB">
        <w:rPr>
          <w:rFonts w:eastAsia="Times New Roman"/>
          <w:color w:val="000000" w:themeColor="text1"/>
          <w:sz w:val="24"/>
          <w:szCs w:val="24"/>
          <w:lang w:eastAsia="it-IT"/>
        </w:rPr>
        <w:t xml:space="preserve"> and water solution in an 85:15 v/v ratio, 10 mM ammonium </w:t>
      </w:r>
      <w:proofErr w:type="spellStart"/>
      <w:r w:rsidRPr="00DA1DBB">
        <w:rPr>
          <w:rFonts w:eastAsia="Times New Roman"/>
          <w:color w:val="000000" w:themeColor="text1"/>
          <w:sz w:val="24"/>
          <w:szCs w:val="24"/>
          <w:lang w:eastAsia="it-IT"/>
        </w:rPr>
        <w:t>formate</w:t>
      </w:r>
      <w:proofErr w:type="spellEnd"/>
      <w:r w:rsidRPr="00DA1DBB">
        <w:rPr>
          <w:rFonts w:eastAsia="Times New Roman"/>
          <w:color w:val="000000" w:themeColor="text1"/>
          <w:sz w:val="24"/>
          <w:szCs w:val="24"/>
          <w:lang w:eastAsia="it-IT"/>
        </w:rPr>
        <w:t xml:space="preserve">, and 0.15 % formic acid. The flow rate was set to 0.4 ml/min. Before analysis, the samples were treated with 0.1 % hydrochloric acid solution to achieve the desired ionic conditions, with pH adjusted to pH 5.0 (all reagents from Sigma). The injection volume for each sample was 5 </w:t>
      </w:r>
      <w:r w:rsidRPr="00DA1DBB">
        <w:rPr>
          <w:rFonts w:eastAsia="Times New Roman"/>
          <w:color w:val="000000" w:themeColor="text1"/>
          <w:sz w:val="24"/>
          <w:szCs w:val="24"/>
          <w:lang w:eastAsia="it-IT"/>
        </w:rPr>
        <w:sym w:font="Symbol" w:char="F06D"/>
      </w:r>
      <w:r w:rsidRPr="00DA1DBB">
        <w:rPr>
          <w:rFonts w:eastAsia="Times New Roman"/>
          <w:color w:val="000000" w:themeColor="text1"/>
          <w:sz w:val="24"/>
          <w:szCs w:val="24"/>
          <w:lang w:eastAsia="it-IT"/>
        </w:rPr>
        <w:t>l.</w:t>
      </w:r>
    </w:p>
    <w:p w14:paraId="2ACF4613" w14:textId="77777777" w:rsidR="00685E66" w:rsidRPr="00DA1DBB" w:rsidRDefault="00685E66" w:rsidP="00685E66">
      <w:pPr>
        <w:spacing w:line="480" w:lineRule="auto"/>
        <w:jc w:val="both"/>
        <w:rPr>
          <w:rFonts w:eastAsia="Times New Roman"/>
          <w:color w:val="000000" w:themeColor="text1"/>
          <w:sz w:val="24"/>
          <w:szCs w:val="24"/>
          <w:lang w:eastAsia="it-IT"/>
        </w:rPr>
      </w:pPr>
    </w:p>
    <w:p w14:paraId="6CC019B2" w14:textId="77777777" w:rsidR="00685E66" w:rsidRPr="00DA1DBB" w:rsidRDefault="00685E66" w:rsidP="00685E66">
      <w:pPr>
        <w:spacing w:line="480" w:lineRule="auto"/>
        <w:jc w:val="both"/>
        <w:rPr>
          <w:rFonts w:eastAsia="Times New Roman"/>
          <w:color w:val="000000" w:themeColor="text1"/>
          <w:sz w:val="24"/>
          <w:szCs w:val="24"/>
          <w:lang w:eastAsia="it-IT"/>
        </w:rPr>
      </w:pPr>
      <w:r w:rsidRPr="00DA1DBB">
        <w:rPr>
          <w:rFonts w:eastAsia="Times New Roman"/>
          <w:color w:val="000000" w:themeColor="text1"/>
          <w:sz w:val="24"/>
          <w:szCs w:val="24"/>
          <w:lang w:eastAsia="it-IT"/>
        </w:rPr>
        <w:t>The following outlines the specific parameters for the analysis:</w:t>
      </w:r>
    </w:p>
    <w:p w14:paraId="20A6B6DB" w14:textId="77777777" w:rsidR="00685E66" w:rsidRPr="00DA1DBB" w:rsidRDefault="00685E66" w:rsidP="00685E66">
      <w:pPr>
        <w:spacing w:line="276" w:lineRule="auto"/>
        <w:jc w:val="both"/>
        <w:rPr>
          <w:color w:val="000000" w:themeColor="text1"/>
        </w:rPr>
      </w:pPr>
      <w:r w:rsidRPr="00DA1DBB">
        <w:rPr>
          <w:color w:val="000000" w:themeColor="text1"/>
        </w:rPr>
        <w:t>Alanine: Precursor m/z 90.1, Product m/z 44, Dwell Time 3 msec, Collision Energy -14 V</w:t>
      </w:r>
    </w:p>
    <w:p w14:paraId="36C1A655" w14:textId="77777777" w:rsidR="00685E66" w:rsidRPr="00DA1DBB" w:rsidRDefault="00685E66" w:rsidP="00685E66">
      <w:pPr>
        <w:spacing w:line="276" w:lineRule="auto"/>
        <w:jc w:val="both"/>
        <w:rPr>
          <w:color w:val="000000" w:themeColor="text1"/>
        </w:rPr>
      </w:pPr>
      <w:r w:rsidRPr="00DA1DBB">
        <w:rPr>
          <w:color w:val="000000" w:themeColor="text1"/>
        </w:rPr>
        <w:t>Arginine: Precursor m/z 175, Product m/z 70, Dwell Time 3 msec, Collision Energy -19 V; Precursor m/z 175, Product m/z 60, Dwell Time 3 msec, Collision Energy -19 V</w:t>
      </w:r>
    </w:p>
    <w:p w14:paraId="3E16DC40" w14:textId="77777777" w:rsidR="00685E66" w:rsidRPr="00DA1DBB" w:rsidRDefault="00685E66" w:rsidP="00685E66">
      <w:pPr>
        <w:spacing w:line="276" w:lineRule="auto"/>
        <w:jc w:val="both"/>
        <w:rPr>
          <w:color w:val="000000" w:themeColor="text1"/>
        </w:rPr>
      </w:pPr>
      <w:r w:rsidRPr="00DA1DBB">
        <w:rPr>
          <w:color w:val="000000" w:themeColor="text1"/>
        </w:rPr>
        <w:t>Asparagine: Precursor m/z 133, Product m/z 116, Dwell Time 3 msec, Collision Energy -13 V; Precursor m/z 133, Product m/z 74, Dwell Time 3 msec, Collision Energy -21 V</w:t>
      </w:r>
    </w:p>
    <w:p w14:paraId="0E0C6722" w14:textId="77777777" w:rsidR="00685E66" w:rsidRPr="00DA1DBB" w:rsidRDefault="00685E66" w:rsidP="00685E66">
      <w:pPr>
        <w:spacing w:line="276" w:lineRule="auto"/>
        <w:jc w:val="both"/>
        <w:rPr>
          <w:color w:val="000000" w:themeColor="text1"/>
        </w:rPr>
      </w:pPr>
      <w:r w:rsidRPr="00DA1DBB">
        <w:rPr>
          <w:color w:val="000000" w:themeColor="text1"/>
        </w:rPr>
        <w:t>Aspartic Acid: Precursor m/z 134, Product m/z 74, Dwell Time 3 msec, Collision Energy -15 V</w:t>
      </w:r>
    </w:p>
    <w:p w14:paraId="0CDD3BB3" w14:textId="77777777" w:rsidR="00685E66" w:rsidRPr="00DA1DBB" w:rsidRDefault="00685E66" w:rsidP="00685E66">
      <w:pPr>
        <w:spacing w:line="276" w:lineRule="auto"/>
        <w:jc w:val="both"/>
        <w:rPr>
          <w:color w:val="000000" w:themeColor="text1"/>
        </w:rPr>
      </w:pPr>
      <w:r w:rsidRPr="00DA1DBB">
        <w:rPr>
          <w:color w:val="000000" w:themeColor="text1"/>
        </w:rPr>
        <w:t>Cystine: Precursor m/z 122, Product m/z 76, Dwell Time 7 msec, Collision Energy -19 V</w:t>
      </w:r>
    </w:p>
    <w:p w14:paraId="1E480C49" w14:textId="77777777" w:rsidR="00685E66" w:rsidRPr="00DA1DBB" w:rsidRDefault="00685E66" w:rsidP="00685E66">
      <w:pPr>
        <w:spacing w:line="276" w:lineRule="auto"/>
        <w:jc w:val="both"/>
        <w:rPr>
          <w:color w:val="000000" w:themeColor="text1"/>
        </w:rPr>
      </w:pPr>
      <w:r w:rsidRPr="00DA1DBB">
        <w:rPr>
          <w:color w:val="000000" w:themeColor="text1"/>
        </w:rPr>
        <w:t>Glutamic Acid: Precursor m/z 148.1, Product m/z 84, Dwell Time 7 msec, Collision Energy -15 V</w:t>
      </w:r>
    </w:p>
    <w:p w14:paraId="4D0C0038" w14:textId="77777777" w:rsidR="00685E66" w:rsidRPr="00DA1DBB" w:rsidRDefault="00685E66" w:rsidP="00685E66">
      <w:pPr>
        <w:spacing w:line="276" w:lineRule="auto"/>
        <w:jc w:val="both"/>
        <w:rPr>
          <w:color w:val="000000" w:themeColor="text1"/>
        </w:rPr>
      </w:pPr>
      <w:r w:rsidRPr="00DA1DBB">
        <w:rPr>
          <w:color w:val="000000" w:themeColor="text1"/>
        </w:rPr>
        <w:t>Glutamine: Precursor m/z 147.1, Product m/z 84, Dwell Time 7 msec, Collision Energy -24 V; Precursor m/z 147.1, Product m/z 130, Dwell Time 7 msec, Collision Energy -21 V</w:t>
      </w:r>
    </w:p>
    <w:p w14:paraId="60714AEB" w14:textId="77777777" w:rsidR="00685E66" w:rsidRPr="00DA1DBB" w:rsidRDefault="00685E66" w:rsidP="00685E66">
      <w:pPr>
        <w:spacing w:line="276" w:lineRule="auto"/>
        <w:jc w:val="both"/>
        <w:rPr>
          <w:color w:val="000000" w:themeColor="text1"/>
        </w:rPr>
      </w:pPr>
      <w:r w:rsidRPr="00DA1DBB">
        <w:rPr>
          <w:color w:val="000000" w:themeColor="text1"/>
        </w:rPr>
        <w:t>Glycine: Precursor m/z 76.1, Product m/z 76.1, Dwell Time 7 msec, Collision Energy -2 V</w:t>
      </w:r>
    </w:p>
    <w:p w14:paraId="75540CC2" w14:textId="77777777" w:rsidR="00685E66" w:rsidRPr="00DA1DBB" w:rsidRDefault="00685E66" w:rsidP="00685E66">
      <w:pPr>
        <w:spacing w:line="276" w:lineRule="auto"/>
        <w:jc w:val="both"/>
        <w:rPr>
          <w:color w:val="000000" w:themeColor="text1"/>
        </w:rPr>
      </w:pPr>
      <w:r w:rsidRPr="00DA1DBB">
        <w:rPr>
          <w:color w:val="000000" w:themeColor="text1"/>
        </w:rPr>
        <w:t>Histidine: Precursor m/z 156.1, Product m/z 110, Dwell Time 7 msec, Collision Energy -34 V</w:t>
      </w:r>
    </w:p>
    <w:p w14:paraId="347A6431" w14:textId="77777777" w:rsidR="00685E66" w:rsidRPr="00DA1DBB" w:rsidRDefault="00685E66" w:rsidP="00685E66">
      <w:pPr>
        <w:spacing w:line="276" w:lineRule="auto"/>
        <w:jc w:val="both"/>
        <w:rPr>
          <w:color w:val="000000" w:themeColor="text1"/>
        </w:rPr>
      </w:pPr>
      <w:r w:rsidRPr="00DA1DBB">
        <w:rPr>
          <w:color w:val="000000" w:themeColor="text1"/>
        </w:rPr>
        <w:t>Isoleucine: Precursor m/z 132, Product m/z 86, Dwell Time 3 msec, Collision Energy -23 V; Precursor m/z 132, Product m/z 69, Dwell Time 3 msec, Collision Energy -51 V</w:t>
      </w:r>
    </w:p>
    <w:p w14:paraId="56626D10" w14:textId="77777777" w:rsidR="00685E66" w:rsidRPr="00DA1DBB" w:rsidRDefault="00685E66" w:rsidP="00685E66">
      <w:pPr>
        <w:spacing w:line="276" w:lineRule="auto"/>
        <w:jc w:val="both"/>
        <w:rPr>
          <w:color w:val="000000" w:themeColor="text1"/>
        </w:rPr>
      </w:pPr>
      <w:r w:rsidRPr="00DA1DBB">
        <w:rPr>
          <w:color w:val="000000" w:themeColor="text1"/>
        </w:rPr>
        <w:t>Leucine: Precursor m/z 132.1, Product m/z 44, Dwell Time 3 msec, Collision Energy -31 V; Precursor m/z 132.1, Product m/z 43, Dwell Time 3 msec, Collision Energy -35 V</w:t>
      </w:r>
    </w:p>
    <w:p w14:paraId="18FEE0AC" w14:textId="77777777" w:rsidR="00685E66" w:rsidRPr="00DA1DBB" w:rsidRDefault="00685E66" w:rsidP="00685E66">
      <w:pPr>
        <w:spacing w:line="276" w:lineRule="auto"/>
        <w:jc w:val="both"/>
        <w:rPr>
          <w:color w:val="000000" w:themeColor="text1"/>
        </w:rPr>
      </w:pPr>
      <w:r w:rsidRPr="00DA1DBB">
        <w:rPr>
          <w:color w:val="000000" w:themeColor="text1"/>
        </w:rPr>
        <w:t>Lysine: Precursor m/z 147.1, Product m/z 130, Dwell Time 3 msec, Collision Energy -13 V; Precursor m/z 147.1, Product m/z 84, Dwell Time 3 msec, Collision Energy -30 V</w:t>
      </w:r>
    </w:p>
    <w:p w14:paraId="04FDE282" w14:textId="77777777" w:rsidR="00685E66" w:rsidRPr="00DA1DBB" w:rsidRDefault="00685E66" w:rsidP="00685E66">
      <w:pPr>
        <w:spacing w:line="276" w:lineRule="auto"/>
        <w:jc w:val="both"/>
        <w:rPr>
          <w:color w:val="000000" w:themeColor="text1"/>
        </w:rPr>
      </w:pPr>
      <w:r w:rsidRPr="00DA1DBB">
        <w:rPr>
          <w:color w:val="000000" w:themeColor="text1"/>
        </w:rPr>
        <w:t>Methionine: Precursor m/z 150.1, Product m/z 56, Dwell Time 2 msec, Collision Energy -22 V</w:t>
      </w:r>
    </w:p>
    <w:p w14:paraId="1AE7354C" w14:textId="77777777" w:rsidR="00685E66" w:rsidRPr="00DA1DBB" w:rsidRDefault="00685E66" w:rsidP="00685E66">
      <w:pPr>
        <w:spacing w:line="276" w:lineRule="auto"/>
        <w:jc w:val="both"/>
        <w:rPr>
          <w:color w:val="000000" w:themeColor="text1"/>
        </w:rPr>
      </w:pPr>
      <w:r w:rsidRPr="00DA1DBB">
        <w:rPr>
          <w:color w:val="000000" w:themeColor="text1"/>
        </w:rPr>
        <w:t>Ornithine: Precursor m/z 133, Product m/z 70, Dwell Time 3 msec, Collision Energy -23 V</w:t>
      </w:r>
    </w:p>
    <w:p w14:paraId="32F4748F" w14:textId="77777777" w:rsidR="00685E66" w:rsidRPr="00DA1DBB" w:rsidRDefault="00685E66" w:rsidP="00685E66">
      <w:pPr>
        <w:spacing w:line="276" w:lineRule="auto"/>
        <w:jc w:val="both"/>
        <w:rPr>
          <w:color w:val="000000" w:themeColor="text1"/>
        </w:rPr>
      </w:pPr>
      <w:r w:rsidRPr="00DA1DBB">
        <w:rPr>
          <w:color w:val="000000" w:themeColor="text1"/>
        </w:rPr>
        <w:lastRenderedPageBreak/>
        <w:t>Phenylalanine: Precursor m/z 166.1, Product m/z 120, Dwell Time 3 msec, Collision Energy -35 V; Precursor m/z 166.1, Product m/z 77, Dwell Time 3 msec, Collision Energy -51 V</w:t>
      </w:r>
    </w:p>
    <w:p w14:paraId="67286485" w14:textId="77777777" w:rsidR="00685E66" w:rsidRPr="00DA1DBB" w:rsidRDefault="00685E66" w:rsidP="00685E66">
      <w:pPr>
        <w:spacing w:line="276" w:lineRule="auto"/>
        <w:jc w:val="both"/>
        <w:rPr>
          <w:color w:val="000000" w:themeColor="text1"/>
        </w:rPr>
      </w:pPr>
      <w:r w:rsidRPr="00DA1DBB">
        <w:rPr>
          <w:color w:val="000000" w:themeColor="text1"/>
        </w:rPr>
        <w:t>Proline: Precursor m/z 116.1, Product m/z 70, Dwell Time 3 msec, Collision Energy -23 V; Precursor m/z 116.1, Product m/z 43, Dwell Time 3 msec, Collision Energy -41 V</w:t>
      </w:r>
    </w:p>
    <w:p w14:paraId="13A5229A" w14:textId="77777777" w:rsidR="00685E66" w:rsidRPr="00DA1DBB" w:rsidRDefault="00685E66" w:rsidP="00685E66">
      <w:pPr>
        <w:spacing w:line="276" w:lineRule="auto"/>
        <w:jc w:val="both"/>
        <w:rPr>
          <w:color w:val="000000" w:themeColor="text1"/>
        </w:rPr>
      </w:pPr>
      <w:r w:rsidRPr="00DA1DBB">
        <w:rPr>
          <w:color w:val="000000" w:themeColor="text1"/>
        </w:rPr>
        <w:t>Serine: Precursor m/z 106, Product m/z 60, Dwell Time 3 msec, Collision Energy -23 V; Precursor m/z 106, Product m/z 42, Dwell Time 3 msec, Collision Energy -30 V</w:t>
      </w:r>
    </w:p>
    <w:p w14:paraId="412D3115" w14:textId="77777777" w:rsidR="00685E66" w:rsidRPr="00DA1DBB" w:rsidRDefault="00685E66" w:rsidP="00685E66">
      <w:pPr>
        <w:spacing w:line="276" w:lineRule="auto"/>
        <w:jc w:val="both"/>
        <w:rPr>
          <w:color w:val="000000" w:themeColor="text1"/>
        </w:rPr>
      </w:pPr>
      <w:r w:rsidRPr="00DA1DBB">
        <w:rPr>
          <w:color w:val="000000" w:themeColor="text1"/>
        </w:rPr>
        <w:t>Threonine: Precursor m/z 120.1, Product m/z 103.2, Dwell Time 7 msec, Collision Energy -12 V</w:t>
      </w:r>
    </w:p>
    <w:p w14:paraId="7DC0C2E0" w14:textId="77777777" w:rsidR="00685E66" w:rsidRPr="00DA1DBB" w:rsidRDefault="00685E66" w:rsidP="00685E66">
      <w:pPr>
        <w:spacing w:line="276" w:lineRule="auto"/>
        <w:jc w:val="both"/>
        <w:rPr>
          <w:color w:val="000000" w:themeColor="text1"/>
        </w:rPr>
      </w:pPr>
      <w:r w:rsidRPr="00DA1DBB">
        <w:rPr>
          <w:color w:val="000000" w:themeColor="text1"/>
        </w:rPr>
        <w:t>Tryptophan: Precursor m/z 205.1, Product m/z 188, Dwell Time 2 msec, Collision Energy -23 V; Precursor m/z 205.1, Product m/z 118, Dwell Time 2 msec, Collision Energy -36 V</w:t>
      </w:r>
    </w:p>
    <w:p w14:paraId="6700F9D1" w14:textId="77777777" w:rsidR="00685E66" w:rsidRPr="00DA1DBB" w:rsidRDefault="00685E66" w:rsidP="00685E66">
      <w:pPr>
        <w:spacing w:line="276" w:lineRule="auto"/>
        <w:jc w:val="both"/>
        <w:rPr>
          <w:color w:val="000000" w:themeColor="text1"/>
        </w:rPr>
      </w:pPr>
      <w:r w:rsidRPr="00DA1DBB">
        <w:rPr>
          <w:color w:val="000000" w:themeColor="text1"/>
        </w:rPr>
        <w:t>Tyrosine: Precursor m/z 182.1, Product m/z 91, Dwell Time 2 msec, Collision Energy -38 V; Precursor m/z 182.1, Product m/z 136, Dwell Time 2 msec, Collision Energy -17 V</w:t>
      </w:r>
    </w:p>
    <w:p w14:paraId="2B7CBD3D" w14:textId="77777777" w:rsidR="00685E66" w:rsidRPr="00DA1DBB" w:rsidRDefault="00685E66" w:rsidP="00685E66">
      <w:pPr>
        <w:spacing w:line="276" w:lineRule="auto"/>
        <w:jc w:val="both"/>
        <w:rPr>
          <w:color w:val="000000" w:themeColor="text1"/>
        </w:rPr>
      </w:pPr>
      <w:r w:rsidRPr="00DA1DBB">
        <w:rPr>
          <w:color w:val="000000" w:themeColor="text1"/>
        </w:rPr>
        <w:t>Valine: Precursor m/z 118.1, Product m/z 72, Dwell Time 3 msec, Collision Energy -38 V; Precursor m/z 118.1, Product m/z 55, Dwell Time 3 msec, Collision Energy -27 V</w:t>
      </w:r>
    </w:p>
    <w:p w14:paraId="3FC82928" w14:textId="77777777" w:rsidR="00907C21" w:rsidRPr="00DA1DBB" w:rsidRDefault="00907C21" w:rsidP="00685E66">
      <w:pPr>
        <w:spacing w:line="276" w:lineRule="auto"/>
        <w:jc w:val="both"/>
        <w:rPr>
          <w:color w:val="000000" w:themeColor="text1"/>
        </w:rPr>
      </w:pPr>
    </w:p>
    <w:p w14:paraId="6B749FBB" w14:textId="77777777" w:rsidR="00685E66" w:rsidRPr="00DA1DBB" w:rsidRDefault="00685E66" w:rsidP="00685E66">
      <w:pPr>
        <w:spacing w:line="276" w:lineRule="auto"/>
        <w:jc w:val="both"/>
        <w:rPr>
          <w:color w:val="000000" w:themeColor="text1"/>
          <w:sz w:val="24"/>
          <w:szCs w:val="24"/>
        </w:rPr>
      </w:pPr>
    </w:p>
    <w:p w14:paraId="7420A937" w14:textId="77777777" w:rsidR="00685E66" w:rsidRPr="00DA1DBB" w:rsidRDefault="00685E66" w:rsidP="00685E66">
      <w:pPr>
        <w:spacing w:line="480" w:lineRule="auto"/>
        <w:jc w:val="both"/>
        <w:rPr>
          <w:b/>
          <w:bCs/>
          <w:color w:val="000000" w:themeColor="text1"/>
          <w:sz w:val="24"/>
          <w:szCs w:val="24"/>
        </w:rPr>
      </w:pPr>
      <w:r w:rsidRPr="00DA1DBB">
        <w:rPr>
          <w:b/>
          <w:bCs/>
          <w:color w:val="000000" w:themeColor="text1"/>
          <w:sz w:val="24"/>
          <w:szCs w:val="24"/>
        </w:rPr>
        <w:t>t-Distributed Stochastic Neighbor Embedding (t-SNE) analysis of the metabolite expression data</w:t>
      </w:r>
    </w:p>
    <w:p w14:paraId="24088C8E"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Data collection and preprocessing</w:t>
      </w:r>
    </w:p>
    <w:p w14:paraId="7704FAE0"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Metabolic expression data were obtained from urine samples of three patient groups: healthy controls (n=15), colon cancer patients (n=9), and patients with inflammatory conditions (n=9). Data preprocessing included the following steps: Normalization: Metabolite concentrations were log-transformed to reduce skewness and ensure comparability across samples. Scaling: Data were standardized using z-score normalization, centering each metabolite’s distribution to have a mean of zero and unit variance. Missing values: Imputation was performed using the k-nearest (KNN) algorithm, preplacing missing values with estimates based on the most similar samples. Outlier detection: Extreme values were identified through interquartile range (IQR) analysis and excluded when necessary. </w:t>
      </w:r>
    </w:p>
    <w:p w14:paraId="151954AB" w14:textId="77777777" w:rsidR="00685E66" w:rsidRPr="00DA1DBB" w:rsidRDefault="00685E66" w:rsidP="00685E66">
      <w:pPr>
        <w:spacing w:line="480" w:lineRule="auto"/>
        <w:jc w:val="both"/>
        <w:rPr>
          <w:color w:val="000000" w:themeColor="text1"/>
          <w:sz w:val="24"/>
          <w:szCs w:val="24"/>
        </w:rPr>
      </w:pPr>
    </w:p>
    <w:p w14:paraId="07D1F02D"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Dimensionality reduction using t-SNE</w:t>
      </w:r>
    </w:p>
    <w:p w14:paraId="1BF7AFD6"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The analysis was conducted I Python using the scikit-learn library with the following parameter settings: Perplexity: 30 (optimized through multiple test runs). Learning rate: 200. Number of iterations: 1000 metric: Euclidean distance. The t-SNE algorithm computed pairwise similarities between samples in the high-dimensional space, then projected them into a two-</w:t>
      </w:r>
      <w:r w:rsidRPr="00DA1DBB">
        <w:rPr>
          <w:color w:val="000000" w:themeColor="text1"/>
          <w:sz w:val="24"/>
          <w:szCs w:val="24"/>
        </w:rPr>
        <w:lastRenderedPageBreak/>
        <w:t xml:space="preserve">dimensional (2D) embedding using a student’s t-distribution to minimize the </w:t>
      </w:r>
      <w:proofErr w:type="spellStart"/>
      <w:r w:rsidRPr="00DA1DBB">
        <w:rPr>
          <w:color w:val="000000" w:themeColor="text1"/>
          <w:sz w:val="24"/>
          <w:szCs w:val="24"/>
        </w:rPr>
        <w:t>Kullback-Leibler</w:t>
      </w:r>
      <w:proofErr w:type="spellEnd"/>
      <w:r w:rsidRPr="00DA1DBB">
        <w:rPr>
          <w:color w:val="000000" w:themeColor="text1"/>
          <w:sz w:val="24"/>
          <w:szCs w:val="24"/>
        </w:rPr>
        <w:t xml:space="preserve"> (KL) divergence.</w:t>
      </w:r>
    </w:p>
    <w:p w14:paraId="08217525" w14:textId="77777777" w:rsidR="00685E66" w:rsidRPr="00DA1DBB" w:rsidRDefault="00685E66" w:rsidP="00685E66">
      <w:pPr>
        <w:spacing w:line="480" w:lineRule="auto"/>
        <w:jc w:val="both"/>
        <w:rPr>
          <w:color w:val="000000" w:themeColor="text1"/>
          <w:sz w:val="24"/>
          <w:szCs w:val="24"/>
        </w:rPr>
      </w:pPr>
    </w:p>
    <w:p w14:paraId="0697BC1A"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Clustering and interpretation</w:t>
      </w:r>
    </w:p>
    <w:p w14:paraId="0617D2A4"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Following the t-SNE projection, sample clusters were analyzed to determine metabolic similarities and differences between groups. The resulting 2D scatter plot revealed three distinct clusters corresponding to the control, cancer, and inflammation groups: Healthy controls formed a compact, well-defined cluster, indicating a relatively stable metabolic profile. Colon cancer patients exhibited a clearly separated grouping, reflecting significant metabolic alterations associated with malignancy. Inflammation patients displayed a more dispersed cluster, suggesting metabolic variability within the group. The metabolite distributions contributing to each cluster were further examined to identify potential biomarkers distinguishing cancer from inflammation.</w:t>
      </w:r>
    </w:p>
    <w:p w14:paraId="5AF8A2F6" w14:textId="77777777" w:rsidR="00685E66" w:rsidRPr="00DA1DBB" w:rsidRDefault="00685E66" w:rsidP="00685E66">
      <w:pPr>
        <w:spacing w:line="480" w:lineRule="auto"/>
        <w:jc w:val="both"/>
        <w:rPr>
          <w:color w:val="000000" w:themeColor="text1"/>
          <w:sz w:val="24"/>
          <w:szCs w:val="24"/>
        </w:rPr>
      </w:pPr>
    </w:p>
    <w:p w14:paraId="0F9098DA" w14:textId="77777777" w:rsidR="00685E66" w:rsidRPr="00DA1DBB" w:rsidRDefault="00685E66" w:rsidP="00685E66">
      <w:pPr>
        <w:spacing w:line="480" w:lineRule="auto"/>
        <w:jc w:val="both"/>
        <w:rPr>
          <w:b/>
          <w:bCs/>
          <w:color w:val="000000" w:themeColor="text1"/>
          <w:sz w:val="24"/>
          <w:szCs w:val="24"/>
        </w:rPr>
      </w:pPr>
      <w:r w:rsidRPr="00DA1DBB">
        <w:rPr>
          <w:b/>
          <w:bCs/>
          <w:color w:val="000000" w:themeColor="text1"/>
          <w:sz w:val="24"/>
          <w:szCs w:val="24"/>
        </w:rPr>
        <w:t>Statistical analysis</w:t>
      </w:r>
    </w:p>
    <w:p w14:paraId="3944A2BC"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For the statistical validation of t-SNE analysis, we conducted additional statistical analysis: 1) Silhouette score to assess clustering quality, 2) Principal component analysis (PCA) to confirm that t-SNE results aligned with global variance patterns in the dataset, and 3) Machine learning classifiers (e.g., Support Vector Machines, Random Forrest) to evaluate the classification performance of the identified metabolic patterns.</w:t>
      </w:r>
    </w:p>
    <w:p w14:paraId="1923E156" w14:textId="77777777" w:rsidR="00685E66" w:rsidRPr="00DA1DBB" w:rsidRDefault="00685E66" w:rsidP="00685E66">
      <w:pPr>
        <w:spacing w:line="480" w:lineRule="auto"/>
        <w:jc w:val="both"/>
        <w:rPr>
          <w:color w:val="000000" w:themeColor="text1"/>
          <w:sz w:val="24"/>
          <w:szCs w:val="24"/>
        </w:rPr>
      </w:pPr>
    </w:p>
    <w:p w14:paraId="10886E52" w14:textId="77777777" w:rsidR="00685E66" w:rsidRPr="00DA1DBB" w:rsidRDefault="00685E66" w:rsidP="00685E66">
      <w:pPr>
        <w:spacing w:line="480" w:lineRule="auto"/>
        <w:jc w:val="both"/>
        <w:rPr>
          <w:color w:val="000000" w:themeColor="text1"/>
          <w:sz w:val="24"/>
          <w:szCs w:val="24"/>
        </w:rPr>
      </w:pPr>
      <w:r w:rsidRPr="00DA1DBB">
        <w:rPr>
          <w:color w:val="000000" w:themeColor="text1"/>
          <w:sz w:val="24"/>
          <w:szCs w:val="24"/>
        </w:rPr>
        <w:t xml:space="preserve">Statistical analysis of cell proliferation, migration, and protein activation, was conducted using a two-tailed independent samples t-test. Each experiment was performed a minimum of three times to ensure reliability. For the analysis of Seahorse data, ANOVA test followed by Bonferroni post hoc analysis was utilized, incorporating at least eight replicates exhibiting </w:t>
      </w:r>
      <w:r w:rsidRPr="00DA1DBB">
        <w:rPr>
          <w:color w:val="000000" w:themeColor="text1"/>
          <w:sz w:val="24"/>
          <w:szCs w:val="24"/>
        </w:rPr>
        <w:lastRenderedPageBreak/>
        <w:t>consistent trends with minimal variation. Results are presented as the mean standard deviation (SD). The p-values are reported as follows: *p&lt;0.05, **p&lt;0.01, ***p&lt;0.001.</w:t>
      </w:r>
    </w:p>
    <w:p w14:paraId="5CFCFD9A" w14:textId="77777777" w:rsidR="00685E66" w:rsidRPr="00DA1DBB" w:rsidRDefault="00685E66" w:rsidP="00685E66">
      <w:pPr>
        <w:spacing w:line="480" w:lineRule="auto"/>
        <w:jc w:val="both"/>
        <w:rPr>
          <w:color w:val="000000" w:themeColor="text1"/>
        </w:rPr>
      </w:pPr>
    </w:p>
    <w:p w14:paraId="7099F786" w14:textId="77777777" w:rsidR="00685E66" w:rsidRPr="00DA1DBB" w:rsidRDefault="00685E66" w:rsidP="00685E66">
      <w:pPr>
        <w:spacing w:line="480" w:lineRule="auto"/>
        <w:jc w:val="both"/>
        <w:rPr>
          <w:color w:val="000000" w:themeColor="text1"/>
        </w:rPr>
      </w:pPr>
    </w:p>
    <w:p w14:paraId="5DB9D62D" w14:textId="77777777" w:rsidR="00685E66" w:rsidRPr="00DA1DBB" w:rsidRDefault="00685E66" w:rsidP="00685E66">
      <w:pPr>
        <w:pStyle w:val="Paragraph"/>
        <w:spacing w:line="480" w:lineRule="auto"/>
        <w:ind w:firstLine="0"/>
        <w:jc w:val="both"/>
        <w:rPr>
          <w:iCs/>
          <w:color w:val="000000" w:themeColor="text1"/>
        </w:rPr>
      </w:pPr>
    </w:p>
    <w:p w14:paraId="3D5A57FC" w14:textId="77777777" w:rsidR="00685E66" w:rsidRPr="00DA1DBB" w:rsidRDefault="00685E66" w:rsidP="00685E66">
      <w:pPr>
        <w:pStyle w:val="Paragraph"/>
        <w:spacing w:line="480" w:lineRule="auto"/>
        <w:ind w:firstLine="0"/>
        <w:jc w:val="both"/>
        <w:rPr>
          <w:iCs/>
          <w:color w:val="000000" w:themeColor="text1"/>
        </w:rPr>
      </w:pPr>
    </w:p>
    <w:p w14:paraId="4DEE3E01" w14:textId="77777777" w:rsidR="00685E66" w:rsidRPr="00DA1DBB" w:rsidRDefault="00685E66" w:rsidP="00685E66">
      <w:pPr>
        <w:pStyle w:val="Paragraph"/>
        <w:spacing w:line="480" w:lineRule="auto"/>
        <w:ind w:firstLine="0"/>
        <w:jc w:val="both"/>
        <w:rPr>
          <w:iCs/>
          <w:color w:val="000000" w:themeColor="text1"/>
        </w:rPr>
      </w:pPr>
    </w:p>
    <w:p w14:paraId="22ADD763" w14:textId="77777777" w:rsidR="00060205" w:rsidRPr="00DA1DBB" w:rsidRDefault="00060205">
      <w:pPr>
        <w:rPr>
          <w:color w:val="000000" w:themeColor="text1"/>
        </w:rPr>
      </w:pPr>
    </w:p>
    <w:sectPr w:rsidR="00060205" w:rsidRPr="00DA1D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66"/>
    <w:rsid w:val="000008CF"/>
    <w:rsid w:val="00002397"/>
    <w:rsid w:val="0000327D"/>
    <w:rsid w:val="00005310"/>
    <w:rsid w:val="00005CD3"/>
    <w:rsid w:val="00010390"/>
    <w:rsid w:val="00010AA6"/>
    <w:rsid w:val="00010D96"/>
    <w:rsid w:val="0001525A"/>
    <w:rsid w:val="00021894"/>
    <w:rsid w:val="0002258D"/>
    <w:rsid w:val="00027082"/>
    <w:rsid w:val="000420C8"/>
    <w:rsid w:val="00042F03"/>
    <w:rsid w:val="00052FED"/>
    <w:rsid w:val="000531AE"/>
    <w:rsid w:val="00053F0F"/>
    <w:rsid w:val="00060205"/>
    <w:rsid w:val="000655F4"/>
    <w:rsid w:val="00065DB1"/>
    <w:rsid w:val="0007005E"/>
    <w:rsid w:val="000723AC"/>
    <w:rsid w:val="00075B0F"/>
    <w:rsid w:val="000801F0"/>
    <w:rsid w:val="00080B1B"/>
    <w:rsid w:val="00081B36"/>
    <w:rsid w:val="00083629"/>
    <w:rsid w:val="00085073"/>
    <w:rsid w:val="00086596"/>
    <w:rsid w:val="000870C6"/>
    <w:rsid w:val="000925DB"/>
    <w:rsid w:val="0009546B"/>
    <w:rsid w:val="00096AF9"/>
    <w:rsid w:val="00096B89"/>
    <w:rsid w:val="00096EA3"/>
    <w:rsid w:val="000A10D4"/>
    <w:rsid w:val="000A4462"/>
    <w:rsid w:val="000A589E"/>
    <w:rsid w:val="000A61C7"/>
    <w:rsid w:val="000B2C63"/>
    <w:rsid w:val="000B4CDD"/>
    <w:rsid w:val="000B4F50"/>
    <w:rsid w:val="000B62DC"/>
    <w:rsid w:val="000C0D74"/>
    <w:rsid w:val="000C1F59"/>
    <w:rsid w:val="000C3FCE"/>
    <w:rsid w:val="000C6096"/>
    <w:rsid w:val="000D61EC"/>
    <w:rsid w:val="000D6975"/>
    <w:rsid w:val="000E2563"/>
    <w:rsid w:val="000E7078"/>
    <w:rsid w:val="000F03EA"/>
    <w:rsid w:val="000F1E0E"/>
    <w:rsid w:val="000F405C"/>
    <w:rsid w:val="000F6209"/>
    <w:rsid w:val="000F7328"/>
    <w:rsid w:val="000F7421"/>
    <w:rsid w:val="00101F09"/>
    <w:rsid w:val="001034E9"/>
    <w:rsid w:val="001045A7"/>
    <w:rsid w:val="001050F2"/>
    <w:rsid w:val="0010537A"/>
    <w:rsid w:val="0010726F"/>
    <w:rsid w:val="00122797"/>
    <w:rsid w:val="00123445"/>
    <w:rsid w:val="0012455E"/>
    <w:rsid w:val="00130493"/>
    <w:rsid w:val="00130F17"/>
    <w:rsid w:val="00134C45"/>
    <w:rsid w:val="00137299"/>
    <w:rsid w:val="00137820"/>
    <w:rsid w:val="0014079D"/>
    <w:rsid w:val="001525D7"/>
    <w:rsid w:val="00155370"/>
    <w:rsid w:val="00155A0C"/>
    <w:rsid w:val="00161A56"/>
    <w:rsid w:val="00162192"/>
    <w:rsid w:val="0017023F"/>
    <w:rsid w:val="001717C9"/>
    <w:rsid w:val="00173A20"/>
    <w:rsid w:val="00173F29"/>
    <w:rsid w:val="00176551"/>
    <w:rsid w:val="00180113"/>
    <w:rsid w:val="001802E6"/>
    <w:rsid w:val="00181544"/>
    <w:rsid w:val="0018295C"/>
    <w:rsid w:val="00190005"/>
    <w:rsid w:val="00192B42"/>
    <w:rsid w:val="00194727"/>
    <w:rsid w:val="001A0C09"/>
    <w:rsid w:val="001A1D33"/>
    <w:rsid w:val="001A3894"/>
    <w:rsid w:val="001A5082"/>
    <w:rsid w:val="001A56B9"/>
    <w:rsid w:val="001A61D8"/>
    <w:rsid w:val="001B3B8D"/>
    <w:rsid w:val="001B56B6"/>
    <w:rsid w:val="001B790D"/>
    <w:rsid w:val="001C132A"/>
    <w:rsid w:val="001C72FC"/>
    <w:rsid w:val="001D13E1"/>
    <w:rsid w:val="001D1413"/>
    <w:rsid w:val="001D1F8F"/>
    <w:rsid w:val="001D20DB"/>
    <w:rsid w:val="001D35BF"/>
    <w:rsid w:val="001D6122"/>
    <w:rsid w:val="001D7D30"/>
    <w:rsid w:val="001E2BC1"/>
    <w:rsid w:val="001E5574"/>
    <w:rsid w:val="001E5D18"/>
    <w:rsid w:val="001F707F"/>
    <w:rsid w:val="00201A2C"/>
    <w:rsid w:val="00201E07"/>
    <w:rsid w:val="00202E35"/>
    <w:rsid w:val="0020756B"/>
    <w:rsid w:val="00216F1E"/>
    <w:rsid w:val="00220D7C"/>
    <w:rsid w:val="00222867"/>
    <w:rsid w:val="00226A84"/>
    <w:rsid w:val="00226E13"/>
    <w:rsid w:val="002300B4"/>
    <w:rsid w:val="00231592"/>
    <w:rsid w:val="002339D2"/>
    <w:rsid w:val="002368AA"/>
    <w:rsid w:val="00241411"/>
    <w:rsid w:val="00244069"/>
    <w:rsid w:val="00246477"/>
    <w:rsid w:val="0025684E"/>
    <w:rsid w:val="002573D0"/>
    <w:rsid w:val="002621A7"/>
    <w:rsid w:val="002628E2"/>
    <w:rsid w:val="002636E7"/>
    <w:rsid w:val="002711D6"/>
    <w:rsid w:val="0027489D"/>
    <w:rsid w:val="00275453"/>
    <w:rsid w:val="002838D0"/>
    <w:rsid w:val="002865A3"/>
    <w:rsid w:val="00291A8D"/>
    <w:rsid w:val="002931B1"/>
    <w:rsid w:val="00294936"/>
    <w:rsid w:val="00294A5C"/>
    <w:rsid w:val="002971B9"/>
    <w:rsid w:val="002A2F0E"/>
    <w:rsid w:val="002C17AE"/>
    <w:rsid w:val="002C4A08"/>
    <w:rsid w:val="002C6F94"/>
    <w:rsid w:val="002D08EC"/>
    <w:rsid w:val="002D1D3F"/>
    <w:rsid w:val="002D67A2"/>
    <w:rsid w:val="002E0345"/>
    <w:rsid w:val="002E4E89"/>
    <w:rsid w:val="002E62AF"/>
    <w:rsid w:val="002F0B24"/>
    <w:rsid w:val="002F53F6"/>
    <w:rsid w:val="002F56E5"/>
    <w:rsid w:val="002F61DB"/>
    <w:rsid w:val="002F7D7C"/>
    <w:rsid w:val="0030185A"/>
    <w:rsid w:val="00303D7A"/>
    <w:rsid w:val="00305850"/>
    <w:rsid w:val="00310B32"/>
    <w:rsid w:val="00310DD6"/>
    <w:rsid w:val="00311536"/>
    <w:rsid w:val="00311A1B"/>
    <w:rsid w:val="0031310E"/>
    <w:rsid w:val="00316ACF"/>
    <w:rsid w:val="00330CDF"/>
    <w:rsid w:val="00331A6D"/>
    <w:rsid w:val="00334F6D"/>
    <w:rsid w:val="0033649E"/>
    <w:rsid w:val="0034024C"/>
    <w:rsid w:val="00346FDA"/>
    <w:rsid w:val="0034766A"/>
    <w:rsid w:val="00355A3C"/>
    <w:rsid w:val="003623C6"/>
    <w:rsid w:val="00370518"/>
    <w:rsid w:val="00374598"/>
    <w:rsid w:val="00375E8F"/>
    <w:rsid w:val="00383A65"/>
    <w:rsid w:val="00384079"/>
    <w:rsid w:val="00385CD5"/>
    <w:rsid w:val="0038785F"/>
    <w:rsid w:val="00387C20"/>
    <w:rsid w:val="00395BB9"/>
    <w:rsid w:val="003A38FC"/>
    <w:rsid w:val="003A3B2E"/>
    <w:rsid w:val="003A7A01"/>
    <w:rsid w:val="003B19FF"/>
    <w:rsid w:val="003B5E44"/>
    <w:rsid w:val="003B76C0"/>
    <w:rsid w:val="003B787E"/>
    <w:rsid w:val="003C0BEF"/>
    <w:rsid w:val="003C11C9"/>
    <w:rsid w:val="003C218E"/>
    <w:rsid w:val="003C3B14"/>
    <w:rsid w:val="003C3D7F"/>
    <w:rsid w:val="003C3E57"/>
    <w:rsid w:val="003C457E"/>
    <w:rsid w:val="003C490A"/>
    <w:rsid w:val="003C55A4"/>
    <w:rsid w:val="003D2BE1"/>
    <w:rsid w:val="003D7446"/>
    <w:rsid w:val="003E0F2C"/>
    <w:rsid w:val="003E3503"/>
    <w:rsid w:val="003E3ED4"/>
    <w:rsid w:val="003E553D"/>
    <w:rsid w:val="003F099C"/>
    <w:rsid w:val="003F1E7F"/>
    <w:rsid w:val="003F2B21"/>
    <w:rsid w:val="003F2BAC"/>
    <w:rsid w:val="003F377F"/>
    <w:rsid w:val="003F638D"/>
    <w:rsid w:val="0040539B"/>
    <w:rsid w:val="00406C34"/>
    <w:rsid w:val="00407897"/>
    <w:rsid w:val="00407EDB"/>
    <w:rsid w:val="00421C08"/>
    <w:rsid w:val="004226B2"/>
    <w:rsid w:val="00423069"/>
    <w:rsid w:val="00423D92"/>
    <w:rsid w:val="004314FD"/>
    <w:rsid w:val="004319DD"/>
    <w:rsid w:val="00432BE1"/>
    <w:rsid w:val="00442813"/>
    <w:rsid w:val="00445CEE"/>
    <w:rsid w:val="00463A96"/>
    <w:rsid w:val="0046624B"/>
    <w:rsid w:val="00475650"/>
    <w:rsid w:val="0047596B"/>
    <w:rsid w:val="00476B81"/>
    <w:rsid w:val="00480A66"/>
    <w:rsid w:val="00484314"/>
    <w:rsid w:val="00487656"/>
    <w:rsid w:val="004903C4"/>
    <w:rsid w:val="00493F78"/>
    <w:rsid w:val="00495FCB"/>
    <w:rsid w:val="004A3194"/>
    <w:rsid w:val="004A627B"/>
    <w:rsid w:val="004B036B"/>
    <w:rsid w:val="004B14DA"/>
    <w:rsid w:val="004B1A4F"/>
    <w:rsid w:val="004B2390"/>
    <w:rsid w:val="004B2C50"/>
    <w:rsid w:val="004B3FE1"/>
    <w:rsid w:val="004C0F58"/>
    <w:rsid w:val="004C1A40"/>
    <w:rsid w:val="004C6CBD"/>
    <w:rsid w:val="004C7279"/>
    <w:rsid w:val="004D0706"/>
    <w:rsid w:val="004D13C7"/>
    <w:rsid w:val="004D2094"/>
    <w:rsid w:val="004D5688"/>
    <w:rsid w:val="004E4E93"/>
    <w:rsid w:val="004F12CF"/>
    <w:rsid w:val="004F13B5"/>
    <w:rsid w:val="004F4511"/>
    <w:rsid w:val="004F464B"/>
    <w:rsid w:val="004F4B3A"/>
    <w:rsid w:val="004F6F0E"/>
    <w:rsid w:val="004F70A6"/>
    <w:rsid w:val="00501805"/>
    <w:rsid w:val="005029E9"/>
    <w:rsid w:val="00506417"/>
    <w:rsid w:val="00516DAE"/>
    <w:rsid w:val="00521461"/>
    <w:rsid w:val="00525B7F"/>
    <w:rsid w:val="00530E81"/>
    <w:rsid w:val="00534CA6"/>
    <w:rsid w:val="00535EAF"/>
    <w:rsid w:val="005370CF"/>
    <w:rsid w:val="00546BB9"/>
    <w:rsid w:val="00546D80"/>
    <w:rsid w:val="0054748A"/>
    <w:rsid w:val="0054784C"/>
    <w:rsid w:val="0055025D"/>
    <w:rsid w:val="005514D8"/>
    <w:rsid w:val="00551D67"/>
    <w:rsid w:val="0055288F"/>
    <w:rsid w:val="005542A0"/>
    <w:rsid w:val="00556126"/>
    <w:rsid w:val="005609AB"/>
    <w:rsid w:val="005622CD"/>
    <w:rsid w:val="00565D99"/>
    <w:rsid w:val="00567639"/>
    <w:rsid w:val="005703EC"/>
    <w:rsid w:val="0057444E"/>
    <w:rsid w:val="005760E8"/>
    <w:rsid w:val="00582B64"/>
    <w:rsid w:val="00582B65"/>
    <w:rsid w:val="00585031"/>
    <w:rsid w:val="005856AE"/>
    <w:rsid w:val="00586B66"/>
    <w:rsid w:val="00590193"/>
    <w:rsid w:val="00592326"/>
    <w:rsid w:val="005935BD"/>
    <w:rsid w:val="005A3DF0"/>
    <w:rsid w:val="005A7401"/>
    <w:rsid w:val="005B1298"/>
    <w:rsid w:val="005B4C47"/>
    <w:rsid w:val="005C02E4"/>
    <w:rsid w:val="005C0F47"/>
    <w:rsid w:val="005C2415"/>
    <w:rsid w:val="005C511D"/>
    <w:rsid w:val="005C68F3"/>
    <w:rsid w:val="005D2910"/>
    <w:rsid w:val="005D4FD8"/>
    <w:rsid w:val="005F06B7"/>
    <w:rsid w:val="005F6E98"/>
    <w:rsid w:val="005F7797"/>
    <w:rsid w:val="00603389"/>
    <w:rsid w:val="00610B45"/>
    <w:rsid w:val="00610CCA"/>
    <w:rsid w:val="00610DEA"/>
    <w:rsid w:val="00620112"/>
    <w:rsid w:val="006205D3"/>
    <w:rsid w:val="00631766"/>
    <w:rsid w:val="00637191"/>
    <w:rsid w:val="00646A97"/>
    <w:rsid w:val="006519B3"/>
    <w:rsid w:val="006538C2"/>
    <w:rsid w:val="00660B05"/>
    <w:rsid w:val="00663973"/>
    <w:rsid w:val="00671065"/>
    <w:rsid w:val="00672255"/>
    <w:rsid w:val="006813E8"/>
    <w:rsid w:val="00681479"/>
    <w:rsid w:val="00684614"/>
    <w:rsid w:val="00685E66"/>
    <w:rsid w:val="00687D1D"/>
    <w:rsid w:val="00690B65"/>
    <w:rsid w:val="00692B10"/>
    <w:rsid w:val="00692C00"/>
    <w:rsid w:val="00693082"/>
    <w:rsid w:val="00694CEC"/>
    <w:rsid w:val="006C34A4"/>
    <w:rsid w:val="006C4A14"/>
    <w:rsid w:val="006C5A66"/>
    <w:rsid w:val="006C6080"/>
    <w:rsid w:val="006C7189"/>
    <w:rsid w:val="006C7978"/>
    <w:rsid w:val="006D5A1B"/>
    <w:rsid w:val="006E32AA"/>
    <w:rsid w:val="006E3935"/>
    <w:rsid w:val="006E64A5"/>
    <w:rsid w:val="006E7433"/>
    <w:rsid w:val="006F010D"/>
    <w:rsid w:val="006F29C7"/>
    <w:rsid w:val="006F2C10"/>
    <w:rsid w:val="006F3F45"/>
    <w:rsid w:val="006F7516"/>
    <w:rsid w:val="007129E6"/>
    <w:rsid w:val="00712A28"/>
    <w:rsid w:val="007138F5"/>
    <w:rsid w:val="0071690D"/>
    <w:rsid w:val="00726127"/>
    <w:rsid w:val="007279DD"/>
    <w:rsid w:val="00727E17"/>
    <w:rsid w:val="0073252D"/>
    <w:rsid w:val="007353C7"/>
    <w:rsid w:val="007371E9"/>
    <w:rsid w:val="00740632"/>
    <w:rsid w:val="0074458F"/>
    <w:rsid w:val="007454AD"/>
    <w:rsid w:val="0075021C"/>
    <w:rsid w:val="007508BA"/>
    <w:rsid w:val="007545D3"/>
    <w:rsid w:val="00761058"/>
    <w:rsid w:val="00761257"/>
    <w:rsid w:val="00763CD8"/>
    <w:rsid w:val="00765678"/>
    <w:rsid w:val="00767978"/>
    <w:rsid w:val="00772DE5"/>
    <w:rsid w:val="00786BCE"/>
    <w:rsid w:val="00791ACB"/>
    <w:rsid w:val="00794F6D"/>
    <w:rsid w:val="007950A3"/>
    <w:rsid w:val="0079660B"/>
    <w:rsid w:val="007A2CFF"/>
    <w:rsid w:val="007A3DE6"/>
    <w:rsid w:val="007A7462"/>
    <w:rsid w:val="007B56DC"/>
    <w:rsid w:val="007C41EF"/>
    <w:rsid w:val="007C78EF"/>
    <w:rsid w:val="007D0ED6"/>
    <w:rsid w:val="007D275C"/>
    <w:rsid w:val="007D2DB3"/>
    <w:rsid w:val="007D5055"/>
    <w:rsid w:val="007D507A"/>
    <w:rsid w:val="007E1B74"/>
    <w:rsid w:val="007E3442"/>
    <w:rsid w:val="007F0716"/>
    <w:rsid w:val="007F0D83"/>
    <w:rsid w:val="00801DFE"/>
    <w:rsid w:val="008035C4"/>
    <w:rsid w:val="00806EE9"/>
    <w:rsid w:val="00811A34"/>
    <w:rsid w:val="00814CE0"/>
    <w:rsid w:val="00817831"/>
    <w:rsid w:val="00825B85"/>
    <w:rsid w:val="00836500"/>
    <w:rsid w:val="008377EA"/>
    <w:rsid w:val="00855DFD"/>
    <w:rsid w:val="00864DB1"/>
    <w:rsid w:val="008665FD"/>
    <w:rsid w:val="00867FF3"/>
    <w:rsid w:val="00870C17"/>
    <w:rsid w:val="00876694"/>
    <w:rsid w:val="00882E44"/>
    <w:rsid w:val="0088444D"/>
    <w:rsid w:val="00885D0F"/>
    <w:rsid w:val="00897949"/>
    <w:rsid w:val="008A0F7F"/>
    <w:rsid w:val="008A2877"/>
    <w:rsid w:val="008A2A4D"/>
    <w:rsid w:val="008A3ED9"/>
    <w:rsid w:val="008A49F9"/>
    <w:rsid w:val="008A4C7D"/>
    <w:rsid w:val="008A53D2"/>
    <w:rsid w:val="008A72C1"/>
    <w:rsid w:val="008A7677"/>
    <w:rsid w:val="008B007D"/>
    <w:rsid w:val="008B6809"/>
    <w:rsid w:val="008C51BA"/>
    <w:rsid w:val="008C5B76"/>
    <w:rsid w:val="008C64B9"/>
    <w:rsid w:val="008D0812"/>
    <w:rsid w:val="008D3575"/>
    <w:rsid w:val="008D56C0"/>
    <w:rsid w:val="008E2037"/>
    <w:rsid w:val="008E260D"/>
    <w:rsid w:val="008E2787"/>
    <w:rsid w:val="008E302B"/>
    <w:rsid w:val="008E5455"/>
    <w:rsid w:val="008F0BA5"/>
    <w:rsid w:val="008F181D"/>
    <w:rsid w:val="008F2F39"/>
    <w:rsid w:val="009033AC"/>
    <w:rsid w:val="00904882"/>
    <w:rsid w:val="00905C0D"/>
    <w:rsid w:val="00906D42"/>
    <w:rsid w:val="00907C21"/>
    <w:rsid w:val="00911B6E"/>
    <w:rsid w:val="009138E4"/>
    <w:rsid w:val="00914CC2"/>
    <w:rsid w:val="00916FFF"/>
    <w:rsid w:val="00924513"/>
    <w:rsid w:val="00925E6D"/>
    <w:rsid w:val="00927D7E"/>
    <w:rsid w:val="009337C8"/>
    <w:rsid w:val="00940AC1"/>
    <w:rsid w:val="009436B1"/>
    <w:rsid w:val="009512C5"/>
    <w:rsid w:val="009516FC"/>
    <w:rsid w:val="009524A1"/>
    <w:rsid w:val="00953AE6"/>
    <w:rsid w:val="00953B6E"/>
    <w:rsid w:val="009547BA"/>
    <w:rsid w:val="009604A8"/>
    <w:rsid w:val="00964B09"/>
    <w:rsid w:val="009710F0"/>
    <w:rsid w:val="00975C4E"/>
    <w:rsid w:val="009818C8"/>
    <w:rsid w:val="00983BDF"/>
    <w:rsid w:val="00984A5A"/>
    <w:rsid w:val="0099097D"/>
    <w:rsid w:val="009919B7"/>
    <w:rsid w:val="0099663E"/>
    <w:rsid w:val="009A051E"/>
    <w:rsid w:val="009A1AE6"/>
    <w:rsid w:val="009A3F11"/>
    <w:rsid w:val="009A4325"/>
    <w:rsid w:val="009A4AE9"/>
    <w:rsid w:val="009B3443"/>
    <w:rsid w:val="009B39DE"/>
    <w:rsid w:val="009C27AE"/>
    <w:rsid w:val="009C5EF5"/>
    <w:rsid w:val="009D0006"/>
    <w:rsid w:val="009D4E88"/>
    <w:rsid w:val="009E3254"/>
    <w:rsid w:val="009F04E6"/>
    <w:rsid w:val="009F4053"/>
    <w:rsid w:val="009F66C2"/>
    <w:rsid w:val="00A10642"/>
    <w:rsid w:val="00A1763D"/>
    <w:rsid w:val="00A215E1"/>
    <w:rsid w:val="00A22298"/>
    <w:rsid w:val="00A23B02"/>
    <w:rsid w:val="00A24F02"/>
    <w:rsid w:val="00A2723C"/>
    <w:rsid w:val="00A35812"/>
    <w:rsid w:val="00A3605C"/>
    <w:rsid w:val="00A368AD"/>
    <w:rsid w:val="00A406DC"/>
    <w:rsid w:val="00A45874"/>
    <w:rsid w:val="00A52BD8"/>
    <w:rsid w:val="00A55D26"/>
    <w:rsid w:val="00A56D6C"/>
    <w:rsid w:val="00A56E79"/>
    <w:rsid w:val="00A57201"/>
    <w:rsid w:val="00A601B0"/>
    <w:rsid w:val="00A62D9F"/>
    <w:rsid w:val="00A6506F"/>
    <w:rsid w:val="00A70A2F"/>
    <w:rsid w:val="00A72723"/>
    <w:rsid w:val="00A8176D"/>
    <w:rsid w:val="00A86E32"/>
    <w:rsid w:val="00A87632"/>
    <w:rsid w:val="00A90409"/>
    <w:rsid w:val="00A90A84"/>
    <w:rsid w:val="00A93298"/>
    <w:rsid w:val="00AA56E1"/>
    <w:rsid w:val="00AA7E1B"/>
    <w:rsid w:val="00AB7736"/>
    <w:rsid w:val="00AC5ED2"/>
    <w:rsid w:val="00AC7CF8"/>
    <w:rsid w:val="00AD379B"/>
    <w:rsid w:val="00AD4904"/>
    <w:rsid w:val="00AF02BE"/>
    <w:rsid w:val="00AF24A8"/>
    <w:rsid w:val="00AF36AC"/>
    <w:rsid w:val="00B004BD"/>
    <w:rsid w:val="00B038DD"/>
    <w:rsid w:val="00B07AC0"/>
    <w:rsid w:val="00B07C77"/>
    <w:rsid w:val="00B10C3B"/>
    <w:rsid w:val="00B122B0"/>
    <w:rsid w:val="00B13689"/>
    <w:rsid w:val="00B2266F"/>
    <w:rsid w:val="00B2660D"/>
    <w:rsid w:val="00B409D8"/>
    <w:rsid w:val="00B419E7"/>
    <w:rsid w:val="00B42292"/>
    <w:rsid w:val="00B611DD"/>
    <w:rsid w:val="00B62F3D"/>
    <w:rsid w:val="00B63FFD"/>
    <w:rsid w:val="00B66079"/>
    <w:rsid w:val="00B663D7"/>
    <w:rsid w:val="00B719E9"/>
    <w:rsid w:val="00B83BBA"/>
    <w:rsid w:val="00B85073"/>
    <w:rsid w:val="00B9008C"/>
    <w:rsid w:val="00B92E2A"/>
    <w:rsid w:val="00B952FC"/>
    <w:rsid w:val="00BA0443"/>
    <w:rsid w:val="00BA14C9"/>
    <w:rsid w:val="00BA56C7"/>
    <w:rsid w:val="00BB136C"/>
    <w:rsid w:val="00BC2B1B"/>
    <w:rsid w:val="00BC3286"/>
    <w:rsid w:val="00BE1AAB"/>
    <w:rsid w:val="00BE22DF"/>
    <w:rsid w:val="00BE4A40"/>
    <w:rsid w:val="00BE76C1"/>
    <w:rsid w:val="00BF043B"/>
    <w:rsid w:val="00BF6480"/>
    <w:rsid w:val="00C01768"/>
    <w:rsid w:val="00C0359A"/>
    <w:rsid w:val="00C05128"/>
    <w:rsid w:val="00C058CB"/>
    <w:rsid w:val="00C067FA"/>
    <w:rsid w:val="00C07F32"/>
    <w:rsid w:val="00C117D8"/>
    <w:rsid w:val="00C1754A"/>
    <w:rsid w:val="00C214DB"/>
    <w:rsid w:val="00C25DCD"/>
    <w:rsid w:val="00C274D5"/>
    <w:rsid w:val="00C304C2"/>
    <w:rsid w:val="00C31097"/>
    <w:rsid w:val="00C340D8"/>
    <w:rsid w:val="00C35270"/>
    <w:rsid w:val="00C368E1"/>
    <w:rsid w:val="00C41A3C"/>
    <w:rsid w:val="00C44FB9"/>
    <w:rsid w:val="00C53339"/>
    <w:rsid w:val="00C54236"/>
    <w:rsid w:val="00C551D7"/>
    <w:rsid w:val="00C6034E"/>
    <w:rsid w:val="00C63AA8"/>
    <w:rsid w:val="00C651C2"/>
    <w:rsid w:val="00C67932"/>
    <w:rsid w:val="00C76020"/>
    <w:rsid w:val="00C763E3"/>
    <w:rsid w:val="00C76C94"/>
    <w:rsid w:val="00C82734"/>
    <w:rsid w:val="00C835D1"/>
    <w:rsid w:val="00C8472C"/>
    <w:rsid w:val="00C87DD7"/>
    <w:rsid w:val="00C9142E"/>
    <w:rsid w:val="00C953AE"/>
    <w:rsid w:val="00CA3CE7"/>
    <w:rsid w:val="00CC13D1"/>
    <w:rsid w:val="00CC1648"/>
    <w:rsid w:val="00CC3BEC"/>
    <w:rsid w:val="00CC6552"/>
    <w:rsid w:val="00CC684F"/>
    <w:rsid w:val="00CD7886"/>
    <w:rsid w:val="00CE4B2C"/>
    <w:rsid w:val="00CE5445"/>
    <w:rsid w:val="00CF0514"/>
    <w:rsid w:val="00D02313"/>
    <w:rsid w:val="00D04349"/>
    <w:rsid w:val="00D05488"/>
    <w:rsid w:val="00D07734"/>
    <w:rsid w:val="00D10095"/>
    <w:rsid w:val="00D11EF4"/>
    <w:rsid w:val="00D201BC"/>
    <w:rsid w:val="00D25087"/>
    <w:rsid w:val="00D30D37"/>
    <w:rsid w:val="00D35743"/>
    <w:rsid w:val="00D40B9D"/>
    <w:rsid w:val="00D40F65"/>
    <w:rsid w:val="00D422AC"/>
    <w:rsid w:val="00D44813"/>
    <w:rsid w:val="00D44FCE"/>
    <w:rsid w:val="00D46251"/>
    <w:rsid w:val="00D46DB9"/>
    <w:rsid w:val="00D500DE"/>
    <w:rsid w:val="00D537B1"/>
    <w:rsid w:val="00D53F9F"/>
    <w:rsid w:val="00D54873"/>
    <w:rsid w:val="00D654A2"/>
    <w:rsid w:val="00D7359F"/>
    <w:rsid w:val="00D73737"/>
    <w:rsid w:val="00D74247"/>
    <w:rsid w:val="00D7743D"/>
    <w:rsid w:val="00D77FB5"/>
    <w:rsid w:val="00D80F9F"/>
    <w:rsid w:val="00D82AD9"/>
    <w:rsid w:val="00D84925"/>
    <w:rsid w:val="00D92DD6"/>
    <w:rsid w:val="00D9685A"/>
    <w:rsid w:val="00DA083B"/>
    <w:rsid w:val="00DA1DBB"/>
    <w:rsid w:val="00DA256A"/>
    <w:rsid w:val="00DA311A"/>
    <w:rsid w:val="00DA4876"/>
    <w:rsid w:val="00DA549F"/>
    <w:rsid w:val="00DB01A4"/>
    <w:rsid w:val="00DB188E"/>
    <w:rsid w:val="00DB61EF"/>
    <w:rsid w:val="00DB7D64"/>
    <w:rsid w:val="00DC3A91"/>
    <w:rsid w:val="00DD40A8"/>
    <w:rsid w:val="00DD7BF9"/>
    <w:rsid w:val="00DE0D7C"/>
    <w:rsid w:val="00DE3401"/>
    <w:rsid w:val="00DE3698"/>
    <w:rsid w:val="00DE4EC6"/>
    <w:rsid w:val="00DE59FB"/>
    <w:rsid w:val="00DE6A95"/>
    <w:rsid w:val="00DE75F9"/>
    <w:rsid w:val="00DF0155"/>
    <w:rsid w:val="00E0166E"/>
    <w:rsid w:val="00E03D43"/>
    <w:rsid w:val="00E1153D"/>
    <w:rsid w:val="00E11809"/>
    <w:rsid w:val="00E11ACC"/>
    <w:rsid w:val="00E12C15"/>
    <w:rsid w:val="00E14784"/>
    <w:rsid w:val="00E15403"/>
    <w:rsid w:val="00E157D6"/>
    <w:rsid w:val="00E16ACE"/>
    <w:rsid w:val="00E174E0"/>
    <w:rsid w:val="00E21226"/>
    <w:rsid w:val="00E25D24"/>
    <w:rsid w:val="00E3549B"/>
    <w:rsid w:val="00E36148"/>
    <w:rsid w:val="00E41BEC"/>
    <w:rsid w:val="00E44AD1"/>
    <w:rsid w:val="00E44B54"/>
    <w:rsid w:val="00E461D5"/>
    <w:rsid w:val="00E46578"/>
    <w:rsid w:val="00E47FC4"/>
    <w:rsid w:val="00E66AD7"/>
    <w:rsid w:val="00E775C2"/>
    <w:rsid w:val="00E81A43"/>
    <w:rsid w:val="00E83019"/>
    <w:rsid w:val="00E9176C"/>
    <w:rsid w:val="00E92715"/>
    <w:rsid w:val="00E95F87"/>
    <w:rsid w:val="00EA01F7"/>
    <w:rsid w:val="00EA678A"/>
    <w:rsid w:val="00EB1C8E"/>
    <w:rsid w:val="00EB6246"/>
    <w:rsid w:val="00EC67C9"/>
    <w:rsid w:val="00EC6F42"/>
    <w:rsid w:val="00ED3F48"/>
    <w:rsid w:val="00EE27A7"/>
    <w:rsid w:val="00EE7307"/>
    <w:rsid w:val="00EF6F7C"/>
    <w:rsid w:val="00EF7875"/>
    <w:rsid w:val="00F00008"/>
    <w:rsid w:val="00F01FC4"/>
    <w:rsid w:val="00F05997"/>
    <w:rsid w:val="00F11AE9"/>
    <w:rsid w:val="00F1308D"/>
    <w:rsid w:val="00F211B3"/>
    <w:rsid w:val="00F21D09"/>
    <w:rsid w:val="00F2435D"/>
    <w:rsid w:val="00F322F1"/>
    <w:rsid w:val="00F32D42"/>
    <w:rsid w:val="00F337C8"/>
    <w:rsid w:val="00F3380C"/>
    <w:rsid w:val="00F44E8B"/>
    <w:rsid w:val="00F47689"/>
    <w:rsid w:val="00F50A6C"/>
    <w:rsid w:val="00F54297"/>
    <w:rsid w:val="00F55C46"/>
    <w:rsid w:val="00F576A4"/>
    <w:rsid w:val="00F61E66"/>
    <w:rsid w:val="00F62566"/>
    <w:rsid w:val="00F719C8"/>
    <w:rsid w:val="00F7411D"/>
    <w:rsid w:val="00F8377F"/>
    <w:rsid w:val="00F83A6B"/>
    <w:rsid w:val="00F83D56"/>
    <w:rsid w:val="00F87FD2"/>
    <w:rsid w:val="00F90673"/>
    <w:rsid w:val="00F910F5"/>
    <w:rsid w:val="00F93E82"/>
    <w:rsid w:val="00FA287D"/>
    <w:rsid w:val="00FA3B3C"/>
    <w:rsid w:val="00FA45C8"/>
    <w:rsid w:val="00FA7E22"/>
    <w:rsid w:val="00FB2864"/>
    <w:rsid w:val="00FB38A1"/>
    <w:rsid w:val="00FB4BA4"/>
    <w:rsid w:val="00FB58E5"/>
    <w:rsid w:val="00FC19AF"/>
    <w:rsid w:val="00FC57DD"/>
    <w:rsid w:val="00FD0C56"/>
    <w:rsid w:val="00FD2F70"/>
    <w:rsid w:val="00FE3978"/>
    <w:rsid w:val="00FE4585"/>
    <w:rsid w:val="00FE4E1E"/>
    <w:rsid w:val="00FE5E1C"/>
    <w:rsid w:val="00FE6049"/>
    <w:rsid w:val="00FE69D3"/>
    <w:rsid w:val="00FF173A"/>
    <w:rsid w:val="00FF2292"/>
    <w:rsid w:val="00FF35A6"/>
    <w:rsid w:val="00FF7F13"/>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10AF684E"/>
  <w15:chartTrackingRefBased/>
  <w15:docId w15:val="{D94B6735-6B69-094F-8AD7-252324C3D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E66"/>
    <w:rPr>
      <w:rFonts w:ascii="Times New Roman" w:eastAsia="Calibri"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685E66"/>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IT"/>
      <w14:ligatures w14:val="standardContextual"/>
    </w:rPr>
  </w:style>
  <w:style w:type="paragraph" w:styleId="Heading2">
    <w:name w:val="heading 2"/>
    <w:basedOn w:val="Normal"/>
    <w:next w:val="Normal"/>
    <w:link w:val="Heading2Char"/>
    <w:uiPriority w:val="9"/>
    <w:semiHidden/>
    <w:unhideWhenUsed/>
    <w:qFormat/>
    <w:rsid w:val="00685E66"/>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IT"/>
      <w14:ligatures w14:val="standardContextual"/>
    </w:rPr>
  </w:style>
  <w:style w:type="paragraph" w:styleId="Heading3">
    <w:name w:val="heading 3"/>
    <w:basedOn w:val="Normal"/>
    <w:next w:val="Normal"/>
    <w:link w:val="Heading3Char"/>
    <w:uiPriority w:val="9"/>
    <w:semiHidden/>
    <w:unhideWhenUsed/>
    <w:qFormat/>
    <w:rsid w:val="00685E66"/>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IT"/>
      <w14:ligatures w14:val="standardContextual"/>
    </w:rPr>
  </w:style>
  <w:style w:type="paragraph" w:styleId="Heading4">
    <w:name w:val="heading 4"/>
    <w:basedOn w:val="Normal"/>
    <w:next w:val="Normal"/>
    <w:link w:val="Heading4Char"/>
    <w:uiPriority w:val="9"/>
    <w:semiHidden/>
    <w:unhideWhenUsed/>
    <w:qFormat/>
    <w:rsid w:val="00685E66"/>
    <w:pPr>
      <w:keepNext/>
      <w:keepLines/>
      <w:spacing w:before="80" w:after="40"/>
      <w:outlineLvl w:val="3"/>
    </w:pPr>
    <w:rPr>
      <w:rFonts w:asciiTheme="minorHAnsi" w:eastAsiaTheme="majorEastAsia" w:hAnsiTheme="minorHAnsi" w:cstheme="majorBidi"/>
      <w:i/>
      <w:iCs/>
      <w:color w:val="0F4761" w:themeColor="accent1" w:themeShade="BF"/>
      <w:kern w:val="2"/>
      <w:sz w:val="24"/>
      <w:szCs w:val="24"/>
      <w:lang w:val="en-IT"/>
      <w14:ligatures w14:val="standardContextual"/>
    </w:rPr>
  </w:style>
  <w:style w:type="paragraph" w:styleId="Heading5">
    <w:name w:val="heading 5"/>
    <w:basedOn w:val="Normal"/>
    <w:next w:val="Normal"/>
    <w:link w:val="Heading5Char"/>
    <w:uiPriority w:val="9"/>
    <w:semiHidden/>
    <w:unhideWhenUsed/>
    <w:qFormat/>
    <w:rsid w:val="00685E66"/>
    <w:pPr>
      <w:keepNext/>
      <w:keepLines/>
      <w:spacing w:before="80" w:after="40"/>
      <w:outlineLvl w:val="4"/>
    </w:pPr>
    <w:rPr>
      <w:rFonts w:asciiTheme="minorHAnsi" w:eastAsiaTheme="majorEastAsia" w:hAnsiTheme="minorHAnsi" w:cstheme="majorBidi"/>
      <w:color w:val="0F4761" w:themeColor="accent1" w:themeShade="BF"/>
      <w:kern w:val="2"/>
      <w:sz w:val="24"/>
      <w:szCs w:val="24"/>
      <w:lang w:val="en-IT"/>
      <w14:ligatures w14:val="standardContextual"/>
    </w:rPr>
  </w:style>
  <w:style w:type="paragraph" w:styleId="Heading6">
    <w:name w:val="heading 6"/>
    <w:basedOn w:val="Normal"/>
    <w:next w:val="Normal"/>
    <w:link w:val="Heading6Char"/>
    <w:uiPriority w:val="9"/>
    <w:semiHidden/>
    <w:unhideWhenUsed/>
    <w:qFormat/>
    <w:rsid w:val="00685E66"/>
    <w:pPr>
      <w:keepNext/>
      <w:keepLines/>
      <w:spacing w:before="40"/>
      <w:outlineLvl w:val="5"/>
    </w:pPr>
    <w:rPr>
      <w:rFonts w:asciiTheme="minorHAnsi" w:eastAsiaTheme="majorEastAsia" w:hAnsiTheme="minorHAnsi" w:cstheme="majorBidi"/>
      <w:i/>
      <w:iCs/>
      <w:color w:val="595959" w:themeColor="text1" w:themeTint="A6"/>
      <w:kern w:val="2"/>
      <w:sz w:val="24"/>
      <w:szCs w:val="24"/>
      <w:lang w:val="en-IT"/>
      <w14:ligatures w14:val="standardContextual"/>
    </w:rPr>
  </w:style>
  <w:style w:type="paragraph" w:styleId="Heading7">
    <w:name w:val="heading 7"/>
    <w:basedOn w:val="Normal"/>
    <w:next w:val="Normal"/>
    <w:link w:val="Heading7Char"/>
    <w:uiPriority w:val="9"/>
    <w:semiHidden/>
    <w:unhideWhenUsed/>
    <w:qFormat/>
    <w:rsid w:val="00685E66"/>
    <w:pPr>
      <w:keepNext/>
      <w:keepLines/>
      <w:spacing w:before="40"/>
      <w:outlineLvl w:val="6"/>
    </w:pPr>
    <w:rPr>
      <w:rFonts w:asciiTheme="minorHAnsi" w:eastAsiaTheme="majorEastAsia" w:hAnsiTheme="minorHAnsi" w:cstheme="majorBidi"/>
      <w:color w:val="595959" w:themeColor="text1" w:themeTint="A6"/>
      <w:kern w:val="2"/>
      <w:sz w:val="24"/>
      <w:szCs w:val="24"/>
      <w:lang w:val="en-IT"/>
      <w14:ligatures w14:val="standardContextual"/>
    </w:rPr>
  </w:style>
  <w:style w:type="paragraph" w:styleId="Heading8">
    <w:name w:val="heading 8"/>
    <w:basedOn w:val="Normal"/>
    <w:next w:val="Normal"/>
    <w:link w:val="Heading8Char"/>
    <w:uiPriority w:val="9"/>
    <w:semiHidden/>
    <w:unhideWhenUsed/>
    <w:qFormat/>
    <w:rsid w:val="00685E66"/>
    <w:pPr>
      <w:keepNext/>
      <w:keepLines/>
      <w:outlineLvl w:val="7"/>
    </w:pPr>
    <w:rPr>
      <w:rFonts w:asciiTheme="minorHAnsi" w:eastAsiaTheme="majorEastAsia" w:hAnsiTheme="minorHAnsi" w:cstheme="majorBidi"/>
      <w:i/>
      <w:iCs/>
      <w:color w:val="272727" w:themeColor="text1" w:themeTint="D8"/>
      <w:kern w:val="2"/>
      <w:sz w:val="24"/>
      <w:szCs w:val="24"/>
      <w:lang w:val="en-IT"/>
      <w14:ligatures w14:val="standardContextual"/>
    </w:rPr>
  </w:style>
  <w:style w:type="paragraph" w:styleId="Heading9">
    <w:name w:val="heading 9"/>
    <w:basedOn w:val="Normal"/>
    <w:next w:val="Normal"/>
    <w:link w:val="Heading9Char"/>
    <w:uiPriority w:val="9"/>
    <w:semiHidden/>
    <w:unhideWhenUsed/>
    <w:qFormat/>
    <w:rsid w:val="00685E66"/>
    <w:pPr>
      <w:keepNext/>
      <w:keepLines/>
      <w:outlineLvl w:val="8"/>
    </w:pPr>
    <w:rPr>
      <w:rFonts w:asciiTheme="minorHAnsi" w:eastAsiaTheme="majorEastAsia" w:hAnsiTheme="minorHAnsi" w:cstheme="majorBidi"/>
      <w:color w:val="272727" w:themeColor="text1" w:themeTint="D8"/>
      <w:kern w:val="2"/>
      <w:sz w:val="24"/>
      <w:szCs w:val="24"/>
      <w:lang w:val="en-I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E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E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E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E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E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E66"/>
    <w:rPr>
      <w:rFonts w:eastAsiaTheme="majorEastAsia" w:cstheme="majorBidi"/>
      <w:color w:val="272727" w:themeColor="text1" w:themeTint="D8"/>
    </w:rPr>
  </w:style>
  <w:style w:type="paragraph" w:styleId="Title">
    <w:name w:val="Title"/>
    <w:basedOn w:val="Normal"/>
    <w:next w:val="Normal"/>
    <w:link w:val="TitleChar"/>
    <w:uiPriority w:val="10"/>
    <w:qFormat/>
    <w:rsid w:val="00685E66"/>
    <w:pPr>
      <w:spacing w:after="80"/>
      <w:contextualSpacing/>
    </w:pPr>
    <w:rPr>
      <w:rFonts w:asciiTheme="majorHAnsi" w:eastAsiaTheme="majorEastAsia" w:hAnsiTheme="majorHAnsi" w:cstheme="majorBidi"/>
      <w:spacing w:val="-10"/>
      <w:kern w:val="28"/>
      <w:sz w:val="56"/>
      <w:szCs w:val="56"/>
      <w:lang w:val="en-IT"/>
      <w14:ligatures w14:val="standardContextual"/>
    </w:rPr>
  </w:style>
  <w:style w:type="character" w:customStyle="1" w:styleId="TitleChar">
    <w:name w:val="Title Char"/>
    <w:basedOn w:val="DefaultParagraphFont"/>
    <w:link w:val="Title"/>
    <w:uiPriority w:val="10"/>
    <w:rsid w:val="00685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E66"/>
    <w:pPr>
      <w:numPr>
        <w:ilvl w:val="1"/>
      </w:numPr>
      <w:spacing w:after="160"/>
    </w:pPr>
    <w:rPr>
      <w:rFonts w:asciiTheme="minorHAnsi" w:eastAsiaTheme="majorEastAsia" w:hAnsiTheme="minorHAnsi" w:cstheme="majorBidi"/>
      <w:color w:val="595959" w:themeColor="text1" w:themeTint="A6"/>
      <w:spacing w:val="15"/>
      <w:kern w:val="2"/>
      <w:sz w:val="28"/>
      <w:szCs w:val="28"/>
      <w:lang w:val="en-IT"/>
      <w14:ligatures w14:val="standardContextual"/>
    </w:rPr>
  </w:style>
  <w:style w:type="character" w:customStyle="1" w:styleId="SubtitleChar">
    <w:name w:val="Subtitle Char"/>
    <w:basedOn w:val="DefaultParagraphFont"/>
    <w:link w:val="Subtitle"/>
    <w:uiPriority w:val="11"/>
    <w:rsid w:val="00685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E66"/>
    <w:pPr>
      <w:spacing w:before="160" w:after="160"/>
      <w:jc w:val="center"/>
    </w:pPr>
    <w:rPr>
      <w:rFonts w:asciiTheme="minorHAnsi" w:eastAsiaTheme="minorHAnsi" w:hAnsiTheme="minorHAnsi" w:cstheme="minorBidi"/>
      <w:i/>
      <w:iCs/>
      <w:color w:val="404040" w:themeColor="text1" w:themeTint="BF"/>
      <w:kern w:val="2"/>
      <w:sz w:val="24"/>
      <w:szCs w:val="24"/>
      <w:lang w:val="en-IT"/>
      <w14:ligatures w14:val="standardContextual"/>
    </w:rPr>
  </w:style>
  <w:style w:type="character" w:customStyle="1" w:styleId="QuoteChar">
    <w:name w:val="Quote Char"/>
    <w:basedOn w:val="DefaultParagraphFont"/>
    <w:link w:val="Quote"/>
    <w:uiPriority w:val="29"/>
    <w:rsid w:val="00685E66"/>
    <w:rPr>
      <w:i/>
      <w:iCs/>
      <w:color w:val="404040" w:themeColor="text1" w:themeTint="BF"/>
    </w:rPr>
  </w:style>
  <w:style w:type="paragraph" w:styleId="ListParagraph">
    <w:name w:val="List Paragraph"/>
    <w:basedOn w:val="Normal"/>
    <w:uiPriority w:val="34"/>
    <w:qFormat/>
    <w:rsid w:val="00685E66"/>
    <w:pPr>
      <w:ind w:left="720"/>
      <w:contextualSpacing/>
    </w:pPr>
    <w:rPr>
      <w:rFonts w:asciiTheme="minorHAnsi" w:eastAsiaTheme="minorHAnsi" w:hAnsiTheme="minorHAnsi" w:cstheme="minorBidi"/>
      <w:kern w:val="2"/>
      <w:sz w:val="24"/>
      <w:szCs w:val="24"/>
      <w:lang w:val="en-IT"/>
      <w14:ligatures w14:val="standardContextual"/>
    </w:rPr>
  </w:style>
  <w:style w:type="character" w:styleId="IntenseEmphasis">
    <w:name w:val="Intense Emphasis"/>
    <w:basedOn w:val="DefaultParagraphFont"/>
    <w:uiPriority w:val="21"/>
    <w:qFormat/>
    <w:rsid w:val="00685E66"/>
    <w:rPr>
      <w:i/>
      <w:iCs/>
      <w:color w:val="0F4761" w:themeColor="accent1" w:themeShade="BF"/>
    </w:rPr>
  </w:style>
  <w:style w:type="paragraph" w:styleId="IntenseQuote">
    <w:name w:val="Intense Quote"/>
    <w:basedOn w:val="Normal"/>
    <w:next w:val="Normal"/>
    <w:link w:val="IntenseQuoteChar"/>
    <w:uiPriority w:val="30"/>
    <w:qFormat/>
    <w:rsid w:val="00685E6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lang w:val="en-IT"/>
      <w14:ligatures w14:val="standardContextual"/>
    </w:rPr>
  </w:style>
  <w:style w:type="character" w:customStyle="1" w:styleId="IntenseQuoteChar">
    <w:name w:val="Intense Quote Char"/>
    <w:basedOn w:val="DefaultParagraphFont"/>
    <w:link w:val="IntenseQuote"/>
    <w:uiPriority w:val="30"/>
    <w:rsid w:val="00685E66"/>
    <w:rPr>
      <w:i/>
      <w:iCs/>
      <w:color w:val="0F4761" w:themeColor="accent1" w:themeShade="BF"/>
    </w:rPr>
  </w:style>
  <w:style w:type="character" w:styleId="IntenseReference">
    <w:name w:val="Intense Reference"/>
    <w:basedOn w:val="DefaultParagraphFont"/>
    <w:uiPriority w:val="32"/>
    <w:qFormat/>
    <w:rsid w:val="00685E66"/>
    <w:rPr>
      <w:b/>
      <w:bCs/>
      <w:smallCaps/>
      <w:color w:val="0F4761" w:themeColor="accent1" w:themeShade="BF"/>
      <w:spacing w:val="5"/>
    </w:rPr>
  </w:style>
  <w:style w:type="paragraph" w:customStyle="1" w:styleId="Paragraph">
    <w:name w:val="Paragraph"/>
    <w:basedOn w:val="Normal"/>
    <w:rsid w:val="00685E66"/>
    <w:pPr>
      <w:spacing w:before="120"/>
      <w:ind w:firstLine="720"/>
    </w:pPr>
    <w:rPr>
      <w:rFonts w:eastAsia="Times New Roman"/>
      <w:sz w:val="24"/>
      <w:szCs w:val="24"/>
    </w:rPr>
  </w:style>
  <w:style w:type="paragraph" w:customStyle="1" w:styleId="p">
    <w:name w:val="p"/>
    <w:basedOn w:val="Normal"/>
    <w:rsid w:val="00685E66"/>
    <w:pPr>
      <w:spacing w:before="100" w:beforeAutospacing="1" w:after="100" w:afterAutospacing="1"/>
    </w:pPr>
    <w:rPr>
      <w:rFonts w:eastAsia="Times New Roman"/>
      <w:sz w:val="24"/>
      <w:szCs w:val="24"/>
    </w:rPr>
  </w:style>
  <w:style w:type="table" w:styleId="TableGrid">
    <w:name w:val="Table Grid"/>
    <w:basedOn w:val="TableNormal"/>
    <w:uiPriority w:val="59"/>
    <w:rsid w:val="00685E66"/>
    <w:rPr>
      <w:rFonts w:eastAsiaTheme="minorEastAsia"/>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685E66"/>
    <w:rPr>
      <w:rFonts w:ascii="Times New Roman" w:eastAsia="Calibri"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3548</Words>
  <Characters>20226</Characters>
  <Application>Microsoft Office Word</Application>
  <DocSecurity>0</DocSecurity>
  <Lines>168</Lines>
  <Paragraphs>47</Paragraphs>
  <ScaleCrop>false</ScaleCrop>
  <Company/>
  <LinksUpToDate>false</LinksUpToDate>
  <CharactersWithSpaces>23727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MIKKO OLAVI LAUKKANEN</dc:creator>
  <cp:keywords/>
  <dc:description/>
  <cp:lastModifiedBy>Microsoft Office User</cp:lastModifiedBy>
  <cp:revision>2</cp:revision>
  <dcterms:created xsi:type="dcterms:W3CDTF">2026-04-13T06:31:00Z</dcterms:created>
  <dcterms:modified xsi:type="dcterms:W3CDTF">2026-04-13T06:31:00Z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2025-07-23T08:26:04Z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c50a0cc8-d8ed-4c8a-8453-3ac97bce0e87</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