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09C1C">
      <w:pPr>
        <w:spacing w:line="360" w:lineRule="auto"/>
        <w:rPr>
          <w:rFonts w:ascii="Times New Roman" w:hAnsi="Times New Roman" w:cs="Times New Roman"/>
          <w:b/>
          <w:bCs/>
          <w:szCs w:val="24"/>
          <w:highlight w:val="none"/>
        </w:rPr>
      </w:pPr>
      <w:bookmarkStart w:id="0" w:name="_GoBack"/>
      <w:r>
        <w:rPr>
          <w:rFonts w:ascii="Times New Roman" w:hAnsi="Times New Roman" w:cs="Times New Roman"/>
          <w:b/>
          <w:bCs/>
          <w:szCs w:val="24"/>
          <w:highlight w:val="none"/>
        </w:rPr>
        <w:t>Supplementary information</w:t>
      </w:r>
    </w:p>
    <w:bookmarkEnd w:id="0"/>
    <w:p w14:paraId="0A072DB5">
      <w:pPr>
        <w:widowControl/>
        <w:spacing w:line="360" w:lineRule="auto"/>
        <w:jc w:val="left"/>
        <w:rPr>
          <w:rFonts w:ascii="Times New Roman" w:hAnsi="Times New Roman" w:cs="Times New Roman"/>
          <w:szCs w:val="24"/>
          <w:highlight w:val="none"/>
        </w:rPr>
      </w:pPr>
    </w:p>
    <w:p w14:paraId="50712124">
      <w:pPr>
        <w:spacing w:line="360" w:lineRule="auto"/>
        <w:jc w:val="left"/>
        <w:rPr>
          <w:rFonts w:ascii="Times New Roman" w:hAnsi="Times New Roman" w:cs="Times New Roman"/>
          <w:szCs w:val="24"/>
          <w:highlight w:val="none"/>
        </w:rPr>
      </w:pPr>
      <w:r>
        <w:rPr>
          <w:rFonts w:ascii="Times New Roman" w:hAnsi="Times New Roman" w:cs="Times New Roman"/>
          <w:b/>
          <w:bCs/>
          <w:szCs w:val="24"/>
          <w:highlight w:val="none"/>
        </w:rPr>
        <w:t>S</w:t>
      </w:r>
      <w:r>
        <w:rPr>
          <w:rFonts w:hint="eastAsia" w:ascii="Times New Roman" w:hAnsi="Times New Roman" w:cs="Times New Roman"/>
          <w:b/>
          <w:bCs/>
          <w:szCs w:val="24"/>
          <w:highlight w:val="none"/>
        </w:rPr>
        <w:t>u</w:t>
      </w:r>
      <w:r>
        <w:rPr>
          <w:rFonts w:ascii="Times New Roman" w:hAnsi="Times New Roman" w:cs="Times New Roman"/>
          <w:b/>
          <w:bCs/>
          <w:szCs w:val="24"/>
          <w:highlight w:val="none"/>
        </w:rPr>
        <w:t xml:space="preserve">pplementary Figure 1 </w:t>
      </w:r>
      <w:r>
        <w:rPr>
          <w:rFonts w:ascii="Times New Roman" w:hAnsi="Times New Roman" w:cs="Times New Roman"/>
          <w:szCs w:val="24"/>
          <w:highlight w:val="none"/>
        </w:rPr>
        <w:t xml:space="preserve">Identification of endothelial cells. (A) T-SNE visualization of the endothelial cell subpopulations. </w:t>
      </w:r>
      <w:r>
        <w:rPr>
          <w:rFonts w:hint="eastAsia" w:ascii="Times New Roman" w:hAnsi="Times New Roman" w:cs="Times New Roman"/>
          <w:szCs w:val="24"/>
          <w:highlight w:val="none"/>
        </w:rPr>
        <w:t>(</w:t>
      </w:r>
      <w:r>
        <w:rPr>
          <w:rFonts w:ascii="Times New Roman" w:hAnsi="Times New Roman" w:cs="Times New Roman"/>
          <w:szCs w:val="24"/>
          <w:highlight w:val="none"/>
        </w:rPr>
        <w:t>B) Heatmap showing the expression of top 10 differential genes defining endothelium subpopulations. (C) Violin plots showing the expression of representative endothelium marker genes.</w:t>
      </w:r>
    </w:p>
    <w:p w14:paraId="1F11383F">
      <w:pPr>
        <w:widowControl/>
        <w:spacing w:line="36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br w:type="page"/>
      </w:r>
    </w:p>
    <w:p w14:paraId="72A79E61">
      <w:pPr>
        <w:spacing w:line="360" w:lineRule="auto"/>
        <w:jc w:val="left"/>
        <w:rPr>
          <w:rFonts w:hint="eastAsia" w:ascii="Times New Roman" w:hAnsi="Times New Roman" w:cs="Times New Roman" w:eastAsiaTheme="minorEastAsia"/>
          <w:b/>
          <w:bCs/>
          <w:sz w:val="24"/>
          <w:szCs w:val="24"/>
          <w:highlight w:val="none"/>
          <w:lang w:eastAsia="zh-CN"/>
        </w:rPr>
      </w:pPr>
    </w:p>
    <w:p w14:paraId="692E0154">
      <w:pPr>
        <w:spacing w:line="360" w:lineRule="auto"/>
        <w:jc w:val="left"/>
        <w:rPr>
          <w:rFonts w:hint="default" w:ascii="Times New Roman" w:hAnsi="Times New Roman" w:cs="Times New Roman" w:eastAsiaTheme="minorEastAsia"/>
          <w:szCs w:val="21"/>
          <w:highlight w:val="none"/>
          <w:lang w:val="en-US" w:eastAsia="zh-CN"/>
        </w:rPr>
      </w:pPr>
      <w:r>
        <w:rPr>
          <w:rFonts w:ascii="Times New Roman" w:hAnsi="Times New Roman" w:cs="Times New Roman"/>
          <w:b/>
          <w:bCs/>
          <w:szCs w:val="21"/>
          <w:highlight w:val="none"/>
        </w:rPr>
        <w:t>S</w:t>
      </w:r>
      <w:r>
        <w:rPr>
          <w:rFonts w:hint="eastAsia" w:ascii="Times New Roman" w:hAnsi="Times New Roman" w:cs="Times New Roman"/>
          <w:b/>
          <w:bCs/>
          <w:szCs w:val="21"/>
          <w:highlight w:val="none"/>
        </w:rPr>
        <w:t>u</w:t>
      </w:r>
      <w:r>
        <w:rPr>
          <w:rFonts w:ascii="Times New Roman" w:hAnsi="Times New Roman" w:cs="Times New Roman"/>
          <w:b/>
          <w:bCs/>
          <w:szCs w:val="21"/>
          <w:highlight w:val="none"/>
        </w:rPr>
        <w:t xml:space="preserve">pplementary Figure 2 </w:t>
      </w:r>
      <w:r>
        <w:rPr>
          <w:rFonts w:ascii="Times New Roman" w:hAnsi="Times New Roman" w:cs="Times New Roman"/>
          <w:szCs w:val="21"/>
          <w:highlight w:val="none"/>
        </w:rPr>
        <w:t>Identification of endothelial cells subpopulation. (A) Feature plots showing the expression of representative endothelium marker genes. (B) Violin plots showing the expression of Emcn and Pecam1. (C) Feature plots showing the expression of Dll4</w:t>
      </w:r>
      <w:r>
        <w:rPr>
          <w:rFonts w:hint="eastAsia" w:ascii="Times New Roman" w:hAnsi="Times New Roman" w:cs="Times New Roman"/>
          <w:szCs w:val="21"/>
          <w:highlight w:val="none"/>
          <w:lang w:val="en-US" w:eastAsia="zh-CN"/>
        </w:rPr>
        <w:t xml:space="preserve"> and Vegfr2</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 xml:space="preserve"> (D) CellPhoneDB bubble plot showing ligand-receptor interactions between KCNE3⁺ skeletal tip cells and osteogenic lineage cells. (E) Heatmap showing ligand-receptor interaction scores between different vascular subtypes and osteogenic lineage cells.</w:t>
      </w:r>
    </w:p>
    <w:p w14:paraId="4F5DBA41">
      <w:pPr>
        <w:widowControl/>
        <w:jc w:val="left"/>
        <w:rPr>
          <w:rFonts w:ascii="Times New Roman" w:hAnsi="Times New Roman" w:cs="Times New Roman"/>
          <w:szCs w:val="21"/>
          <w:highlight w:val="none"/>
        </w:rPr>
      </w:pPr>
      <w:r>
        <w:rPr>
          <w:rFonts w:ascii="Times New Roman" w:hAnsi="Times New Roman" w:cs="Times New Roman"/>
          <w:szCs w:val="21"/>
          <w:highlight w:val="none"/>
        </w:rPr>
        <w:br w:type="page"/>
      </w:r>
    </w:p>
    <w:p w14:paraId="1B0E7334">
      <w:pPr>
        <w:spacing w:line="360" w:lineRule="auto"/>
        <w:jc w:val="left"/>
        <w:rPr>
          <w:rFonts w:ascii="Times New Roman" w:hAnsi="Times New Roman" w:cs="Times New Roman"/>
          <w:szCs w:val="21"/>
          <w:highlight w:val="none"/>
        </w:rPr>
      </w:pPr>
    </w:p>
    <w:p w14:paraId="0C0F7DC4"/>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180383"/>
    <w:rsid w:val="591803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GB"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2026-07-28T04:59:00Z</dcterms:created>
  <dc:creator>王人楷</dc:creator>
  <cp:lastModifiedBy>王人楷</cp:lastModifiedBy>
  <dcterms:modified xsi:type="dcterms:W3CDTF">2026-07-28T05:36:17Z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BD71071D646E4040B51CFC705676ED52_11</vt:lpwstr>
  </property>
  <property fmtid="{D5CDD505-2E9C-101B-9397-08002B2CF9AE}" pid="4" name="KSOTemplateDocerSaveRecord">
    <vt:lpwstr>eyJoZGlkIjoiYjU5ZjkxNmE1NTMwOTk4Mzc2OTE4ZGU0NmRlYTY3NWMiLCJ1c2VySWQiOiI3NDI5MDA5MjgifQ==</vt:lpwstr>
  </property>
</Properties>
</file>