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976" w:rsidRPr="006E710A" w:rsidRDefault="00347976" w:rsidP="00347976">
      <w:pPr>
        <w:spacing w:line="480" w:lineRule="auto"/>
        <w:jc w:val="both"/>
        <w:rPr>
          <w:rFonts w:ascii="Times New Roman" w:hAnsi="Times New Roman"/>
          <w:b/>
          <w:sz w:val="26"/>
          <w:szCs w:val="26"/>
          <w:lang w:val="en-US"/>
        </w:rPr>
      </w:pPr>
      <w:r w:rsidRPr="006E710A">
        <w:rPr>
          <w:rFonts w:ascii="Times New Roman" w:hAnsi="Times New Roman"/>
          <w:b/>
          <w:bCs/>
          <w:sz w:val="26"/>
          <w:szCs w:val="26"/>
          <w:lang w:val="en-US"/>
        </w:rPr>
        <w:t>Supplementary Information</w:t>
      </w:r>
    </w:p>
    <w:p w:rsidR="00347976" w:rsidRPr="006E710A" w:rsidRDefault="00347976" w:rsidP="00347976">
      <w:pPr>
        <w:pStyle w:val="NormalWeb"/>
        <w:spacing w:before="0" w:after="0" w:line="480" w:lineRule="auto"/>
        <w:jc w:val="both"/>
        <w:rPr>
          <w:rFonts w:ascii="Times New Roman" w:hAnsi="Times New Roman"/>
          <w:sz w:val="22"/>
          <w:szCs w:val="22"/>
          <w:lang w:val="en-US"/>
        </w:rPr>
      </w:pPr>
      <w:r w:rsidRPr="006E710A">
        <w:rPr>
          <w:rFonts w:ascii="Times New Roman" w:hAnsi="Times New Roman"/>
          <w:b/>
          <w:sz w:val="22"/>
          <w:szCs w:val="22"/>
          <w:lang w:val="en-US"/>
        </w:rPr>
        <w:t xml:space="preserve">Figure S1 </w:t>
      </w:r>
      <w:r w:rsidRPr="006E710A">
        <w:rPr>
          <w:rFonts w:ascii="Times New Roman" w:hAnsi="Times New Roman"/>
          <w:sz w:val="22"/>
          <w:szCs w:val="22"/>
          <w:lang w:val="en-US"/>
        </w:rPr>
        <w:t>Synthesis of key glycerophospholipids in eukaryotes and prokaryotes.</w:t>
      </w:r>
      <w:r w:rsidRPr="006E710A">
        <w:rPr>
          <w:rFonts w:ascii="Times New Roman" w:hAnsi="Times New Roman"/>
          <w:b/>
          <w:sz w:val="22"/>
          <w:szCs w:val="22"/>
          <w:lang w:val="en-US"/>
        </w:rPr>
        <w:t xml:space="preserve"> </w:t>
      </w:r>
      <w:r w:rsidRPr="006E710A">
        <w:rPr>
          <w:rFonts w:ascii="Times New Roman" w:hAnsi="Times New Roman"/>
          <w:sz w:val="22"/>
          <w:szCs w:val="22"/>
          <w:lang w:val="en-US"/>
        </w:rPr>
        <w:t>The pathways with black arrows in the red box are present in mammalian cells (human/mouse), whereas bacteria harbor only the part of the network in the blue box, including PSS</w:t>
      </w:r>
      <w:r w:rsidRPr="006E710A">
        <w:rPr>
          <w:rFonts w:ascii="Times New Roman" w:hAnsi="Times New Roman"/>
          <w:sz w:val="22"/>
          <w:szCs w:val="22"/>
          <w:vertAlign w:val="subscript"/>
          <w:lang w:val="en-US"/>
        </w:rPr>
        <w:t>c</w:t>
      </w:r>
      <w:r w:rsidRPr="006E710A">
        <w:rPr>
          <w:rFonts w:ascii="Times New Roman" w:hAnsi="Times New Roman"/>
          <w:sz w:val="22"/>
          <w:szCs w:val="22"/>
          <w:lang w:val="en-US"/>
        </w:rPr>
        <w:t xml:space="preserve"> (blue). PTS (red) was recently identified as an exclusive enzyme in the coccidian parasite </w:t>
      </w:r>
      <w:r w:rsidRPr="006E710A">
        <w:rPr>
          <w:rFonts w:ascii="Times New Roman" w:hAnsi="Times New Roman"/>
          <w:i/>
          <w:sz w:val="22"/>
          <w:szCs w:val="22"/>
          <w:lang w:val="en-US"/>
        </w:rPr>
        <w:t>T. gondii</w:t>
      </w:r>
      <w:r w:rsidRPr="006E710A">
        <w:rPr>
          <w:rFonts w:ascii="Times New Roman" w:hAnsi="Times New Roman"/>
          <w:sz w:val="22"/>
          <w:szCs w:val="22"/>
          <w:lang w:val="en-US"/>
        </w:rPr>
        <w:t xml:space="preserve">. Major phospholipids, intermediates of synthesis and underlying enzymes are shown in gray, white and black backgrounds, respectively. </w:t>
      </w:r>
      <w:r w:rsidRPr="006E710A">
        <w:rPr>
          <w:rFonts w:ascii="Times New Roman" w:hAnsi="Times New Roman"/>
          <w:i/>
          <w:iCs/>
          <w:sz w:val="22"/>
          <w:szCs w:val="22"/>
          <w:lang w:val="en-US"/>
        </w:rPr>
        <w:t>Abbreviations</w:t>
      </w:r>
      <w:r w:rsidRPr="006E710A">
        <w:rPr>
          <w:rFonts w:ascii="Times New Roman" w:hAnsi="Times New Roman"/>
          <w:sz w:val="22"/>
          <w:szCs w:val="22"/>
          <w:lang w:val="en-US"/>
        </w:rPr>
        <w:t>: CDP-DAG, cytidine diphosphate-diacylglycerol; CDS, cytidine diphosphate-diacylglycerol synthase; CEPT, choline/ethanolamine phosphotransferase; CLS, cardiolipin synthase; DAG, diacylglycerol; DGK, diacylglycerol kinase; EPT, ethanolamine phosphotransferase; G3PAT, glycerol 3-phosphate acyltransferase; Glycerol-3P, glycerol 3-phosphate; LPAAT, lysophosphatidic acid acyltransferase; Lyso-PtdOH, lysophosphatidic acid; PAP, phosphatidic acid phosphatase; PEMT, phosphatidylethanolamine N-methyltransferase; PGPP, phosphatidylglycerol phosphate phosphatase; PGPS, phosphatidylglycerol phosphate synthase; PIS, phosphatidylinositol synthase; PSD, phosphatidylserine decarboxylase; PSS</w:t>
      </w:r>
      <w:r w:rsidRPr="006E710A">
        <w:rPr>
          <w:rFonts w:ascii="Times New Roman" w:hAnsi="Times New Roman"/>
          <w:sz w:val="22"/>
          <w:szCs w:val="22"/>
          <w:vertAlign w:val="subscript"/>
          <w:lang w:val="en-US"/>
        </w:rPr>
        <w:t>b</w:t>
      </w:r>
      <w:r w:rsidRPr="006E710A">
        <w:rPr>
          <w:rFonts w:ascii="Times New Roman" w:hAnsi="Times New Roman"/>
          <w:sz w:val="22"/>
          <w:szCs w:val="22"/>
          <w:lang w:val="en-US"/>
        </w:rPr>
        <w:t>, phosphatidylserine synthase (base-exchange type); PSS</w:t>
      </w:r>
      <w:r w:rsidRPr="006E710A">
        <w:rPr>
          <w:rFonts w:ascii="Times New Roman" w:hAnsi="Times New Roman"/>
          <w:sz w:val="22"/>
          <w:szCs w:val="22"/>
          <w:vertAlign w:val="subscript"/>
          <w:lang w:val="en-US"/>
        </w:rPr>
        <w:t>c</w:t>
      </w:r>
      <w:r w:rsidRPr="006E710A">
        <w:rPr>
          <w:rFonts w:ascii="Times New Roman" w:hAnsi="Times New Roman"/>
          <w:sz w:val="22"/>
          <w:szCs w:val="22"/>
          <w:lang w:val="en-US"/>
        </w:rPr>
        <w:t>, phosphatidylserine synthase (CDP-DAG-dependent); PtdCho, phosphatidylcholine; PtdEtn, phosphatidylethanolamine; PtdGro, phosphatidylglycerol; PtdGro-P, phosphatidylglycerol phosphate; PtdIns, phosphatidylinositol; PtdOH, phosphatidic acid; PtdSer, phosphatidylserine; PtdThr, phosphatidylthreonine; PTS, phosphatidylthreonine synthase.</w:t>
      </w:r>
    </w:p>
    <w:p w:rsidR="00347976" w:rsidRPr="006E710A" w:rsidRDefault="00347976" w:rsidP="00347976">
      <w:pPr>
        <w:pStyle w:val="NormalWeb"/>
        <w:spacing w:before="0" w:after="0" w:line="480" w:lineRule="auto"/>
        <w:jc w:val="both"/>
        <w:rPr>
          <w:rFonts w:ascii="Times New Roman" w:hAnsi="Times New Roman"/>
          <w:sz w:val="22"/>
          <w:szCs w:val="22"/>
          <w:lang w:val="en-US"/>
        </w:rPr>
      </w:pPr>
    </w:p>
    <w:p w:rsidR="00347976" w:rsidRPr="006E710A" w:rsidRDefault="00347976" w:rsidP="00347976">
      <w:pPr>
        <w:pStyle w:val="NormalWeb"/>
        <w:spacing w:before="0" w:after="0" w:line="480" w:lineRule="auto"/>
        <w:jc w:val="both"/>
        <w:rPr>
          <w:rFonts w:ascii="Times New Roman" w:hAnsi="Times New Roman"/>
          <w:b/>
          <w:bCs/>
          <w:sz w:val="22"/>
          <w:szCs w:val="22"/>
          <w:lang w:val="en-US"/>
        </w:rPr>
      </w:pPr>
      <w:r w:rsidRPr="006E710A">
        <w:rPr>
          <w:rFonts w:ascii="Times New Roman" w:hAnsi="Times New Roman"/>
          <w:b/>
          <w:bCs/>
          <w:sz w:val="22"/>
          <w:szCs w:val="22"/>
          <w:lang w:val="en-US"/>
        </w:rPr>
        <w:t xml:space="preserve">Figure S2 </w:t>
      </w:r>
      <w:r w:rsidRPr="006E710A">
        <w:rPr>
          <w:rFonts w:ascii="Times New Roman" w:hAnsi="Times New Roman"/>
          <w:bCs/>
          <w:sz w:val="22"/>
          <w:szCs w:val="22"/>
          <w:lang w:val="en-US"/>
        </w:rPr>
        <w:t>Mass spectrometric fragmentation of IPC.</w:t>
      </w:r>
      <w:r w:rsidRPr="006E710A">
        <w:rPr>
          <w:rFonts w:ascii="Times New Roman" w:hAnsi="Times New Roman"/>
          <w:sz w:val="22"/>
          <w:szCs w:val="22"/>
          <w:lang w:val="en-US"/>
        </w:rPr>
        <w:t xml:space="preserve"> MS/MS analysis of a tentative IPC ion confirms the presence of a hexose-phosphate head-group </w:t>
      </w:r>
      <w:r w:rsidRPr="006E710A">
        <w:rPr>
          <w:rFonts w:ascii="Times New Roman" w:hAnsi="Times New Roman"/>
          <w:bCs/>
          <w:sz w:val="22"/>
          <w:szCs w:val="22"/>
          <w:lang w:val="en-US"/>
        </w:rPr>
        <w:t xml:space="preserve">in the negative ionization mode </w:t>
      </w:r>
      <w:r w:rsidRPr="006E710A">
        <w:rPr>
          <w:rFonts w:ascii="Times New Roman" w:hAnsi="Times New Roman"/>
          <w:b/>
          <w:bCs/>
          <w:sz w:val="22"/>
          <w:szCs w:val="22"/>
          <w:lang w:val="en-US"/>
        </w:rPr>
        <w:t>(A)</w:t>
      </w:r>
      <w:r w:rsidRPr="006E710A">
        <w:rPr>
          <w:rFonts w:ascii="Times New Roman" w:hAnsi="Times New Roman"/>
          <w:bCs/>
          <w:sz w:val="22"/>
          <w:szCs w:val="22"/>
          <w:lang w:val="en-US"/>
        </w:rPr>
        <w:t xml:space="preserve">, as well as </w:t>
      </w:r>
      <w:r w:rsidRPr="006E710A">
        <w:rPr>
          <w:rFonts w:ascii="Times New Roman" w:hAnsi="Times New Roman"/>
          <w:sz w:val="22"/>
          <w:szCs w:val="22"/>
          <w:lang w:val="en-US"/>
        </w:rPr>
        <w:t xml:space="preserve">a phytosphingosine and α-hydroxylated fatty acyl group </w:t>
      </w:r>
      <w:r w:rsidRPr="006E710A">
        <w:rPr>
          <w:rFonts w:ascii="Times New Roman" w:hAnsi="Times New Roman"/>
          <w:bCs/>
          <w:sz w:val="22"/>
          <w:szCs w:val="22"/>
          <w:lang w:val="en-US"/>
        </w:rPr>
        <w:t xml:space="preserve">in the positive ionization mode </w:t>
      </w:r>
      <w:r w:rsidRPr="006E710A">
        <w:rPr>
          <w:rFonts w:ascii="Times New Roman" w:hAnsi="Times New Roman"/>
          <w:b/>
          <w:bCs/>
          <w:sz w:val="22"/>
          <w:szCs w:val="22"/>
          <w:lang w:val="en-US"/>
        </w:rPr>
        <w:t>(B)</w:t>
      </w:r>
      <w:r w:rsidRPr="006E710A">
        <w:rPr>
          <w:rFonts w:ascii="Times New Roman" w:hAnsi="Times New Roman"/>
          <w:sz w:val="22"/>
          <w:szCs w:val="22"/>
          <w:lang w:val="en-US"/>
        </w:rPr>
        <w:t xml:space="preserve">. The structure of the precursor ion and the most prominent product ion are given together with their theoretical masses. </w:t>
      </w:r>
    </w:p>
    <w:p w:rsidR="00347976" w:rsidRPr="006E710A" w:rsidRDefault="00347976" w:rsidP="00347976">
      <w:pPr>
        <w:pStyle w:val="NormalWeb"/>
        <w:spacing w:before="0" w:after="0" w:line="480" w:lineRule="auto"/>
        <w:jc w:val="both"/>
        <w:rPr>
          <w:rFonts w:ascii="Times New Roman" w:hAnsi="Times New Roman"/>
          <w:sz w:val="22"/>
          <w:szCs w:val="22"/>
          <w:lang w:val="en-US"/>
        </w:rPr>
      </w:pPr>
    </w:p>
    <w:p w:rsidR="00347976" w:rsidRPr="006E710A" w:rsidRDefault="00347976" w:rsidP="00347976">
      <w:pPr>
        <w:spacing w:line="480" w:lineRule="auto"/>
        <w:jc w:val="both"/>
        <w:rPr>
          <w:rFonts w:ascii="Times New Roman" w:hAnsi="Times New Roman"/>
          <w:iCs/>
          <w:color w:val="000000" w:themeColor="text1"/>
          <w:lang w:val="en-US"/>
        </w:rPr>
      </w:pPr>
      <w:r w:rsidRPr="006E710A">
        <w:rPr>
          <w:rFonts w:ascii="Times New Roman" w:hAnsi="Times New Roman"/>
          <w:b/>
          <w:lang w:val="en-US"/>
        </w:rPr>
        <w:lastRenderedPageBreak/>
        <w:t xml:space="preserve">Figure S3 </w:t>
      </w:r>
      <w:r w:rsidRPr="006E710A">
        <w:rPr>
          <w:rFonts w:ascii="Times New Roman" w:hAnsi="Times New Roman"/>
          <w:lang w:val="en-US"/>
        </w:rPr>
        <w:t>P</w:t>
      </w:r>
      <w:r w:rsidRPr="006E710A">
        <w:rPr>
          <w:rFonts w:ascii="Times New Roman" w:hAnsi="Times New Roman"/>
          <w:color w:val="000000"/>
          <w:lang w:val="en-US"/>
        </w:rPr>
        <w:t xml:space="preserve">rimary structures of </w:t>
      </w:r>
      <w:r w:rsidRPr="006E710A">
        <w:rPr>
          <w:rFonts w:ascii="Times New Roman" w:hAnsi="Times New Roman"/>
          <w:iCs/>
          <w:color w:val="000000"/>
          <w:lang w:val="en-US"/>
        </w:rPr>
        <w:t xml:space="preserve">putative enzymes involved in phospholipid synthesis in the sporozoites of </w:t>
      </w:r>
      <w:r w:rsidRPr="006E710A">
        <w:rPr>
          <w:rFonts w:ascii="Times New Roman" w:hAnsi="Times New Roman"/>
          <w:i/>
          <w:lang w:val="en-US"/>
        </w:rPr>
        <w:t>E. falciformis</w:t>
      </w:r>
      <w:r w:rsidRPr="006E710A">
        <w:rPr>
          <w:rFonts w:ascii="Times New Roman" w:hAnsi="Times New Roman"/>
          <w:lang w:val="en-US"/>
        </w:rPr>
        <w:t>.</w:t>
      </w:r>
      <w:r w:rsidRPr="006E710A">
        <w:rPr>
          <w:rFonts w:ascii="Times New Roman" w:hAnsi="Times New Roman"/>
          <w:b/>
          <w:lang w:val="en-US"/>
        </w:rPr>
        <w:t xml:space="preserve"> </w:t>
      </w:r>
      <w:r w:rsidRPr="006E710A">
        <w:rPr>
          <w:rFonts w:ascii="Times New Roman" w:hAnsi="Times New Roman"/>
          <w:color w:val="000000"/>
          <w:lang w:val="en-US"/>
        </w:rPr>
        <w:t xml:space="preserve">Predicted functional domains, transmembrane regions, as well as signal and mitochondrial targeting peptides are shown with boxes in different colors, as indicated on the right. The numbers represent the positions of the functional domains and the lengths of the experimentally annotated open reading frames. The length of domains and proteins are all shown to a relative scale. For </w:t>
      </w:r>
      <w:r w:rsidRPr="006E710A">
        <w:rPr>
          <w:rFonts w:ascii="Times New Roman" w:hAnsi="Times New Roman"/>
          <w:iCs/>
          <w:color w:val="000000"/>
          <w:lang w:val="en-US"/>
        </w:rPr>
        <w:t xml:space="preserve">phospholipid synthesis pathways and related enzymes in other </w:t>
      </w:r>
      <w:r w:rsidRPr="006E710A">
        <w:rPr>
          <w:rFonts w:ascii="Times New Roman" w:hAnsi="Times New Roman"/>
          <w:bCs/>
          <w:iCs/>
          <w:color w:val="000000"/>
          <w:lang w:val="en-US"/>
        </w:rPr>
        <w:t>parasites</w:t>
      </w:r>
      <w:r w:rsidRPr="006E710A">
        <w:rPr>
          <w:rFonts w:ascii="Times New Roman" w:hAnsi="Times New Roman"/>
          <w:iCs/>
          <w:color w:val="000000"/>
          <w:lang w:val="en-US"/>
        </w:rPr>
        <w:t xml:space="preserve">, </w:t>
      </w:r>
      <w:r w:rsidRPr="006E710A">
        <w:rPr>
          <w:rFonts w:ascii="Times New Roman" w:hAnsi="Times New Roman"/>
          <w:iCs/>
          <w:color w:val="000000" w:themeColor="text1"/>
          <w:lang w:val="en-US"/>
        </w:rPr>
        <w:t xml:space="preserve">see </w:t>
      </w:r>
      <w:r w:rsidRPr="006E710A">
        <w:rPr>
          <w:rFonts w:ascii="Times New Roman" w:hAnsi="Times New Roman"/>
          <w:lang w:val="en-US"/>
        </w:rPr>
        <w:t>Figure S1 and Table S1</w:t>
      </w:r>
      <w:r w:rsidRPr="006E710A">
        <w:rPr>
          <w:rFonts w:ascii="Times New Roman" w:hAnsi="Times New Roman"/>
          <w:iCs/>
          <w:color w:val="000000" w:themeColor="text1"/>
          <w:lang w:val="en-US"/>
        </w:rPr>
        <w:t>. Our searches also found the choline/ethanolamine kinases and other intermediate enzymes of the Kennedy pathway. However, only the last enzymes of each pathway catalyzing the lipid synthesis are shown here.</w:t>
      </w:r>
    </w:p>
    <w:p w:rsidR="00347976" w:rsidRPr="006E710A" w:rsidRDefault="00347976" w:rsidP="00347976">
      <w:pPr>
        <w:spacing w:line="480" w:lineRule="auto"/>
        <w:jc w:val="both"/>
        <w:rPr>
          <w:rFonts w:ascii="Times New Roman" w:hAnsi="Times New Roman"/>
          <w:bCs/>
          <w:lang w:val="en-US"/>
        </w:rPr>
      </w:pPr>
    </w:p>
    <w:p w:rsidR="00347976" w:rsidRPr="006E710A" w:rsidRDefault="00347976" w:rsidP="00347976">
      <w:pPr>
        <w:pStyle w:val="NormalWeb"/>
        <w:spacing w:before="0" w:after="0" w:line="480" w:lineRule="auto"/>
        <w:jc w:val="both"/>
        <w:rPr>
          <w:rFonts w:ascii="Times New Roman" w:hAnsi="Times New Roman"/>
          <w:iCs/>
          <w:color w:val="000000"/>
          <w:sz w:val="22"/>
          <w:szCs w:val="22"/>
          <w:lang w:val="en-US"/>
        </w:rPr>
      </w:pPr>
      <w:r w:rsidRPr="006E710A">
        <w:rPr>
          <w:rFonts w:ascii="Times New Roman" w:hAnsi="Times New Roman"/>
          <w:b/>
          <w:sz w:val="22"/>
          <w:szCs w:val="22"/>
          <w:lang w:val="en-US"/>
        </w:rPr>
        <w:t xml:space="preserve">Figure S4 </w:t>
      </w:r>
      <w:r w:rsidRPr="006E710A">
        <w:rPr>
          <w:rFonts w:ascii="Times New Roman" w:hAnsi="Times New Roman"/>
          <w:sz w:val="22"/>
          <w:szCs w:val="22"/>
          <w:lang w:val="en-US"/>
        </w:rPr>
        <w:t>Multiple alignments of the conserved motifs present in base-exchange-type PSS and PTS from selected organisms.</w:t>
      </w:r>
      <w:r w:rsidRPr="006E710A">
        <w:rPr>
          <w:rFonts w:ascii="Times New Roman" w:hAnsi="Times New Roman"/>
          <w:b/>
          <w:bCs/>
          <w:sz w:val="22"/>
          <w:szCs w:val="22"/>
          <w:lang w:val="en-US"/>
        </w:rPr>
        <w:t xml:space="preserve"> </w:t>
      </w:r>
      <w:r w:rsidRPr="006E710A">
        <w:rPr>
          <w:rFonts w:ascii="Times New Roman" w:hAnsi="Times New Roman"/>
          <w:sz w:val="22"/>
          <w:szCs w:val="22"/>
          <w:lang w:val="en-US"/>
        </w:rPr>
        <w:t xml:space="preserve">The residues identical across all sequences are shaded with black color, while those only conserved in PSS or PTS are highlighted in blue or green, respectively. </w:t>
      </w:r>
      <w:r w:rsidRPr="006E710A">
        <w:rPr>
          <w:rFonts w:ascii="Times New Roman" w:hAnsi="Times New Roman"/>
          <w:bCs/>
          <w:sz w:val="22"/>
          <w:szCs w:val="22"/>
          <w:lang w:val="en-US"/>
        </w:rPr>
        <w:t>The putative catalytic site (ECWWD) is marked with stars on top of the alignments, which was deleted in the Δ</w:t>
      </w:r>
      <w:r w:rsidRPr="006E710A">
        <w:rPr>
          <w:rFonts w:ascii="Times New Roman" w:hAnsi="Times New Roman"/>
          <w:bCs/>
          <w:i/>
          <w:sz w:val="22"/>
          <w:szCs w:val="22"/>
          <w:lang w:val="en-US"/>
        </w:rPr>
        <w:t>tgpts</w:t>
      </w:r>
      <w:r w:rsidRPr="006E710A">
        <w:rPr>
          <w:rFonts w:ascii="Times New Roman" w:hAnsi="Times New Roman"/>
          <w:bCs/>
          <w:sz w:val="22"/>
          <w:szCs w:val="22"/>
          <w:lang w:val="en-US"/>
        </w:rPr>
        <w:t xml:space="preserve"> mutant (see Figure 5A). The substrate-binding residue is highlighted with a black arrow. </w:t>
      </w:r>
      <w:r w:rsidRPr="006E710A">
        <w:rPr>
          <w:rFonts w:ascii="Times New Roman" w:hAnsi="Times New Roman"/>
          <w:color w:val="000000"/>
          <w:sz w:val="22"/>
          <w:szCs w:val="22"/>
          <w:lang w:val="en-US"/>
        </w:rPr>
        <w:t xml:space="preserve">Sequence information including accession numbers and organism names are listed in </w:t>
      </w:r>
      <w:r w:rsidRPr="006E710A">
        <w:rPr>
          <w:rFonts w:ascii="Times New Roman" w:hAnsi="Times New Roman"/>
          <w:sz w:val="22"/>
          <w:szCs w:val="22"/>
          <w:lang w:val="en-US"/>
        </w:rPr>
        <w:t>Table S2</w:t>
      </w:r>
      <w:r w:rsidRPr="006E710A">
        <w:rPr>
          <w:rFonts w:ascii="Times New Roman" w:hAnsi="Times New Roman"/>
          <w:iCs/>
          <w:color w:val="000000"/>
          <w:sz w:val="22"/>
          <w:szCs w:val="22"/>
          <w:lang w:val="en-US"/>
        </w:rPr>
        <w:t xml:space="preserve">. </w:t>
      </w:r>
    </w:p>
    <w:p w:rsidR="00347976" w:rsidRPr="006E710A" w:rsidRDefault="00347976" w:rsidP="00347976">
      <w:pPr>
        <w:pStyle w:val="NormalWeb"/>
        <w:spacing w:before="0" w:after="0" w:line="480" w:lineRule="auto"/>
        <w:jc w:val="both"/>
        <w:rPr>
          <w:rFonts w:ascii="Times New Roman" w:hAnsi="Times New Roman"/>
          <w:b/>
          <w:sz w:val="22"/>
          <w:szCs w:val="22"/>
          <w:lang w:val="en-US"/>
        </w:rPr>
      </w:pPr>
    </w:p>
    <w:p w:rsidR="00347976" w:rsidRPr="006E710A" w:rsidRDefault="00347976" w:rsidP="00347976">
      <w:pPr>
        <w:pStyle w:val="NormalWeb"/>
        <w:spacing w:before="0" w:after="0" w:line="480" w:lineRule="auto"/>
        <w:jc w:val="both"/>
        <w:rPr>
          <w:rFonts w:ascii="Times New Roman" w:hAnsi="Times New Roman"/>
          <w:b/>
          <w:sz w:val="22"/>
          <w:szCs w:val="22"/>
          <w:lang w:val="en-US"/>
        </w:rPr>
      </w:pPr>
      <w:r w:rsidRPr="006E710A">
        <w:rPr>
          <w:rFonts w:ascii="Times New Roman" w:hAnsi="Times New Roman"/>
          <w:b/>
          <w:color w:val="000000" w:themeColor="text1"/>
          <w:sz w:val="22"/>
          <w:szCs w:val="22"/>
          <w:lang w:val="en-US"/>
        </w:rPr>
        <w:t xml:space="preserve">Figure S5 </w:t>
      </w:r>
      <w:r w:rsidRPr="006E710A">
        <w:rPr>
          <w:rFonts w:ascii="Times New Roman" w:hAnsi="Times New Roman"/>
          <w:color w:val="000000" w:themeColor="text1"/>
          <w:sz w:val="22"/>
          <w:szCs w:val="22"/>
          <w:lang w:val="en-US"/>
        </w:rPr>
        <w:t xml:space="preserve">Characterization of </w:t>
      </w:r>
      <w:r>
        <w:rPr>
          <w:rFonts w:ascii="Times New Roman" w:hAnsi="Times New Roman"/>
          <w:color w:val="000000" w:themeColor="text1"/>
          <w:sz w:val="22"/>
          <w:szCs w:val="22"/>
          <w:lang w:val="en-US"/>
        </w:rPr>
        <w:t>s</w:t>
      </w:r>
      <w:r w:rsidRPr="006E710A">
        <w:rPr>
          <w:rFonts w:ascii="Times New Roman" w:hAnsi="Times New Roman"/>
          <w:color w:val="000000" w:themeColor="text1"/>
          <w:sz w:val="22"/>
          <w:szCs w:val="22"/>
          <w:lang w:val="en-US"/>
        </w:rPr>
        <w:t xml:space="preserve">phingolipid synthase from </w:t>
      </w:r>
      <w:r w:rsidRPr="006E710A">
        <w:rPr>
          <w:rFonts w:ascii="Times New Roman" w:hAnsi="Times New Roman"/>
          <w:i/>
          <w:color w:val="000000" w:themeColor="text1"/>
          <w:sz w:val="22"/>
          <w:szCs w:val="22"/>
          <w:lang w:val="en-US"/>
        </w:rPr>
        <w:t>E. falciformis</w:t>
      </w:r>
      <w:r w:rsidRPr="006E710A">
        <w:rPr>
          <w:rFonts w:ascii="Times New Roman" w:hAnsi="Times New Roman"/>
          <w:color w:val="000000" w:themeColor="text1"/>
          <w:sz w:val="22"/>
          <w:szCs w:val="22"/>
          <w:lang w:val="en-US"/>
        </w:rPr>
        <w:t>.</w:t>
      </w:r>
      <w:r w:rsidRPr="006E710A">
        <w:rPr>
          <w:rFonts w:ascii="Times New Roman" w:hAnsi="Times New Roman"/>
          <w:b/>
          <w:color w:val="000000" w:themeColor="text1"/>
          <w:sz w:val="22"/>
          <w:szCs w:val="22"/>
          <w:lang w:val="en-US"/>
        </w:rPr>
        <w:t xml:space="preserve"> (A) </w:t>
      </w:r>
      <w:r w:rsidRPr="006E710A">
        <w:rPr>
          <w:rFonts w:ascii="Times New Roman" w:hAnsi="Times New Roman"/>
          <w:color w:val="000000" w:themeColor="text1"/>
          <w:sz w:val="22"/>
          <w:szCs w:val="22"/>
          <w:lang w:val="en-US"/>
        </w:rPr>
        <w:t>Phylogenetic</w:t>
      </w:r>
      <w:r w:rsidRPr="006E710A">
        <w:rPr>
          <w:rFonts w:ascii="Times New Roman" w:hAnsi="Times New Roman"/>
          <w:color w:val="000000"/>
          <w:sz w:val="22"/>
          <w:szCs w:val="22"/>
          <w:lang w:val="en-US"/>
        </w:rPr>
        <w:t xml:space="preserve"> tree depicting the evolutionary relationships of </w:t>
      </w:r>
      <w:r w:rsidRPr="006E710A">
        <w:rPr>
          <w:rFonts w:ascii="Times New Roman" w:hAnsi="Times New Roman"/>
          <w:i/>
          <w:color w:val="000000"/>
          <w:sz w:val="22"/>
          <w:szCs w:val="22"/>
          <w:lang w:val="en-US"/>
        </w:rPr>
        <w:t>Ef</w:t>
      </w:r>
      <w:r w:rsidRPr="006E710A">
        <w:rPr>
          <w:rFonts w:ascii="Times New Roman" w:hAnsi="Times New Roman"/>
          <w:color w:val="000000"/>
          <w:sz w:val="22"/>
          <w:szCs w:val="22"/>
          <w:lang w:val="en-US"/>
        </w:rPr>
        <w:t>SLS with orthologs from indicated organisms.</w:t>
      </w:r>
      <w:r w:rsidRPr="006E710A">
        <w:rPr>
          <w:rFonts w:ascii="Times New Roman" w:hAnsi="Times New Roman"/>
          <w:sz w:val="22"/>
          <w:szCs w:val="22"/>
          <w:shd w:val="clear" w:color="auto" w:fill="FFFFFF"/>
          <w:lang w:val="en-US"/>
        </w:rPr>
        <w:t xml:space="preserve"> Circles on the branches indicate the bootstrap values for parsimony</w:t>
      </w:r>
      <w:r w:rsidRPr="006E710A">
        <w:rPr>
          <w:rFonts w:ascii="Times New Roman" w:hAnsi="Times New Roman"/>
          <w:color w:val="000000"/>
          <w:sz w:val="22"/>
          <w:szCs w:val="22"/>
          <w:lang w:val="en-US"/>
        </w:rPr>
        <w:t xml:space="preserve">. Sequence information including accession numbers and the organism names are described in </w:t>
      </w:r>
      <w:r w:rsidRPr="006E710A">
        <w:rPr>
          <w:rFonts w:ascii="Times New Roman" w:hAnsi="Times New Roman"/>
          <w:iCs/>
          <w:color w:val="000000" w:themeColor="text1"/>
          <w:sz w:val="22"/>
          <w:szCs w:val="22"/>
          <w:lang w:val="en-US"/>
        </w:rPr>
        <w:t>Table S2</w:t>
      </w:r>
      <w:r w:rsidRPr="006E710A">
        <w:rPr>
          <w:rFonts w:ascii="Times New Roman" w:hAnsi="Times New Roman"/>
          <w:iCs/>
          <w:color w:val="000000"/>
          <w:sz w:val="22"/>
          <w:szCs w:val="22"/>
          <w:lang w:val="en-US"/>
        </w:rPr>
        <w:t>.</w:t>
      </w:r>
      <w:r w:rsidRPr="006E710A">
        <w:rPr>
          <w:rFonts w:ascii="Times New Roman" w:hAnsi="Times New Roman"/>
          <w:color w:val="0000FF"/>
          <w:sz w:val="22"/>
          <w:szCs w:val="22"/>
          <w:lang w:val="en-US"/>
        </w:rPr>
        <w:t xml:space="preserve"> </w:t>
      </w:r>
      <w:r w:rsidRPr="006E710A">
        <w:rPr>
          <w:rFonts w:ascii="Times New Roman" w:hAnsi="Times New Roman"/>
          <w:b/>
          <w:color w:val="000000" w:themeColor="text1"/>
          <w:sz w:val="22"/>
          <w:szCs w:val="22"/>
          <w:lang w:val="en-US"/>
        </w:rPr>
        <w:t>(B)</w:t>
      </w:r>
      <w:r w:rsidRPr="006E710A">
        <w:rPr>
          <w:rFonts w:ascii="Times New Roman" w:hAnsi="Times New Roman"/>
          <w:color w:val="000000" w:themeColor="text1"/>
          <w:sz w:val="22"/>
          <w:szCs w:val="22"/>
          <w:lang w:val="en-US"/>
        </w:rPr>
        <w:t xml:space="preserve"> Localization of C-terminally HA-tagged </w:t>
      </w:r>
      <w:r w:rsidRPr="006E710A">
        <w:rPr>
          <w:rFonts w:ascii="Times New Roman" w:hAnsi="Times New Roman"/>
          <w:i/>
          <w:color w:val="000000" w:themeColor="text1"/>
          <w:sz w:val="22"/>
          <w:szCs w:val="22"/>
          <w:lang w:val="en-US"/>
        </w:rPr>
        <w:t>Ef</w:t>
      </w:r>
      <w:r w:rsidRPr="006E710A">
        <w:rPr>
          <w:rFonts w:ascii="Times New Roman" w:hAnsi="Times New Roman"/>
          <w:color w:val="000000" w:themeColor="text1"/>
          <w:sz w:val="22"/>
          <w:szCs w:val="22"/>
          <w:lang w:val="en-US"/>
        </w:rPr>
        <w:t xml:space="preserve">SLS in the tachyzoites of </w:t>
      </w:r>
      <w:r w:rsidRPr="006E710A">
        <w:rPr>
          <w:rFonts w:ascii="Times New Roman" w:hAnsi="Times New Roman"/>
          <w:i/>
          <w:color w:val="000000" w:themeColor="text1"/>
          <w:sz w:val="22"/>
          <w:szCs w:val="22"/>
          <w:lang w:val="en-US"/>
        </w:rPr>
        <w:t>T. gondii</w:t>
      </w:r>
      <w:r w:rsidRPr="006E710A">
        <w:rPr>
          <w:rFonts w:ascii="Times New Roman" w:hAnsi="Times New Roman"/>
          <w:color w:val="000000" w:themeColor="text1"/>
          <w:sz w:val="22"/>
          <w:szCs w:val="22"/>
          <w:lang w:val="en-US"/>
        </w:rPr>
        <w:t xml:space="preserve">. A construct overexpressing </w:t>
      </w:r>
      <w:r w:rsidRPr="006E710A">
        <w:rPr>
          <w:rFonts w:ascii="Times New Roman" w:hAnsi="Times New Roman"/>
          <w:i/>
          <w:color w:val="000000" w:themeColor="text1"/>
          <w:sz w:val="22"/>
          <w:szCs w:val="22"/>
          <w:lang w:val="en-US"/>
        </w:rPr>
        <w:t>Ef</w:t>
      </w:r>
      <w:r w:rsidRPr="006E710A">
        <w:rPr>
          <w:rFonts w:ascii="Times New Roman" w:hAnsi="Times New Roman"/>
          <w:color w:val="000000" w:themeColor="text1"/>
          <w:sz w:val="22"/>
          <w:szCs w:val="22"/>
          <w:lang w:val="en-US"/>
        </w:rPr>
        <w:t xml:space="preserve">SLS-HA under the control of the </w:t>
      </w:r>
      <w:r w:rsidRPr="006E710A">
        <w:rPr>
          <w:rFonts w:ascii="Times New Roman" w:hAnsi="Times New Roman"/>
          <w:i/>
          <w:color w:val="000000" w:themeColor="text1"/>
          <w:sz w:val="22"/>
          <w:szCs w:val="22"/>
          <w:lang w:val="en-US"/>
        </w:rPr>
        <w:t>GRA1</w:t>
      </w:r>
      <w:r w:rsidRPr="006E710A">
        <w:rPr>
          <w:rFonts w:ascii="Times New Roman" w:hAnsi="Times New Roman"/>
          <w:color w:val="000000" w:themeColor="text1"/>
          <w:sz w:val="22"/>
          <w:szCs w:val="22"/>
          <w:lang w:val="en-US"/>
        </w:rPr>
        <w:t xml:space="preserve"> elements was transfected in tachyzoites followed by fixation (24 h post-infection), and staining with anti-HA and anti-Ty1 antibodies. Immunostaining of </w:t>
      </w:r>
      <w:r w:rsidRPr="006E710A">
        <w:rPr>
          <w:rFonts w:ascii="Times New Roman" w:hAnsi="Times New Roman"/>
          <w:i/>
          <w:color w:val="000000" w:themeColor="text1"/>
          <w:sz w:val="22"/>
          <w:szCs w:val="22"/>
          <w:lang w:val="en-US"/>
        </w:rPr>
        <w:t>Tg</w:t>
      </w:r>
      <w:r w:rsidRPr="006E710A">
        <w:rPr>
          <w:rFonts w:ascii="Times New Roman" w:hAnsi="Times New Roman"/>
          <w:color w:val="000000" w:themeColor="text1"/>
          <w:sz w:val="22"/>
          <w:szCs w:val="22"/>
          <w:lang w:val="en-US"/>
        </w:rPr>
        <w:t xml:space="preserve">ERD2-Ty1 shows the Golgi network. </w:t>
      </w:r>
      <w:r w:rsidRPr="006E710A">
        <w:rPr>
          <w:rFonts w:ascii="Times New Roman" w:hAnsi="Times New Roman"/>
          <w:b/>
          <w:color w:val="000000" w:themeColor="text1"/>
          <w:sz w:val="22"/>
          <w:szCs w:val="22"/>
          <w:lang w:val="en-US"/>
        </w:rPr>
        <w:t>(C)</w:t>
      </w:r>
      <w:r w:rsidRPr="006E710A">
        <w:rPr>
          <w:rFonts w:ascii="Times New Roman" w:hAnsi="Times New Roman"/>
          <w:color w:val="000000" w:themeColor="text1"/>
          <w:sz w:val="22"/>
          <w:szCs w:val="22"/>
          <w:lang w:val="en-US"/>
        </w:rPr>
        <w:t xml:space="preserve"> Complementation by heterologous expression of </w:t>
      </w:r>
      <w:r w:rsidRPr="006E710A">
        <w:rPr>
          <w:rFonts w:ascii="Times New Roman" w:hAnsi="Times New Roman"/>
          <w:i/>
          <w:color w:val="000000" w:themeColor="text1"/>
          <w:sz w:val="22"/>
          <w:szCs w:val="22"/>
          <w:lang w:val="en-US"/>
        </w:rPr>
        <w:t>Ef</w:t>
      </w:r>
      <w:r w:rsidRPr="006E710A">
        <w:rPr>
          <w:rFonts w:ascii="Times New Roman" w:hAnsi="Times New Roman"/>
          <w:color w:val="000000" w:themeColor="text1"/>
          <w:sz w:val="22"/>
          <w:szCs w:val="22"/>
          <w:lang w:val="en-US"/>
        </w:rPr>
        <w:t xml:space="preserve">SLS and </w:t>
      </w:r>
      <w:r w:rsidRPr="006E710A">
        <w:rPr>
          <w:rFonts w:ascii="Times New Roman" w:hAnsi="Times New Roman"/>
          <w:i/>
          <w:color w:val="000000" w:themeColor="text1"/>
          <w:sz w:val="22"/>
          <w:szCs w:val="22"/>
          <w:lang w:val="en-US"/>
        </w:rPr>
        <w:t>Tg</w:t>
      </w:r>
      <w:r w:rsidRPr="006E710A">
        <w:rPr>
          <w:rFonts w:ascii="Times New Roman" w:hAnsi="Times New Roman"/>
          <w:color w:val="000000" w:themeColor="text1"/>
          <w:sz w:val="22"/>
          <w:szCs w:val="22"/>
          <w:lang w:val="en-US"/>
        </w:rPr>
        <w:t xml:space="preserve">SLS in the AUR1 mutant of </w:t>
      </w:r>
      <w:r w:rsidRPr="006E710A">
        <w:rPr>
          <w:rFonts w:ascii="Times New Roman" w:hAnsi="Times New Roman"/>
          <w:i/>
          <w:color w:val="000000" w:themeColor="text1"/>
          <w:sz w:val="22"/>
          <w:szCs w:val="22"/>
          <w:lang w:val="en-US"/>
        </w:rPr>
        <w:t>S. cerevisiae</w:t>
      </w:r>
      <w:r w:rsidRPr="006E710A">
        <w:rPr>
          <w:rFonts w:ascii="Times New Roman" w:hAnsi="Times New Roman"/>
          <w:color w:val="000000" w:themeColor="text1"/>
          <w:sz w:val="22"/>
          <w:szCs w:val="22"/>
          <w:lang w:val="en-US"/>
        </w:rPr>
        <w:t xml:space="preserve"> (</w:t>
      </w:r>
      <w:r w:rsidRPr="006E710A">
        <w:rPr>
          <w:rFonts w:ascii="Times New Roman" w:hAnsi="Times New Roman"/>
          <w:color w:val="000000" w:themeColor="text1"/>
          <w:sz w:val="22"/>
          <w:szCs w:val="22"/>
          <w:shd w:val="clear" w:color="auto" w:fill="FFFFFF"/>
          <w:lang w:val="en-US"/>
        </w:rPr>
        <w:t>YPH499-HIS-GAL-AUR1</w:t>
      </w:r>
      <w:r w:rsidRPr="006E710A">
        <w:rPr>
          <w:rFonts w:ascii="Times New Roman" w:hAnsi="Times New Roman"/>
          <w:color w:val="000000" w:themeColor="text1"/>
          <w:sz w:val="22"/>
          <w:szCs w:val="22"/>
          <w:lang w:val="en-US"/>
        </w:rPr>
        <w:t>). </w:t>
      </w:r>
      <w:r w:rsidRPr="006E710A">
        <w:rPr>
          <w:rFonts w:ascii="Times New Roman" w:hAnsi="Times New Roman"/>
          <w:i/>
          <w:color w:val="000000" w:themeColor="text1"/>
          <w:sz w:val="22"/>
          <w:szCs w:val="22"/>
          <w:lang w:val="en-US"/>
        </w:rPr>
        <w:t>Ef</w:t>
      </w:r>
      <w:r w:rsidRPr="006E710A">
        <w:rPr>
          <w:rFonts w:ascii="Times New Roman" w:hAnsi="Times New Roman"/>
          <w:color w:val="000000" w:themeColor="text1"/>
          <w:sz w:val="22"/>
          <w:szCs w:val="22"/>
          <w:lang w:val="en-US"/>
        </w:rPr>
        <w:t xml:space="preserve">SLS and </w:t>
      </w:r>
      <w:r w:rsidRPr="006E710A">
        <w:rPr>
          <w:rFonts w:ascii="Times New Roman" w:hAnsi="Times New Roman"/>
          <w:i/>
          <w:color w:val="000000" w:themeColor="text1"/>
          <w:sz w:val="22"/>
          <w:szCs w:val="22"/>
          <w:lang w:val="en-US"/>
        </w:rPr>
        <w:t>Tg</w:t>
      </w:r>
      <w:r w:rsidRPr="006E710A">
        <w:rPr>
          <w:rFonts w:ascii="Times New Roman" w:hAnsi="Times New Roman"/>
          <w:color w:val="000000" w:themeColor="text1"/>
          <w:sz w:val="22"/>
          <w:szCs w:val="22"/>
          <w:lang w:val="en-US"/>
        </w:rPr>
        <w:t xml:space="preserve">SLS were expressed under the control of the </w:t>
      </w:r>
      <w:r w:rsidRPr="006E710A">
        <w:rPr>
          <w:rFonts w:ascii="Times New Roman" w:hAnsi="Times New Roman"/>
          <w:i/>
          <w:color w:val="000000" w:themeColor="text1"/>
          <w:sz w:val="22"/>
          <w:szCs w:val="22"/>
          <w:lang w:val="en-US"/>
        </w:rPr>
        <w:t>MET25</w:t>
      </w:r>
      <w:r w:rsidRPr="006E710A">
        <w:rPr>
          <w:rFonts w:ascii="Times New Roman" w:hAnsi="Times New Roman"/>
          <w:color w:val="000000" w:themeColor="text1"/>
          <w:sz w:val="22"/>
          <w:szCs w:val="22"/>
          <w:lang w:val="en-US"/>
        </w:rPr>
        <w:t xml:space="preserve"> promoter. Empty </w:t>
      </w:r>
      <w:r w:rsidRPr="006E710A">
        <w:rPr>
          <w:rFonts w:ascii="Times New Roman" w:hAnsi="Times New Roman"/>
          <w:i/>
          <w:color w:val="000000" w:themeColor="text1"/>
          <w:sz w:val="22"/>
          <w:szCs w:val="22"/>
          <w:lang w:val="en-US"/>
        </w:rPr>
        <w:t>pRS426-MET25</w:t>
      </w:r>
      <w:r w:rsidRPr="006E710A">
        <w:rPr>
          <w:rFonts w:ascii="Times New Roman" w:hAnsi="Times New Roman"/>
          <w:color w:val="000000" w:themeColor="text1"/>
          <w:sz w:val="22"/>
          <w:szCs w:val="22"/>
          <w:lang w:val="en-US"/>
        </w:rPr>
        <w:t>, and </w:t>
      </w:r>
      <w:r w:rsidRPr="006E710A">
        <w:rPr>
          <w:rFonts w:ascii="Times New Roman" w:hAnsi="Times New Roman"/>
          <w:i/>
          <w:color w:val="000000" w:themeColor="text1"/>
          <w:sz w:val="22"/>
          <w:szCs w:val="22"/>
          <w:lang w:val="en-US"/>
        </w:rPr>
        <w:t>Sc</w:t>
      </w:r>
      <w:r w:rsidRPr="006E710A">
        <w:rPr>
          <w:rFonts w:ascii="Times New Roman" w:hAnsi="Times New Roman"/>
          <w:color w:val="000000" w:themeColor="text1"/>
          <w:sz w:val="22"/>
          <w:szCs w:val="22"/>
          <w:lang w:val="en-US"/>
        </w:rPr>
        <w:t>IPCS (</w:t>
      </w:r>
      <w:r w:rsidRPr="006E710A">
        <w:rPr>
          <w:rFonts w:ascii="Times New Roman" w:hAnsi="Times New Roman"/>
          <w:i/>
          <w:color w:val="000000" w:themeColor="text1"/>
          <w:sz w:val="22"/>
          <w:szCs w:val="22"/>
          <w:lang w:val="en-US"/>
        </w:rPr>
        <w:t>Sc</w:t>
      </w:r>
      <w:r w:rsidRPr="006E710A">
        <w:rPr>
          <w:rFonts w:ascii="Times New Roman" w:hAnsi="Times New Roman"/>
          <w:color w:val="000000" w:themeColor="text1"/>
          <w:sz w:val="22"/>
          <w:szCs w:val="22"/>
          <w:lang w:val="en-US"/>
        </w:rPr>
        <w:t xml:space="preserve">AUR1) expression vectors were also included as negative and positive controls, respectively. While all transgenic strains grew in permissive SGR medium (galactose as a carbon source) as expected, only </w:t>
      </w:r>
      <w:r w:rsidRPr="006E710A">
        <w:rPr>
          <w:rFonts w:ascii="Times New Roman" w:hAnsi="Times New Roman"/>
          <w:i/>
          <w:color w:val="000000" w:themeColor="text1"/>
          <w:sz w:val="22"/>
          <w:szCs w:val="22"/>
          <w:lang w:val="en-US"/>
        </w:rPr>
        <w:t>Tg</w:t>
      </w:r>
      <w:r w:rsidRPr="006E710A">
        <w:rPr>
          <w:rFonts w:ascii="Times New Roman" w:hAnsi="Times New Roman"/>
          <w:color w:val="000000" w:themeColor="text1"/>
          <w:sz w:val="22"/>
          <w:szCs w:val="22"/>
          <w:lang w:val="en-US"/>
        </w:rPr>
        <w:t xml:space="preserve">SLS and </w:t>
      </w:r>
      <w:r w:rsidRPr="006E710A">
        <w:rPr>
          <w:rFonts w:ascii="Times New Roman" w:hAnsi="Times New Roman"/>
          <w:i/>
          <w:color w:val="000000" w:themeColor="text1"/>
          <w:sz w:val="22"/>
          <w:szCs w:val="22"/>
          <w:lang w:val="en-US"/>
        </w:rPr>
        <w:t>Sc</w:t>
      </w:r>
      <w:r w:rsidRPr="006E710A">
        <w:rPr>
          <w:rFonts w:ascii="Times New Roman" w:hAnsi="Times New Roman"/>
          <w:color w:val="000000" w:themeColor="text1"/>
          <w:sz w:val="22"/>
          <w:szCs w:val="22"/>
          <w:lang w:val="en-US"/>
        </w:rPr>
        <w:t>IPCS were able to restore the growth of the yeast mutant in non-permissive SD medium (glucose as a carbon source).</w:t>
      </w:r>
    </w:p>
    <w:p w:rsidR="00347976" w:rsidRPr="006E710A" w:rsidRDefault="00347976" w:rsidP="00347976">
      <w:pPr>
        <w:pStyle w:val="NormalWeb"/>
        <w:spacing w:before="0" w:after="0" w:line="480" w:lineRule="auto"/>
        <w:jc w:val="both"/>
        <w:rPr>
          <w:rFonts w:ascii="Times New Roman" w:hAnsi="Times New Roman"/>
          <w:b/>
          <w:sz w:val="22"/>
          <w:szCs w:val="22"/>
          <w:lang w:val="en-US"/>
        </w:rPr>
      </w:pPr>
    </w:p>
    <w:p w:rsidR="00347976" w:rsidRPr="006E710A" w:rsidRDefault="00347976" w:rsidP="00347976">
      <w:pPr>
        <w:pStyle w:val="NormalWeb"/>
        <w:spacing w:before="0" w:after="0" w:line="480" w:lineRule="auto"/>
        <w:jc w:val="both"/>
        <w:rPr>
          <w:rFonts w:ascii="Times New Roman" w:hAnsi="Times New Roman"/>
          <w:b/>
          <w:sz w:val="22"/>
          <w:szCs w:val="22"/>
          <w:lang w:val="en-US"/>
        </w:rPr>
      </w:pPr>
      <w:r w:rsidRPr="006E710A">
        <w:rPr>
          <w:rFonts w:ascii="Times New Roman" w:hAnsi="Times New Roman"/>
          <w:b/>
          <w:sz w:val="22"/>
          <w:szCs w:val="22"/>
          <w:lang w:val="en-US"/>
        </w:rPr>
        <w:t xml:space="preserve">Table S1 </w:t>
      </w:r>
      <w:r w:rsidRPr="006E710A">
        <w:rPr>
          <w:rFonts w:ascii="Times New Roman" w:hAnsi="Times New Roman"/>
          <w:sz w:val="22"/>
          <w:szCs w:val="22"/>
          <w:lang w:val="en-US"/>
        </w:rPr>
        <w:t xml:space="preserve">EuPathDB </w:t>
      </w:r>
      <w:r w:rsidRPr="006E710A">
        <w:rPr>
          <w:rFonts w:ascii="Times New Roman" w:hAnsi="Times New Roman"/>
          <w:color w:val="000000"/>
          <w:sz w:val="22"/>
          <w:szCs w:val="22"/>
          <w:lang w:val="en-US"/>
        </w:rPr>
        <w:t xml:space="preserve">accession numbers of the </w:t>
      </w:r>
      <w:r w:rsidRPr="006E710A">
        <w:rPr>
          <w:rFonts w:ascii="Times New Roman" w:hAnsi="Times New Roman"/>
          <w:bCs/>
          <w:sz w:val="22"/>
          <w:szCs w:val="22"/>
          <w:lang w:val="en-US"/>
        </w:rPr>
        <w:t xml:space="preserve">enzymes involved in lipid biogenesis in selected </w:t>
      </w:r>
      <w:r w:rsidRPr="006E710A">
        <w:rPr>
          <w:rFonts w:ascii="Times New Roman" w:hAnsi="Times New Roman"/>
          <w:bCs/>
          <w:iCs/>
          <w:sz w:val="22"/>
          <w:szCs w:val="22"/>
          <w:lang w:val="en-US"/>
        </w:rPr>
        <w:t>protozoan parasites</w:t>
      </w:r>
      <w:r w:rsidRPr="006E710A">
        <w:rPr>
          <w:rFonts w:ascii="Times New Roman" w:hAnsi="Times New Roman"/>
          <w:sz w:val="22"/>
          <w:szCs w:val="22"/>
          <w:lang w:val="en-US"/>
        </w:rPr>
        <w:t>.</w:t>
      </w:r>
      <w:r w:rsidRPr="006E710A">
        <w:rPr>
          <w:rFonts w:ascii="Times New Roman" w:hAnsi="Times New Roman"/>
          <w:b/>
          <w:sz w:val="22"/>
          <w:szCs w:val="22"/>
          <w:lang w:val="en-US"/>
        </w:rPr>
        <w:t xml:space="preserve"> </w:t>
      </w:r>
    </w:p>
    <w:p w:rsidR="00347976" w:rsidRPr="006E710A" w:rsidRDefault="00347976" w:rsidP="00347976">
      <w:pPr>
        <w:pStyle w:val="NormalWeb"/>
        <w:spacing w:before="0" w:after="0" w:line="480" w:lineRule="auto"/>
        <w:jc w:val="both"/>
        <w:rPr>
          <w:rFonts w:ascii="Times New Roman" w:hAnsi="Times New Roman"/>
          <w:b/>
          <w:sz w:val="22"/>
          <w:szCs w:val="22"/>
          <w:lang w:val="en-US"/>
        </w:rPr>
      </w:pPr>
    </w:p>
    <w:p w:rsidR="00347976" w:rsidRPr="006E710A" w:rsidRDefault="00347976" w:rsidP="00347976">
      <w:pPr>
        <w:pStyle w:val="NormalWeb"/>
        <w:spacing w:before="0" w:after="0" w:line="480" w:lineRule="auto"/>
        <w:jc w:val="both"/>
        <w:rPr>
          <w:rFonts w:ascii="Times New Roman" w:hAnsi="Times New Roman"/>
          <w:color w:val="000000"/>
          <w:sz w:val="22"/>
          <w:szCs w:val="22"/>
          <w:lang w:val="en-US"/>
        </w:rPr>
      </w:pPr>
      <w:r w:rsidRPr="006E710A">
        <w:rPr>
          <w:rFonts w:ascii="Times New Roman" w:hAnsi="Times New Roman"/>
          <w:b/>
          <w:sz w:val="22"/>
          <w:szCs w:val="22"/>
          <w:lang w:val="en-US"/>
        </w:rPr>
        <w:t xml:space="preserve">Table S2 </w:t>
      </w:r>
      <w:r w:rsidRPr="006E710A">
        <w:rPr>
          <w:rFonts w:ascii="Times New Roman" w:hAnsi="Times New Roman"/>
          <w:sz w:val="22"/>
          <w:szCs w:val="22"/>
          <w:lang w:val="en-US"/>
        </w:rPr>
        <w:t>S</w:t>
      </w:r>
      <w:r w:rsidRPr="006E710A">
        <w:rPr>
          <w:rFonts w:ascii="Times New Roman" w:hAnsi="Times New Roman"/>
          <w:bCs/>
          <w:sz w:val="22"/>
          <w:szCs w:val="22"/>
          <w:lang w:val="en-US"/>
        </w:rPr>
        <w:t xml:space="preserve">equences used for </w:t>
      </w:r>
      <w:r w:rsidRPr="006E710A">
        <w:rPr>
          <w:rFonts w:ascii="Times New Roman" w:hAnsi="Times New Roman"/>
          <w:sz w:val="22"/>
          <w:szCs w:val="22"/>
          <w:lang w:val="en-US"/>
        </w:rPr>
        <w:t xml:space="preserve">phylogenetic analysis. The parasite sequences are shown with EuPathDB </w:t>
      </w:r>
      <w:r w:rsidRPr="006E710A">
        <w:rPr>
          <w:rFonts w:ascii="Times New Roman" w:hAnsi="Times New Roman"/>
          <w:color w:val="000000"/>
          <w:sz w:val="22"/>
          <w:szCs w:val="22"/>
          <w:lang w:val="en-US"/>
        </w:rPr>
        <w:t xml:space="preserve">accession numbers, while others are listed with </w:t>
      </w:r>
      <w:r w:rsidRPr="006E710A">
        <w:rPr>
          <w:rFonts w:ascii="Times New Roman" w:hAnsi="Times New Roman"/>
          <w:sz w:val="22"/>
          <w:szCs w:val="22"/>
          <w:lang w:val="en-US"/>
        </w:rPr>
        <w:t xml:space="preserve">NCBI </w:t>
      </w:r>
      <w:r w:rsidRPr="006E710A">
        <w:rPr>
          <w:rFonts w:ascii="Times New Roman" w:hAnsi="Times New Roman"/>
          <w:color w:val="000000"/>
          <w:sz w:val="22"/>
          <w:szCs w:val="22"/>
          <w:lang w:val="en-US"/>
        </w:rPr>
        <w:t>accession numbers.</w:t>
      </w:r>
    </w:p>
    <w:p w:rsidR="00347976" w:rsidRPr="006E710A" w:rsidRDefault="00347976" w:rsidP="00347976">
      <w:pPr>
        <w:pStyle w:val="NormalWeb"/>
        <w:spacing w:before="0" w:after="0" w:line="480" w:lineRule="auto"/>
        <w:jc w:val="both"/>
        <w:rPr>
          <w:rFonts w:ascii="Times New Roman" w:hAnsi="Times New Roman"/>
          <w:sz w:val="22"/>
          <w:szCs w:val="22"/>
          <w:lang w:val="en-US"/>
        </w:rPr>
      </w:pPr>
    </w:p>
    <w:p w:rsidR="00347976" w:rsidRPr="00C21F98" w:rsidRDefault="00347976" w:rsidP="00347976">
      <w:pPr>
        <w:pStyle w:val="NormalWeb"/>
        <w:spacing w:before="0" w:after="0" w:line="480" w:lineRule="auto"/>
        <w:jc w:val="both"/>
        <w:rPr>
          <w:rFonts w:ascii="Times New Roman" w:hAnsi="Times New Roman"/>
          <w:b/>
          <w:sz w:val="22"/>
          <w:szCs w:val="22"/>
          <w:lang w:val="en-US"/>
        </w:rPr>
      </w:pPr>
      <w:r w:rsidRPr="006E710A">
        <w:rPr>
          <w:rFonts w:ascii="Times New Roman" w:hAnsi="Times New Roman"/>
          <w:b/>
          <w:sz w:val="22"/>
          <w:szCs w:val="22"/>
          <w:lang w:val="en-US"/>
        </w:rPr>
        <w:t xml:space="preserve">Table S3 </w:t>
      </w:r>
      <w:r w:rsidRPr="006E710A">
        <w:rPr>
          <w:rFonts w:ascii="Times New Roman" w:hAnsi="Times New Roman"/>
          <w:bCs/>
          <w:sz w:val="22"/>
          <w:szCs w:val="22"/>
          <w:lang w:val="en-US"/>
        </w:rPr>
        <w:t>Oligonucleotides</w:t>
      </w:r>
      <w:r w:rsidRPr="006E710A">
        <w:rPr>
          <w:rFonts w:ascii="Times New Roman" w:hAnsi="Times New Roman"/>
          <w:sz w:val="22"/>
          <w:szCs w:val="22"/>
          <w:lang w:val="en-US"/>
        </w:rPr>
        <w:t xml:space="preserve"> used in this study.</w:t>
      </w:r>
      <w:r w:rsidRPr="00C21F98">
        <w:rPr>
          <w:rFonts w:ascii="Times New Roman" w:hAnsi="Times New Roman"/>
          <w:b/>
          <w:sz w:val="22"/>
          <w:szCs w:val="22"/>
          <w:lang w:val="en-US"/>
        </w:rPr>
        <w:t xml:space="preserve">  </w:t>
      </w:r>
    </w:p>
    <w:p w:rsidR="00805CA8" w:rsidRDefault="00805CA8">
      <w:bookmarkStart w:id="0" w:name="_GoBack"/>
      <w:bookmarkEnd w:id="0"/>
    </w:p>
    <w:sectPr w:rsidR="00805CA8" w:rsidSect="0064095D">
      <w:footerReference w:type="even" r:id="rId5"/>
      <w:footerReference w:type="default" r:id="rId6"/>
      <w:pgSz w:w="12240" w:h="15840"/>
      <w:pgMar w:top="1440" w:right="1440" w:bottom="1440" w:left="1440" w:header="0" w:footer="709" w:gutter="0"/>
      <w:lnNumType w:countBy="1" w:restart="continuous"/>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052" w:rsidRDefault="00347976" w:rsidP="008A6F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F4052" w:rsidRDefault="00347976" w:rsidP="0048331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052" w:rsidRDefault="00347976" w:rsidP="008A6F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F4052" w:rsidRDefault="00347976">
    <w:pPr>
      <w:pStyle w:val="Footer"/>
      <w:ind w:right="360"/>
    </w:pPr>
    <w:r>
      <w:rPr>
        <w:noProof/>
        <w:lang w:val="en-IN" w:eastAsia="en-IN"/>
      </w:rPr>
      <mc:AlternateContent>
        <mc:Choice Requires="wps">
          <w:drawing>
            <wp:anchor distT="0" distB="0" distL="0" distR="0" simplePos="0" relativeHeight="251659264" behindDoc="0" locked="0" layoutInCell="1" allowOverlap="1" wp14:anchorId="296DC85A" wp14:editId="73ABDDDD">
              <wp:simplePos x="0" y="0"/>
              <wp:positionH relativeFrom="margin">
                <wp:align>right</wp:align>
              </wp:positionH>
              <wp:positionV relativeFrom="paragraph">
                <wp:posOffset>635</wp:posOffset>
              </wp:positionV>
              <wp:extent cx="140335" cy="160655"/>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140335" cy="160655"/>
                      </a:xfrm>
                      <a:prstGeom prst="rect">
                        <a:avLst/>
                      </a:prstGeom>
                      <a:solidFill>
                        <a:srgbClr val="FFFFFF">
                          <a:alpha val="0"/>
                        </a:srgbClr>
                      </a:solidFill>
                    </wps:spPr>
                    <wps:txbx>
                      <w:txbxContent>
                        <w:p w:rsidR="009F4052" w:rsidRPr="00E511DA" w:rsidRDefault="00347976">
                          <w:pPr>
                            <w:pStyle w:val="Footer"/>
                            <w:rPr>
                              <w:rFonts w:ascii="Times New Roman" w:hAnsi="Times New Roman"/>
                              <w:sz w:val="22"/>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40.15pt;margin-top:.05pt;width:11.05pt;height:12.6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" stroked="f">
              <v:fill opacity="0"/>
              <v:textbox style="mso-fit-shape-to-text:t" inset="0,0,0,0">
                <w:txbxContent>
                  <w:p w:rsidR="009F4052" w:rsidRPr="00E511DA" w:rsidRDefault="00347976">
                    <w:pPr>
                      <w:pStyle w:val="Footer"/>
                      <w:rPr>
                        <w:rFonts w:ascii="Times New Roman" w:hAnsi="Times New Roman"/>
                        <w:sz w:val="22"/>
                      </w:rPr>
                    </w:pPr>
                  </w:p>
                </w:txbxContent>
              </v:textbox>
              <w10:wrap type="square" side="largest"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976"/>
    <w:rsid w:val="000546CA"/>
    <w:rsid w:val="00054B38"/>
    <w:rsid w:val="00085D6C"/>
    <w:rsid w:val="000F0A97"/>
    <w:rsid w:val="001124E1"/>
    <w:rsid w:val="0013375A"/>
    <w:rsid w:val="0014013D"/>
    <w:rsid w:val="00144BEA"/>
    <w:rsid w:val="001673F2"/>
    <w:rsid w:val="001754C0"/>
    <w:rsid w:val="001C4A49"/>
    <w:rsid w:val="001F187E"/>
    <w:rsid w:val="002513D7"/>
    <w:rsid w:val="0027057C"/>
    <w:rsid w:val="00272053"/>
    <w:rsid w:val="002B0F9C"/>
    <w:rsid w:val="002B6679"/>
    <w:rsid w:val="002C00DE"/>
    <w:rsid w:val="002E0B8D"/>
    <w:rsid w:val="003116C6"/>
    <w:rsid w:val="0031238C"/>
    <w:rsid w:val="00330381"/>
    <w:rsid w:val="00347976"/>
    <w:rsid w:val="00364EFB"/>
    <w:rsid w:val="00373DDB"/>
    <w:rsid w:val="003A5DDD"/>
    <w:rsid w:val="003E7B59"/>
    <w:rsid w:val="003F7540"/>
    <w:rsid w:val="004215BB"/>
    <w:rsid w:val="00451825"/>
    <w:rsid w:val="004635BA"/>
    <w:rsid w:val="00477ACA"/>
    <w:rsid w:val="004A322A"/>
    <w:rsid w:val="004C69A3"/>
    <w:rsid w:val="00574C24"/>
    <w:rsid w:val="005B52E4"/>
    <w:rsid w:val="00612193"/>
    <w:rsid w:val="006354AE"/>
    <w:rsid w:val="006A494B"/>
    <w:rsid w:val="006F251F"/>
    <w:rsid w:val="00723168"/>
    <w:rsid w:val="0074010D"/>
    <w:rsid w:val="0076164A"/>
    <w:rsid w:val="00805CA8"/>
    <w:rsid w:val="00810935"/>
    <w:rsid w:val="008652C0"/>
    <w:rsid w:val="0089316B"/>
    <w:rsid w:val="008A6637"/>
    <w:rsid w:val="008B419E"/>
    <w:rsid w:val="008B6F33"/>
    <w:rsid w:val="008F040E"/>
    <w:rsid w:val="00910720"/>
    <w:rsid w:val="00920BA1"/>
    <w:rsid w:val="0092231B"/>
    <w:rsid w:val="00973734"/>
    <w:rsid w:val="009D1B3C"/>
    <w:rsid w:val="009E1669"/>
    <w:rsid w:val="00A247C7"/>
    <w:rsid w:val="00A86BFC"/>
    <w:rsid w:val="00B35D59"/>
    <w:rsid w:val="00B74419"/>
    <w:rsid w:val="00B86DA4"/>
    <w:rsid w:val="00BD1509"/>
    <w:rsid w:val="00BD6BD8"/>
    <w:rsid w:val="00BD7DB1"/>
    <w:rsid w:val="00BF0B15"/>
    <w:rsid w:val="00BF7C08"/>
    <w:rsid w:val="00CC1900"/>
    <w:rsid w:val="00CE6C02"/>
    <w:rsid w:val="00D34CC9"/>
    <w:rsid w:val="00D97D57"/>
    <w:rsid w:val="00DE07FE"/>
    <w:rsid w:val="00DE64C9"/>
    <w:rsid w:val="00E41792"/>
    <w:rsid w:val="00E4418D"/>
    <w:rsid w:val="00F37C2D"/>
    <w:rsid w:val="00F91A7B"/>
    <w:rsid w:val="00FD6417"/>
    <w:rsid w:val="00FE37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semiHidden/>
    <w:qFormat/>
    <w:rsid w:val="00347976"/>
    <w:rPr>
      <w:sz w:val="24"/>
      <w:lang w:val="de-DE"/>
    </w:rPr>
  </w:style>
  <w:style w:type="character" w:styleId="PageNumber">
    <w:name w:val="page number"/>
    <w:uiPriority w:val="99"/>
    <w:qFormat/>
    <w:rsid w:val="00347976"/>
    <w:rPr>
      <w:rFonts w:cs="Times New Roman"/>
    </w:rPr>
  </w:style>
  <w:style w:type="paragraph" w:styleId="NormalWeb">
    <w:name w:val="Normal (Web)"/>
    <w:basedOn w:val="Normal"/>
    <w:uiPriority w:val="99"/>
    <w:qFormat/>
    <w:rsid w:val="00347976"/>
    <w:pPr>
      <w:spacing w:before="2" w:after="2" w:line="240" w:lineRule="auto"/>
    </w:pPr>
    <w:rPr>
      <w:rFonts w:ascii="Times" w:eastAsia="Times New Roman" w:hAnsi="Times" w:cs="Times New Roman"/>
      <w:sz w:val="20"/>
      <w:szCs w:val="20"/>
      <w:lang w:val="de-DE" w:eastAsia="de-DE"/>
    </w:rPr>
  </w:style>
  <w:style w:type="paragraph" w:styleId="Footer">
    <w:name w:val="footer"/>
    <w:basedOn w:val="Normal"/>
    <w:link w:val="FooterChar"/>
    <w:uiPriority w:val="99"/>
    <w:semiHidden/>
    <w:rsid w:val="00347976"/>
    <w:pPr>
      <w:tabs>
        <w:tab w:val="center" w:pos="4320"/>
        <w:tab w:val="right" w:pos="8640"/>
      </w:tabs>
      <w:spacing w:after="0" w:line="240" w:lineRule="auto"/>
    </w:pPr>
    <w:rPr>
      <w:sz w:val="24"/>
      <w:lang w:val="de-DE"/>
    </w:rPr>
  </w:style>
  <w:style w:type="character" w:customStyle="1" w:styleId="FooterChar1">
    <w:name w:val="Footer Char1"/>
    <w:basedOn w:val="DefaultParagraphFont"/>
    <w:uiPriority w:val="99"/>
    <w:semiHidden/>
    <w:rsid w:val="00347976"/>
  </w:style>
  <w:style w:type="character" w:styleId="LineNumber">
    <w:name w:val="line number"/>
    <w:basedOn w:val="DefaultParagraphFont"/>
    <w:uiPriority w:val="99"/>
    <w:semiHidden/>
    <w:unhideWhenUsed/>
    <w:rsid w:val="003479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semiHidden/>
    <w:qFormat/>
    <w:rsid w:val="00347976"/>
    <w:rPr>
      <w:sz w:val="24"/>
      <w:lang w:val="de-DE"/>
    </w:rPr>
  </w:style>
  <w:style w:type="character" w:styleId="PageNumber">
    <w:name w:val="page number"/>
    <w:uiPriority w:val="99"/>
    <w:qFormat/>
    <w:rsid w:val="00347976"/>
    <w:rPr>
      <w:rFonts w:cs="Times New Roman"/>
    </w:rPr>
  </w:style>
  <w:style w:type="paragraph" w:styleId="NormalWeb">
    <w:name w:val="Normal (Web)"/>
    <w:basedOn w:val="Normal"/>
    <w:uiPriority w:val="99"/>
    <w:qFormat/>
    <w:rsid w:val="00347976"/>
    <w:pPr>
      <w:spacing w:before="2" w:after="2" w:line="240" w:lineRule="auto"/>
    </w:pPr>
    <w:rPr>
      <w:rFonts w:ascii="Times" w:eastAsia="Times New Roman" w:hAnsi="Times" w:cs="Times New Roman"/>
      <w:sz w:val="20"/>
      <w:szCs w:val="20"/>
      <w:lang w:val="de-DE" w:eastAsia="de-DE"/>
    </w:rPr>
  </w:style>
  <w:style w:type="paragraph" w:styleId="Footer">
    <w:name w:val="footer"/>
    <w:basedOn w:val="Normal"/>
    <w:link w:val="FooterChar"/>
    <w:uiPriority w:val="99"/>
    <w:semiHidden/>
    <w:rsid w:val="00347976"/>
    <w:pPr>
      <w:tabs>
        <w:tab w:val="center" w:pos="4320"/>
        <w:tab w:val="right" w:pos="8640"/>
      </w:tabs>
      <w:spacing w:after="0" w:line="240" w:lineRule="auto"/>
    </w:pPr>
    <w:rPr>
      <w:sz w:val="24"/>
      <w:lang w:val="de-DE"/>
    </w:rPr>
  </w:style>
  <w:style w:type="character" w:customStyle="1" w:styleId="FooterChar1">
    <w:name w:val="Footer Char1"/>
    <w:basedOn w:val="DefaultParagraphFont"/>
    <w:uiPriority w:val="99"/>
    <w:semiHidden/>
    <w:rsid w:val="00347976"/>
  </w:style>
  <w:style w:type="character" w:styleId="LineNumber">
    <w:name w:val="line number"/>
    <w:basedOn w:val="DefaultParagraphFont"/>
    <w:uiPriority w:val="99"/>
    <w:semiHidden/>
    <w:unhideWhenUsed/>
    <w:rsid w:val="00347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745</Words>
  <Characters>4249</Characters>
  <Application>Microsoft Office Word</Application>
  <DocSecurity>0</DocSecurity>
  <Lines>35</Lines>
  <Paragraphs>9</Paragraphs>
  <ScaleCrop>false</ScaleCrop>
  <Company>Microsoft</Company>
  <LinksUpToDate>false</LinksUpToDate>
  <CharactersWithSpaces>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Vimal Saklani</dc:creator>
  <cp:lastModifiedBy>Vimal Saklani</cp:lastModifiedBy>
  <cp:revision>1</cp:revision>
  <dcterms:created xsi:type="dcterms:W3CDTF">2018-03-06T14:26:00Z</dcterms:created>
  <dcterms:modified xsi:type="dcterms:W3CDTF">2018-03-06T14:27:00Z</dcterms:modified>
</cp:coreProperties>
</file>