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1CA95" w14:textId="77777777" w:rsidR="00DE25F8" w:rsidRDefault="00000000">
      <w:pPr>
        <w:pStyle w:val="BodyA"/>
        <w:spacing w:after="120" w:line="360" w:lineRule="auto"/>
        <w:jc w:val="left"/>
        <w:rPr>
          <w:rFonts w:ascii="Avenir Book" w:hAnsi="Avenir Book"/>
          <w:b/>
          <w:bCs/>
        </w:rPr>
      </w:pPr>
      <w:r>
        <w:rPr>
          <w:rFonts w:ascii="Avenir Book" w:hAnsi="Avenir Book"/>
          <w:b/>
          <w:bCs/>
        </w:rPr>
        <w:t>Supplementary figure legends</w:t>
      </w:r>
    </w:p>
    <w:p w14:paraId="06FB39C8" w14:textId="217AECAA" w:rsidR="0062532E" w:rsidRDefault="00C14DB8" w:rsidP="0062532E">
      <w:pPr>
        <w:pStyle w:val="BodyA"/>
        <w:spacing w:after="120" w:line="360" w:lineRule="auto"/>
        <w:jc w:val="left"/>
        <w:rPr>
          <w:rFonts w:ascii="Avenir Book" w:hAnsi="Avenir Book"/>
        </w:rPr>
      </w:pPr>
      <w:r w:rsidRPr="00C14DB8">
        <w:rPr>
          <w:rFonts w:ascii="Avenir Book" w:hAnsi="Avenir Book"/>
        </w:rPr>
        <w:t>Supplementary Fig. S1</w:t>
      </w:r>
      <w:r w:rsidR="00000000">
        <w:rPr>
          <w:rFonts w:ascii="Avenir Book" w:hAnsi="Avenir Book"/>
        </w:rPr>
        <w:t xml:space="preserve"> </w:t>
      </w:r>
      <w:r w:rsidR="0024017C">
        <w:rPr>
          <w:rFonts w:ascii="Avenir Book" w:hAnsi="Avenir Book"/>
        </w:rPr>
        <w:t xml:space="preserve">a. </w:t>
      </w:r>
      <w:r w:rsidR="00512AE5" w:rsidRPr="00512AE5">
        <w:rPr>
          <w:rFonts w:ascii="Avenir Book" w:hAnsi="Avenir Book"/>
        </w:rPr>
        <w:t xml:space="preserve">The distribution of indel frequencies in K562 by sub-pools. x-axis: indel frequencies. The gRNAs of the 740k library were synthesized from eight synthetic oligo pools, which were denoted as library-1 to library-8. Each of the synthetic oligo pool fits a maximal synthesis capacity of a </w:t>
      </w:r>
      <w:proofErr w:type="spellStart"/>
      <w:r w:rsidR="00512AE5" w:rsidRPr="00512AE5">
        <w:rPr>
          <w:rFonts w:ascii="Avenir Book" w:hAnsi="Avenir Book"/>
        </w:rPr>
        <w:t>GenScript</w:t>
      </w:r>
      <w:proofErr w:type="spellEnd"/>
      <w:r w:rsidR="00512AE5" w:rsidRPr="00512AE5">
        <w:rPr>
          <w:rFonts w:ascii="Avenir Book" w:hAnsi="Avenir Book"/>
        </w:rPr>
        <w:t xml:space="preserve"> 92K chip, and we synthesized eight oligo pools to achieve the 743,344 gRNAs in total. </w:t>
      </w:r>
      <w:r w:rsidR="0024017C">
        <w:rPr>
          <w:rFonts w:ascii="Avenir Book" w:hAnsi="Avenir Book" w:hint="eastAsia"/>
        </w:rPr>
        <w:t>b</w:t>
      </w:r>
      <w:r w:rsidR="0024017C">
        <w:rPr>
          <w:rFonts w:ascii="Avenir Book" w:hAnsi="Avenir Book"/>
        </w:rPr>
        <w:t>.</w:t>
      </w:r>
      <w:r w:rsidR="0062532E">
        <w:rPr>
          <w:rFonts w:ascii="Avenir Book" w:hAnsi="Avenir Book"/>
        </w:rPr>
        <w:t xml:space="preserve"> A heatmap showed the correlation between biological replicates of the SpCas9/gRNA cleavage activities quantified in K562 and </w:t>
      </w:r>
      <w:proofErr w:type="spellStart"/>
      <w:r w:rsidR="0062532E">
        <w:rPr>
          <w:rFonts w:ascii="Avenir Book" w:hAnsi="Avenir Book"/>
        </w:rPr>
        <w:t>Jurkat</w:t>
      </w:r>
      <w:proofErr w:type="spellEnd"/>
      <w:r w:rsidR="0062532E">
        <w:rPr>
          <w:rFonts w:ascii="Avenir Book" w:hAnsi="Avenir Book"/>
        </w:rPr>
        <w:t xml:space="preserve">. The </w:t>
      </w:r>
      <w:proofErr w:type="spellStart"/>
      <w:r w:rsidR="0062532E">
        <w:rPr>
          <w:rFonts w:ascii="Avenir Book" w:hAnsi="Avenir Book"/>
        </w:rPr>
        <w:t>pearson</w:t>
      </w:r>
      <w:proofErr w:type="spellEnd"/>
      <w:r w:rsidR="0062532E">
        <w:rPr>
          <w:rFonts w:ascii="Avenir Book" w:hAnsi="Avenir Book"/>
        </w:rPr>
        <w:t xml:space="preserve"> correlations were color coded.</w:t>
      </w:r>
    </w:p>
    <w:p w14:paraId="5381CA96" w14:textId="6EE46181" w:rsidR="00DE25F8" w:rsidRDefault="00DE25F8">
      <w:pPr>
        <w:pStyle w:val="BodyA"/>
        <w:spacing w:after="120" w:line="360" w:lineRule="auto"/>
        <w:jc w:val="left"/>
        <w:rPr>
          <w:rFonts w:ascii="Avenir Book" w:hAnsi="Avenir Book"/>
        </w:rPr>
      </w:pPr>
    </w:p>
    <w:p w14:paraId="5381CA97" w14:textId="4697886D" w:rsidR="00DE25F8" w:rsidRDefault="0024017C">
      <w:pPr>
        <w:pStyle w:val="BodyA"/>
        <w:spacing w:after="120" w:line="360" w:lineRule="auto"/>
        <w:jc w:val="left"/>
        <w:rPr>
          <w:rFonts w:ascii="Avenir Book" w:hAnsi="Avenir Book"/>
        </w:rPr>
      </w:pPr>
      <w:r w:rsidRPr="00C14DB8">
        <w:rPr>
          <w:rFonts w:ascii="Avenir Book" w:hAnsi="Avenir Book"/>
        </w:rPr>
        <w:t>Supplementary Fig. S</w:t>
      </w:r>
      <w:r>
        <w:rPr>
          <w:rFonts w:ascii="Avenir Book" w:hAnsi="Avenir Book"/>
        </w:rPr>
        <w:t>2</w:t>
      </w:r>
      <w:r w:rsidR="00000000">
        <w:rPr>
          <w:rFonts w:ascii="Avenir Book" w:hAnsi="Avenir Book"/>
        </w:rPr>
        <w:t xml:space="preserve">. </w:t>
      </w:r>
      <w:r w:rsidR="00000000">
        <w:rPr>
          <w:rFonts w:ascii="Avenir Book" w:hAnsi="Avenir Book" w:hint="eastAsia"/>
        </w:rPr>
        <w:t>C</w:t>
      </w:r>
      <w:r w:rsidR="00000000">
        <w:rPr>
          <w:rFonts w:ascii="Avenir Book" w:hAnsi="Avenir Book"/>
        </w:rPr>
        <w:t xml:space="preserve">omparison of prediction performances on cleavage activities of SpCas9/gRNA from different algorithms. The models were trained by 10-fold cross-validation and evaluated on testing dataset. Each dot represented the Spearman correlation between the measured indel frequencies and the predicted efficiencies from 10-fold cross-validation. *P&lt;0.05 and **P&lt;1e-5 show statistic significances between two deep learning-based approaches, between deep learning-based approaches and the best algorithm in conventional machine learning-based approaches using </w:t>
      </w:r>
      <w:proofErr w:type="spellStart"/>
      <w:r w:rsidR="00000000">
        <w:rPr>
          <w:rFonts w:ascii="Avenir Book" w:hAnsi="Avenir Book"/>
        </w:rPr>
        <w:t>Steiger’s</w:t>
      </w:r>
      <w:proofErr w:type="spellEnd"/>
      <w:r w:rsidR="00000000">
        <w:rPr>
          <w:rFonts w:ascii="Avenir Book" w:hAnsi="Avenir Book"/>
        </w:rPr>
        <w:t xml:space="preserve"> test.  </w:t>
      </w:r>
    </w:p>
    <w:p w14:paraId="5381CA98" w14:textId="1F45570A" w:rsidR="00DE25F8" w:rsidRDefault="0024017C">
      <w:pPr>
        <w:pStyle w:val="BodyA"/>
        <w:spacing w:after="120" w:line="360" w:lineRule="auto"/>
        <w:jc w:val="left"/>
        <w:rPr>
          <w:rFonts w:ascii="Avenir Book" w:hAnsi="Avenir Book"/>
        </w:rPr>
      </w:pPr>
      <w:r w:rsidRPr="00C14DB8">
        <w:rPr>
          <w:rFonts w:ascii="Avenir Book" w:hAnsi="Avenir Book"/>
        </w:rPr>
        <w:t>Supplementary Fig. S</w:t>
      </w:r>
      <w:r>
        <w:rPr>
          <w:rFonts w:ascii="Avenir Book" w:hAnsi="Avenir Book"/>
        </w:rPr>
        <w:t>3</w:t>
      </w:r>
      <w:r w:rsidR="00000000">
        <w:rPr>
          <w:rFonts w:ascii="Avenir Book" w:hAnsi="Avenir Book"/>
        </w:rPr>
        <w:t>. The influence of input sequence length to model performance</w:t>
      </w:r>
      <w:r w:rsidR="00000000">
        <w:rPr>
          <w:rFonts w:ascii="Avenir Book" w:hAnsi="Avenir Book" w:hint="eastAsia"/>
        </w:rPr>
        <w:t xml:space="preserve">. </w:t>
      </w:r>
      <w:r w:rsidR="00000000">
        <w:rPr>
          <w:rFonts w:ascii="Avenir Book" w:hAnsi="Avenir Book"/>
        </w:rPr>
        <w:t xml:space="preserve">The </w:t>
      </w:r>
      <w:r w:rsidR="00000000">
        <w:rPr>
          <w:rFonts w:ascii="Avenir Book" w:hAnsi="Avenir Book" w:hint="eastAsia"/>
        </w:rPr>
        <w:t>10-fold cross-validation of the RNN models</w:t>
      </w:r>
      <w:r w:rsidR="00000000">
        <w:rPr>
          <w:rFonts w:ascii="Avenir Book" w:hAnsi="Avenir Book"/>
        </w:rPr>
        <w:t xml:space="preserve"> were performed on training datasets with 23 bp target sequences only (23) and with additional 1~5 bp upstream sequences (left panel). The </w:t>
      </w:r>
      <w:r w:rsidR="00000000">
        <w:rPr>
          <w:rFonts w:ascii="Avenir Book" w:hAnsi="Avenir Book" w:hint="eastAsia"/>
        </w:rPr>
        <w:t>10-fold cross-validation of the RNN models</w:t>
      </w:r>
      <w:r w:rsidR="00000000">
        <w:rPr>
          <w:rFonts w:ascii="Avenir Book" w:hAnsi="Avenir Book"/>
        </w:rPr>
        <w:t xml:space="preserve"> were also performed on training datasets with 23 bp target sequences only (23) and with additional 1~5 bp downstream sequences (right panel). </w:t>
      </w:r>
      <w:r w:rsidR="00000000">
        <w:rPr>
          <w:rFonts w:ascii="Avenir Book" w:hAnsi="Avenir Book" w:hint="eastAsia"/>
        </w:rPr>
        <w:t>Each dot represent</w:t>
      </w:r>
      <w:r w:rsidR="00000000">
        <w:rPr>
          <w:rFonts w:ascii="Avenir Book" w:hAnsi="Avenir Book"/>
        </w:rPr>
        <w:t>ed</w:t>
      </w:r>
      <w:r w:rsidR="00000000">
        <w:rPr>
          <w:rFonts w:ascii="Avenir Book" w:hAnsi="Avenir Book" w:hint="eastAsia"/>
        </w:rPr>
        <w:t xml:space="preserve"> the Spearman correlation </w:t>
      </w:r>
      <w:r w:rsidR="00000000">
        <w:rPr>
          <w:rFonts w:ascii="Avenir Book" w:hAnsi="Avenir Book"/>
        </w:rPr>
        <w:t xml:space="preserve">coefficients </w:t>
      </w:r>
      <w:r w:rsidR="00000000">
        <w:rPr>
          <w:rFonts w:ascii="Avenir Book" w:hAnsi="Avenir Book" w:hint="eastAsia"/>
        </w:rPr>
        <w:t xml:space="preserve">between </w:t>
      </w:r>
      <w:r w:rsidR="00000000">
        <w:rPr>
          <w:rFonts w:ascii="Avenir Book" w:hAnsi="Avenir Book"/>
        </w:rPr>
        <w:t xml:space="preserve">the </w:t>
      </w:r>
      <w:r w:rsidR="00000000">
        <w:rPr>
          <w:rFonts w:ascii="Avenir Book" w:hAnsi="Avenir Book" w:hint="eastAsia"/>
        </w:rPr>
        <w:t xml:space="preserve">measured indel frequencies and </w:t>
      </w:r>
      <w:r w:rsidR="00000000">
        <w:rPr>
          <w:rFonts w:ascii="Avenir Book" w:hAnsi="Avenir Book"/>
        </w:rPr>
        <w:t xml:space="preserve">the </w:t>
      </w:r>
      <w:r w:rsidR="00000000">
        <w:rPr>
          <w:rFonts w:ascii="Avenir Book" w:hAnsi="Avenir Book" w:hint="eastAsia"/>
        </w:rPr>
        <w:t xml:space="preserve">predicted efficiencies from </w:t>
      </w:r>
      <w:r w:rsidR="00000000">
        <w:rPr>
          <w:rFonts w:ascii="Avenir Book" w:hAnsi="Avenir Book"/>
        </w:rPr>
        <w:t xml:space="preserve">the </w:t>
      </w:r>
      <w:r w:rsidR="00000000">
        <w:rPr>
          <w:rFonts w:ascii="Avenir Book" w:hAnsi="Avenir Book" w:hint="eastAsia"/>
        </w:rPr>
        <w:t>10-fold cross-validation</w:t>
      </w:r>
      <w:r w:rsidR="00000000">
        <w:rPr>
          <w:rFonts w:ascii="Avenir Book" w:hAnsi="Avenir Book"/>
        </w:rPr>
        <w:t xml:space="preserve"> (*P&lt;0.05 and **P&lt;1e-5, </w:t>
      </w:r>
      <w:proofErr w:type="spellStart"/>
      <w:r w:rsidR="00000000">
        <w:rPr>
          <w:rFonts w:ascii="Avenir Book" w:hAnsi="Avenir Book"/>
        </w:rPr>
        <w:t>Steiger’s</w:t>
      </w:r>
      <w:proofErr w:type="spellEnd"/>
      <w:r w:rsidR="00000000">
        <w:rPr>
          <w:rFonts w:ascii="Avenir Book" w:hAnsi="Avenir Book"/>
        </w:rPr>
        <w:t xml:space="preserve"> test)</w:t>
      </w:r>
      <w:r w:rsidR="00000000">
        <w:rPr>
          <w:rFonts w:ascii="Avenir Book" w:hAnsi="Avenir Book" w:hint="eastAsia"/>
        </w:rPr>
        <w:t>.</w:t>
      </w:r>
    </w:p>
    <w:p w14:paraId="5381CA99" w14:textId="5A751B7A" w:rsidR="00DE25F8" w:rsidRDefault="0024017C">
      <w:pPr>
        <w:pStyle w:val="BodyA"/>
        <w:spacing w:after="120" w:line="360" w:lineRule="auto"/>
        <w:jc w:val="left"/>
        <w:rPr>
          <w:rFonts w:ascii="Avenir Book" w:hAnsi="Avenir Book"/>
        </w:rPr>
      </w:pPr>
      <w:r w:rsidRPr="00C14DB8">
        <w:rPr>
          <w:rFonts w:ascii="Avenir Book" w:hAnsi="Avenir Book"/>
        </w:rPr>
        <w:t>Supplementary Fig. S</w:t>
      </w:r>
      <w:r>
        <w:rPr>
          <w:rFonts w:ascii="Avenir Book" w:hAnsi="Avenir Book"/>
        </w:rPr>
        <w:t>4</w:t>
      </w:r>
      <w:r w:rsidR="00000000">
        <w:rPr>
          <w:rFonts w:ascii="Avenir Book" w:hAnsi="Avenir Book"/>
        </w:rPr>
        <w:t xml:space="preserve">. The distribution of indel frequencies in </w:t>
      </w:r>
      <w:proofErr w:type="spellStart"/>
      <w:r w:rsidR="00000000">
        <w:rPr>
          <w:rFonts w:ascii="Avenir Book" w:hAnsi="Avenir Book"/>
        </w:rPr>
        <w:t>Jurkat</w:t>
      </w:r>
      <w:proofErr w:type="spellEnd"/>
      <w:r w:rsidR="00000000">
        <w:rPr>
          <w:rFonts w:ascii="Avenir Book" w:hAnsi="Avenir Book"/>
        </w:rPr>
        <w:t>. x-axis: indel frequencies.</w:t>
      </w:r>
    </w:p>
    <w:p w14:paraId="579FD2BE" w14:textId="380DB7E4" w:rsidR="0068138A" w:rsidRPr="0068138A" w:rsidRDefault="0024017C">
      <w:pPr>
        <w:pStyle w:val="BodyA"/>
        <w:spacing w:after="120" w:line="360" w:lineRule="auto"/>
        <w:jc w:val="left"/>
        <w:rPr>
          <w:rFonts w:ascii="Avenir Book" w:hAnsi="Avenir Book"/>
        </w:rPr>
      </w:pPr>
      <w:r w:rsidRPr="00C14DB8">
        <w:rPr>
          <w:rFonts w:ascii="Avenir Book" w:hAnsi="Avenir Book"/>
        </w:rPr>
        <w:t>Supplementary Fig. S</w:t>
      </w:r>
      <w:r>
        <w:rPr>
          <w:rFonts w:ascii="Avenir Book" w:hAnsi="Avenir Book"/>
        </w:rPr>
        <w:t>5</w:t>
      </w:r>
      <w:r w:rsidR="0068138A">
        <w:rPr>
          <w:rFonts w:ascii="Avenir Book" w:hAnsi="Avenir Book"/>
        </w:rPr>
        <w:t xml:space="preserve">. </w:t>
      </w:r>
      <w:r w:rsidR="0068138A" w:rsidRPr="0068138A">
        <w:rPr>
          <w:rFonts w:ascii="Avenir Book" w:hAnsi="Avenir Book"/>
        </w:rPr>
        <w:t xml:space="preserve">Nucleotide preferences of gRNAs of the K562-Specific, </w:t>
      </w:r>
      <w:proofErr w:type="spellStart"/>
      <w:r w:rsidR="0068138A" w:rsidRPr="0068138A">
        <w:rPr>
          <w:rFonts w:ascii="Avenir Book" w:hAnsi="Avenir Book"/>
        </w:rPr>
        <w:t>Jurkat</w:t>
      </w:r>
      <w:proofErr w:type="spellEnd"/>
      <w:r w:rsidR="0068138A" w:rsidRPr="0068138A">
        <w:rPr>
          <w:rFonts w:ascii="Avenir Book" w:hAnsi="Avenir Book"/>
        </w:rPr>
        <w:t>-Specific, and Non-Specific subgroups</w:t>
      </w:r>
    </w:p>
    <w:p w14:paraId="68A46C4C" w14:textId="1BE0CE99" w:rsidR="0062532E" w:rsidRPr="0062532E" w:rsidRDefault="0024017C">
      <w:pPr>
        <w:pStyle w:val="BodyA"/>
        <w:spacing w:after="120" w:line="360" w:lineRule="auto"/>
        <w:jc w:val="left"/>
        <w:rPr>
          <w:rFonts w:ascii="Avenir Book" w:hAnsi="Avenir Book"/>
        </w:rPr>
      </w:pPr>
      <w:r w:rsidRPr="00C14DB8">
        <w:rPr>
          <w:rFonts w:ascii="Avenir Book" w:hAnsi="Avenir Book"/>
        </w:rPr>
        <w:t>Supplementary Fig. S</w:t>
      </w:r>
      <w:r>
        <w:rPr>
          <w:rFonts w:ascii="Avenir Book" w:hAnsi="Avenir Book"/>
        </w:rPr>
        <w:t>6</w:t>
      </w:r>
      <w:r w:rsidR="00000000">
        <w:rPr>
          <w:rFonts w:ascii="Avenir Book" w:hAnsi="Avenir Book"/>
        </w:rPr>
        <w:t>.</w:t>
      </w:r>
      <w:r w:rsidR="0062532E" w:rsidRPr="0062532E">
        <w:rPr>
          <w:rFonts w:ascii="Avenir Book" w:hAnsi="Avenir Book"/>
        </w:rPr>
        <w:t xml:space="preserve"> Performance of cross prediction between training datasets and test datasets </w:t>
      </w:r>
      <w:r w:rsidR="0062532E">
        <w:rPr>
          <w:rFonts w:ascii="Avenir Book" w:hAnsi="Avenir Book"/>
        </w:rPr>
        <w:t>from</w:t>
      </w:r>
      <w:r w:rsidR="0062532E" w:rsidRPr="0062532E">
        <w:rPr>
          <w:rFonts w:ascii="Avenir Book" w:hAnsi="Avenir Book"/>
        </w:rPr>
        <w:t xml:space="preserve"> </w:t>
      </w:r>
      <w:proofErr w:type="spellStart"/>
      <w:r w:rsidR="0062532E">
        <w:rPr>
          <w:rFonts w:ascii="Avenir Book" w:hAnsi="Avenir Book"/>
        </w:rPr>
        <w:t>AIdit_ON</w:t>
      </w:r>
      <w:proofErr w:type="spellEnd"/>
      <w:r w:rsidR="0062532E" w:rsidRPr="0062532E">
        <w:rPr>
          <w:rFonts w:ascii="Avenir Book" w:hAnsi="Avenir Book"/>
        </w:rPr>
        <w:t>.</w:t>
      </w:r>
      <w:r w:rsidR="00AE4E31">
        <w:rPr>
          <w:rFonts w:ascii="Avenir Book" w:hAnsi="Avenir Book"/>
        </w:rPr>
        <w:t xml:space="preserve"> B</w:t>
      </w:r>
      <w:r w:rsidR="00AE4E31" w:rsidRPr="00AE4E31">
        <w:rPr>
          <w:rFonts w:ascii="Avenir Book" w:hAnsi="Avenir Book"/>
        </w:rPr>
        <w:t>ox plot</w:t>
      </w:r>
      <w:r w:rsidR="00AE4E31">
        <w:rPr>
          <w:rFonts w:ascii="Avenir Book" w:hAnsi="Avenir Book"/>
        </w:rPr>
        <w:t>(</w:t>
      </w:r>
      <w:r>
        <w:rPr>
          <w:rFonts w:ascii="Avenir Book" w:hAnsi="Avenir Book"/>
        </w:rPr>
        <w:t>a</w:t>
      </w:r>
      <w:r w:rsidR="00AE4E31">
        <w:rPr>
          <w:rFonts w:ascii="Avenir Book" w:hAnsi="Avenir Book"/>
        </w:rPr>
        <w:t>)</w:t>
      </w:r>
      <w:r w:rsidR="00AE4E31" w:rsidRPr="00AE4E31">
        <w:rPr>
          <w:rFonts w:ascii="Avenir Book" w:hAnsi="Avenir Book"/>
        </w:rPr>
        <w:t xml:space="preserve"> </w:t>
      </w:r>
      <w:r w:rsidR="00AE4E31">
        <w:rPr>
          <w:rFonts w:ascii="Avenir Book" w:hAnsi="Avenir Book"/>
        </w:rPr>
        <w:t>and dot plot(</w:t>
      </w:r>
      <w:r>
        <w:rPr>
          <w:rFonts w:ascii="Avenir Book" w:hAnsi="Avenir Book"/>
        </w:rPr>
        <w:t>b</w:t>
      </w:r>
      <w:r w:rsidR="00AE4E31">
        <w:rPr>
          <w:rFonts w:ascii="Avenir Book" w:hAnsi="Avenir Book"/>
        </w:rPr>
        <w:t xml:space="preserve">) </w:t>
      </w:r>
      <w:r w:rsidR="00AE4E31" w:rsidRPr="00AE4E31">
        <w:rPr>
          <w:rFonts w:ascii="Avenir Book" w:hAnsi="Avenir Book"/>
        </w:rPr>
        <w:t xml:space="preserve">on </w:t>
      </w:r>
      <w:r w:rsidR="0062532E" w:rsidRPr="0062532E">
        <w:rPr>
          <w:rFonts w:ascii="Avenir Book" w:hAnsi="Avenir Book"/>
        </w:rPr>
        <w:t xml:space="preserve">independent test datasets from K562 and </w:t>
      </w:r>
      <w:proofErr w:type="spellStart"/>
      <w:r w:rsidR="0062532E" w:rsidRPr="0062532E">
        <w:rPr>
          <w:rFonts w:ascii="Avenir Book" w:hAnsi="Avenir Book"/>
        </w:rPr>
        <w:t>Jurkat</w:t>
      </w:r>
      <w:proofErr w:type="spellEnd"/>
      <w:r w:rsidR="0062532E" w:rsidRPr="0062532E">
        <w:rPr>
          <w:rFonts w:ascii="Avenir Book" w:hAnsi="Avenir Book"/>
        </w:rPr>
        <w:t>. The Spearman correlation between measured and predicted indel frequencies was used as an evaluation metric.</w:t>
      </w:r>
    </w:p>
    <w:p w14:paraId="5381CA9B" w14:textId="240072F9" w:rsidR="00DE25F8" w:rsidRDefault="0024017C">
      <w:pPr>
        <w:pStyle w:val="BodyA"/>
        <w:spacing w:after="120" w:line="360" w:lineRule="auto"/>
        <w:jc w:val="left"/>
        <w:rPr>
          <w:rFonts w:ascii="Avenir Book" w:hAnsi="Avenir Book"/>
        </w:rPr>
      </w:pPr>
      <w:r w:rsidRPr="00C14DB8">
        <w:rPr>
          <w:rFonts w:ascii="Avenir Book" w:hAnsi="Avenir Book"/>
        </w:rPr>
        <w:t>Supplementary Fig. S</w:t>
      </w:r>
      <w:r>
        <w:rPr>
          <w:rFonts w:ascii="Avenir Book" w:hAnsi="Avenir Book"/>
        </w:rPr>
        <w:t>7</w:t>
      </w:r>
      <w:r w:rsidR="00000000">
        <w:rPr>
          <w:rFonts w:ascii="Avenir Book" w:hAnsi="Avenir Book"/>
        </w:rPr>
        <w:t>. The distribution of indel frequencies measured at endogenous sites individually in 293T, K562, and H1.</w:t>
      </w:r>
    </w:p>
    <w:p w14:paraId="5381CA9C" w14:textId="784D8D49" w:rsidR="00DE25F8" w:rsidRDefault="0024017C">
      <w:pPr>
        <w:pStyle w:val="BodyA"/>
        <w:spacing w:after="120" w:line="360" w:lineRule="auto"/>
        <w:jc w:val="left"/>
        <w:rPr>
          <w:rFonts w:ascii="Avenir Book" w:hAnsi="Avenir Book"/>
        </w:rPr>
      </w:pPr>
      <w:r w:rsidRPr="00C14DB8">
        <w:rPr>
          <w:rFonts w:ascii="Avenir Book" w:hAnsi="Avenir Book"/>
        </w:rPr>
        <w:t>Supplementary Fig. S</w:t>
      </w:r>
      <w:r>
        <w:rPr>
          <w:rFonts w:ascii="Avenir Book" w:hAnsi="Avenir Book"/>
        </w:rPr>
        <w:t>8</w:t>
      </w:r>
      <w:r w:rsidR="00000000">
        <w:rPr>
          <w:rFonts w:ascii="Avenir Book" w:hAnsi="Avenir Book"/>
        </w:rPr>
        <w:t xml:space="preserve">.  </w:t>
      </w:r>
      <w:r w:rsidR="0062532E">
        <w:rPr>
          <w:rFonts w:ascii="Avenir Book" w:hAnsi="Avenir Book"/>
        </w:rPr>
        <w:t>The generalization</w:t>
      </w:r>
      <w:r w:rsidR="00000000">
        <w:rPr>
          <w:rFonts w:ascii="Avenir Book" w:hAnsi="Avenir Book"/>
        </w:rPr>
        <w:t xml:space="preserve"> performance of </w:t>
      </w:r>
      <w:proofErr w:type="spellStart"/>
      <w:r w:rsidR="00000000">
        <w:rPr>
          <w:rFonts w:ascii="Avenir Book" w:hAnsi="Avenir Book"/>
        </w:rPr>
        <w:t>AIdit_ON</w:t>
      </w:r>
      <w:proofErr w:type="spellEnd"/>
      <w:r w:rsidR="00000000">
        <w:rPr>
          <w:rFonts w:ascii="Avenir Book" w:hAnsi="Avenir Book"/>
        </w:rPr>
        <w:t xml:space="preserve"> across three different cell lines. Both the Spearman and Pearson correlation coefficients are shown between </w:t>
      </w:r>
      <w:proofErr w:type="spellStart"/>
      <w:r w:rsidR="00000000">
        <w:rPr>
          <w:rFonts w:ascii="Avenir Book" w:hAnsi="Avenir Book"/>
        </w:rPr>
        <w:t>AIdit_ON</w:t>
      </w:r>
      <w:proofErr w:type="spellEnd"/>
      <w:r w:rsidR="00000000">
        <w:rPr>
          <w:rFonts w:ascii="Avenir Book" w:hAnsi="Avenir Book"/>
        </w:rPr>
        <w:t xml:space="preserve"> scores and the measured indel frequencies at endogenous sites for K562 (left), 293T (middle) and H1 (right), respectively.</w:t>
      </w:r>
    </w:p>
    <w:p w14:paraId="720E9376" w14:textId="3894ACED" w:rsidR="0068138A" w:rsidRDefault="0024017C">
      <w:pPr>
        <w:pStyle w:val="BodyA"/>
        <w:spacing w:after="120" w:line="360" w:lineRule="auto"/>
        <w:jc w:val="left"/>
        <w:rPr>
          <w:rFonts w:ascii="Avenir Book" w:hAnsi="Avenir Book"/>
        </w:rPr>
      </w:pPr>
      <w:r w:rsidRPr="00C14DB8">
        <w:rPr>
          <w:rFonts w:ascii="Avenir Book" w:hAnsi="Avenir Book"/>
        </w:rPr>
        <w:t>Supplementary Fig. S</w:t>
      </w:r>
      <w:r>
        <w:rPr>
          <w:rFonts w:ascii="Avenir Book" w:hAnsi="Avenir Book"/>
        </w:rPr>
        <w:t>9</w:t>
      </w:r>
      <w:r w:rsidR="0068138A">
        <w:rPr>
          <w:rFonts w:ascii="Avenir Book" w:hAnsi="Avenir Book"/>
        </w:rPr>
        <w:t xml:space="preserve">. </w:t>
      </w:r>
      <w:r w:rsidR="0068138A" w:rsidRPr="0068138A">
        <w:rPr>
          <w:rFonts w:ascii="Avenir Book" w:hAnsi="Avenir Book"/>
        </w:rPr>
        <w:t xml:space="preserve">The </w:t>
      </w:r>
      <w:proofErr w:type="spellStart"/>
      <w:r w:rsidR="0068138A" w:rsidRPr="0068138A">
        <w:rPr>
          <w:rFonts w:ascii="Avenir Book" w:hAnsi="Avenir Book"/>
        </w:rPr>
        <w:t>AIdit_ON</w:t>
      </w:r>
      <w:proofErr w:type="spellEnd"/>
      <w:r w:rsidR="0068138A" w:rsidRPr="0068138A">
        <w:rPr>
          <w:rFonts w:ascii="Avenir Book" w:hAnsi="Avenir Book"/>
        </w:rPr>
        <w:t xml:space="preserve"> model predicts SpCas9/gRNA cleavage activities in human </w:t>
      </w:r>
      <w:r w:rsidR="0068138A" w:rsidRPr="0068138A">
        <w:rPr>
          <w:rFonts w:ascii="Avenir Book" w:hAnsi="Avenir Book"/>
        </w:rPr>
        <w:lastRenderedPageBreak/>
        <w:t>primary cells for CRISPR therapy. Each red circle represents the gRNA that they ultimately chose for further experiments.</w:t>
      </w:r>
    </w:p>
    <w:p w14:paraId="5381CA9D" w14:textId="07870105" w:rsidR="00DE25F8" w:rsidRDefault="0024017C">
      <w:pPr>
        <w:pStyle w:val="BodyA"/>
        <w:spacing w:after="120" w:line="360" w:lineRule="auto"/>
        <w:jc w:val="left"/>
        <w:rPr>
          <w:rFonts w:ascii="Avenir Book" w:hAnsi="Avenir Book"/>
        </w:rPr>
      </w:pPr>
      <w:r w:rsidRPr="00C14DB8">
        <w:rPr>
          <w:rFonts w:ascii="Avenir Book" w:hAnsi="Avenir Book"/>
        </w:rPr>
        <w:t>Supplementary Fig. S</w:t>
      </w:r>
      <w:r>
        <w:rPr>
          <w:rFonts w:ascii="Avenir Book" w:hAnsi="Avenir Book"/>
        </w:rPr>
        <w:t>10</w:t>
      </w:r>
      <w:r w:rsidR="00000000">
        <w:rPr>
          <w:rFonts w:ascii="Avenir Book" w:hAnsi="Avenir Book"/>
        </w:rPr>
        <w:t xml:space="preserve">. Box plots showed the reproducibility of DSB-induced repair outcomes between two biological replicates of each of the two cell lines (K562 and </w:t>
      </w:r>
      <w:proofErr w:type="spellStart"/>
      <w:r w:rsidR="00000000">
        <w:rPr>
          <w:rFonts w:ascii="Avenir Book" w:hAnsi="Avenir Book"/>
        </w:rPr>
        <w:t>Jurkat</w:t>
      </w:r>
      <w:proofErr w:type="spellEnd"/>
      <w:r w:rsidR="00000000">
        <w:rPr>
          <w:rFonts w:ascii="Avenir Book" w:hAnsi="Avenir Book"/>
        </w:rPr>
        <w:t>) and between the two cell lines. Pearson coefficient (</w:t>
      </w:r>
      <w:r>
        <w:rPr>
          <w:rFonts w:ascii="Avenir Book" w:hAnsi="Avenir Book"/>
        </w:rPr>
        <w:t>a</w:t>
      </w:r>
      <w:r w:rsidR="00000000">
        <w:rPr>
          <w:rFonts w:ascii="Avenir Book" w:hAnsi="Avenir Book"/>
        </w:rPr>
        <w:t>) and Symmetrized KL divergence (</w:t>
      </w:r>
      <w:r>
        <w:rPr>
          <w:rFonts w:ascii="Avenir Book" w:hAnsi="Avenir Book"/>
        </w:rPr>
        <w:t>b</w:t>
      </w:r>
      <w:r w:rsidR="00000000">
        <w:rPr>
          <w:rFonts w:ascii="Avenir Book" w:hAnsi="Avenir Book"/>
        </w:rPr>
        <w:t>) were used as metrics.</w:t>
      </w:r>
    </w:p>
    <w:p w14:paraId="5381CA9E" w14:textId="5D307253" w:rsidR="00DE25F8" w:rsidRDefault="0024017C">
      <w:pPr>
        <w:pStyle w:val="BodyA"/>
        <w:spacing w:after="120" w:line="360" w:lineRule="auto"/>
        <w:jc w:val="left"/>
        <w:rPr>
          <w:rFonts w:ascii="Avenir Book" w:hAnsi="Avenir Book"/>
          <w:b/>
          <w:bCs/>
        </w:rPr>
      </w:pPr>
      <w:r w:rsidRPr="00C14DB8">
        <w:rPr>
          <w:rFonts w:ascii="Avenir Book" w:hAnsi="Avenir Book"/>
        </w:rPr>
        <w:t>Supplementary Fig. S</w:t>
      </w:r>
      <w:r>
        <w:rPr>
          <w:rFonts w:ascii="Avenir Book" w:hAnsi="Avenir Book"/>
        </w:rPr>
        <w:t>11</w:t>
      </w:r>
      <w:r w:rsidR="00000000">
        <w:rPr>
          <w:rFonts w:ascii="Avenir Book" w:hAnsi="Avenir Book"/>
        </w:rPr>
        <w:t>. Scattered plots showed the reproducibility of DSB-induced repair outcomes between two biological replicates of each of the two cell lines before and after aggregating the repairing categories. (</w:t>
      </w:r>
      <w:r>
        <w:rPr>
          <w:rFonts w:ascii="Avenir Book" w:hAnsi="Avenir Book"/>
        </w:rPr>
        <w:t>a</w:t>
      </w:r>
      <w:r w:rsidR="00000000">
        <w:rPr>
          <w:rFonts w:ascii="Avenir Book" w:hAnsi="Avenir Book"/>
        </w:rPr>
        <w:t>) 631 original categories in K562; (</w:t>
      </w:r>
      <w:r>
        <w:rPr>
          <w:rFonts w:ascii="Avenir Book" w:hAnsi="Avenir Book"/>
        </w:rPr>
        <w:t>b</w:t>
      </w:r>
      <w:r w:rsidR="00000000">
        <w:rPr>
          <w:rFonts w:ascii="Avenir Book" w:hAnsi="Avenir Book"/>
        </w:rPr>
        <w:t xml:space="preserve">) 610 original deletion categories, and all possible 1-8 bp insertion categories and one insertion more than 9 bp in </w:t>
      </w:r>
      <w:proofErr w:type="spellStart"/>
      <w:r w:rsidR="00000000">
        <w:rPr>
          <w:rFonts w:ascii="Avenir Book" w:hAnsi="Avenir Book"/>
        </w:rPr>
        <w:t>Jurkat</w:t>
      </w:r>
      <w:proofErr w:type="spellEnd"/>
      <w:r w:rsidR="00000000">
        <w:rPr>
          <w:rFonts w:ascii="Avenir Book" w:hAnsi="Avenir Book"/>
        </w:rPr>
        <w:t>; (</w:t>
      </w:r>
      <w:r>
        <w:rPr>
          <w:rFonts w:ascii="Avenir Book" w:hAnsi="Avenir Book"/>
        </w:rPr>
        <w:t>c</w:t>
      </w:r>
      <w:r w:rsidR="00000000">
        <w:rPr>
          <w:rFonts w:ascii="Avenir Book" w:hAnsi="Avenir Book"/>
        </w:rPr>
        <w:t>) 117 aggregated categories in K562; (</w:t>
      </w:r>
      <w:r>
        <w:rPr>
          <w:rFonts w:ascii="Avenir Book" w:hAnsi="Avenir Book"/>
        </w:rPr>
        <w:t>d</w:t>
      </w:r>
      <w:r w:rsidR="00000000">
        <w:rPr>
          <w:rFonts w:ascii="Avenir Book" w:hAnsi="Avenir Book"/>
        </w:rPr>
        <w:t xml:space="preserve">) 163 aggregated categories in </w:t>
      </w:r>
      <w:proofErr w:type="spellStart"/>
      <w:r w:rsidR="00000000">
        <w:rPr>
          <w:rFonts w:ascii="Avenir Book" w:hAnsi="Avenir Book"/>
        </w:rPr>
        <w:t>Jurkat</w:t>
      </w:r>
      <w:proofErr w:type="spellEnd"/>
      <w:r w:rsidR="00000000">
        <w:rPr>
          <w:rFonts w:ascii="Avenir Book" w:hAnsi="Avenir Book"/>
        </w:rPr>
        <w:t>.</w:t>
      </w:r>
    </w:p>
    <w:p w14:paraId="5381CA9F" w14:textId="4C784C50" w:rsidR="00DE25F8" w:rsidRDefault="0024017C">
      <w:pPr>
        <w:pStyle w:val="BodyA"/>
        <w:spacing w:after="120" w:line="360" w:lineRule="auto"/>
        <w:jc w:val="left"/>
        <w:rPr>
          <w:rFonts w:ascii="Avenir Book" w:hAnsi="Avenir Book"/>
        </w:rPr>
      </w:pPr>
      <w:r w:rsidRPr="00C14DB8">
        <w:rPr>
          <w:rFonts w:ascii="Avenir Book" w:hAnsi="Avenir Book"/>
        </w:rPr>
        <w:t>Supplementary Fig. S1</w:t>
      </w:r>
      <w:r>
        <w:rPr>
          <w:rFonts w:ascii="Avenir Book" w:hAnsi="Avenir Book"/>
        </w:rPr>
        <w:t>2</w:t>
      </w:r>
      <w:r w:rsidR="00000000">
        <w:rPr>
          <w:rFonts w:ascii="Avenir Book" w:hAnsi="Avenir Book"/>
        </w:rPr>
        <w:t>. The evaluation of generalization performance on prediction of repair outcomes. (</w:t>
      </w:r>
      <w:r>
        <w:rPr>
          <w:rFonts w:ascii="Avenir Book" w:hAnsi="Avenir Book"/>
        </w:rPr>
        <w:t>a</w:t>
      </w:r>
      <w:r w:rsidR="00000000">
        <w:rPr>
          <w:rFonts w:ascii="Avenir Book" w:hAnsi="Avenir Book"/>
        </w:rPr>
        <w:t xml:space="preserve">) AIdit_DSB_K562, </w:t>
      </w:r>
      <w:proofErr w:type="spellStart"/>
      <w:r w:rsidR="00000000">
        <w:rPr>
          <w:rFonts w:ascii="Avenir Book" w:hAnsi="Avenir Book"/>
        </w:rPr>
        <w:t>Lindel</w:t>
      </w:r>
      <w:proofErr w:type="spellEnd"/>
      <w:r w:rsidR="00000000">
        <w:rPr>
          <w:rFonts w:ascii="Avenir Book" w:hAnsi="Avenir Book"/>
        </w:rPr>
        <w:t xml:space="preserve">, and </w:t>
      </w:r>
      <w:proofErr w:type="spellStart"/>
      <w:r w:rsidR="00000000">
        <w:rPr>
          <w:rFonts w:ascii="Avenir Book" w:hAnsi="Avenir Book"/>
        </w:rPr>
        <w:t>ForeCasT</w:t>
      </w:r>
      <w:proofErr w:type="spellEnd"/>
      <w:r w:rsidR="00000000">
        <w:rPr>
          <w:rFonts w:ascii="Avenir Book" w:hAnsi="Avenir Book"/>
        </w:rPr>
        <w:t xml:space="preserve"> models on the K562, </w:t>
      </w:r>
      <w:proofErr w:type="spellStart"/>
      <w:proofErr w:type="gramStart"/>
      <w:r w:rsidR="00000000">
        <w:rPr>
          <w:rFonts w:ascii="Avenir Book" w:hAnsi="Avenir Book"/>
        </w:rPr>
        <w:t>ForeCast</w:t>
      </w:r>
      <w:proofErr w:type="gramEnd"/>
      <w:r w:rsidR="00000000">
        <w:rPr>
          <w:rFonts w:ascii="Avenir Book" w:hAnsi="Avenir Book"/>
        </w:rPr>
        <w:t>_Lindel</w:t>
      </w:r>
      <w:proofErr w:type="spellEnd"/>
      <w:r w:rsidR="00000000">
        <w:rPr>
          <w:rFonts w:ascii="Avenir Book" w:hAnsi="Avenir Book"/>
        </w:rPr>
        <w:t xml:space="preserve">, and </w:t>
      </w:r>
      <w:proofErr w:type="spellStart"/>
      <w:r w:rsidR="00000000">
        <w:rPr>
          <w:rFonts w:ascii="Avenir Book" w:hAnsi="Avenir Book"/>
        </w:rPr>
        <w:t>Jurkat</w:t>
      </w:r>
      <w:proofErr w:type="spellEnd"/>
      <w:r w:rsidR="00000000">
        <w:rPr>
          <w:rFonts w:ascii="Avenir Book" w:hAnsi="Avenir Book"/>
        </w:rPr>
        <w:t xml:space="preserve"> datasets using the 117 aggregated repair categories; (</w:t>
      </w:r>
      <w:r>
        <w:rPr>
          <w:rFonts w:ascii="Avenir Book" w:hAnsi="Avenir Book"/>
        </w:rPr>
        <w:t>b</w:t>
      </w:r>
      <w:r w:rsidR="00000000">
        <w:rPr>
          <w:rFonts w:ascii="Avenir Book" w:hAnsi="Avenir Book"/>
        </w:rPr>
        <w:t xml:space="preserve">) </w:t>
      </w:r>
      <w:proofErr w:type="spellStart"/>
      <w:r w:rsidR="00000000">
        <w:rPr>
          <w:rFonts w:ascii="Avenir Book" w:hAnsi="Avenir Book"/>
        </w:rPr>
        <w:t>AIdit_DSB_Jurkat</w:t>
      </w:r>
      <w:proofErr w:type="spellEnd"/>
      <w:r w:rsidR="00000000">
        <w:rPr>
          <w:rFonts w:ascii="Avenir Book" w:hAnsi="Avenir Book"/>
        </w:rPr>
        <w:t xml:space="preserve">, </w:t>
      </w:r>
      <w:proofErr w:type="spellStart"/>
      <w:r w:rsidR="00000000">
        <w:rPr>
          <w:rFonts w:ascii="Avenir Book" w:hAnsi="Avenir Book"/>
        </w:rPr>
        <w:t>Lindel</w:t>
      </w:r>
      <w:proofErr w:type="spellEnd"/>
      <w:r w:rsidR="00000000">
        <w:rPr>
          <w:rFonts w:ascii="Avenir Book" w:hAnsi="Avenir Book"/>
        </w:rPr>
        <w:t xml:space="preserve">, and </w:t>
      </w:r>
      <w:proofErr w:type="spellStart"/>
      <w:r w:rsidR="00000000">
        <w:rPr>
          <w:rFonts w:ascii="Avenir Book" w:hAnsi="Avenir Book"/>
        </w:rPr>
        <w:t>ForeCasT</w:t>
      </w:r>
      <w:proofErr w:type="spellEnd"/>
      <w:r w:rsidR="00000000">
        <w:rPr>
          <w:rFonts w:ascii="Avenir Book" w:hAnsi="Avenir Book"/>
        </w:rPr>
        <w:t xml:space="preserve"> models on the K562, </w:t>
      </w:r>
      <w:proofErr w:type="spellStart"/>
      <w:r w:rsidR="00000000">
        <w:rPr>
          <w:rFonts w:ascii="Avenir Book" w:hAnsi="Avenir Book"/>
        </w:rPr>
        <w:t>ForeCast_Lindel</w:t>
      </w:r>
      <w:proofErr w:type="spellEnd"/>
      <w:r w:rsidR="00000000">
        <w:rPr>
          <w:rFonts w:ascii="Avenir Book" w:hAnsi="Avenir Book"/>
        </w:rPr>
        <w:t xml:space="preserve">, and </w:t>
      </w:r>
      <w:proofErr w:type="spellStart"/>
      <w:r w:rsidR="00000000">
        <w:rPr>
          <w:rFonts w:ascii="Avenir Book" w:hAnsi="Avenir Book"/>
        </w:rPr>
        <w:t>Jurkat</w:t>
      </w:r>
      <w:proofErr w:type="spellEnd"/>
      <w:r w:rsidR="00000000">
        <w:rPr>
          <w:rFonts w:ascii="Avenir Book" w:hAnsi="Avenir Book"/>
        </w:rPr>
        <w:t xml:space="preserve"> datasets using the 163 aggregated repair categories. Asteria indicated the best performed models in each benchmarking based on various metrics.</w:t>
      </w:r>
    </w:p>
    <w:p w14:paraId="5381CAA0" w14:textId="386C5485" w:rsidR="00DE25F8" w:rsidRDefault="0024017C">
      <w:pPr>
        <w:pStyle w:val="BodyA"/>
        <w:spacing w:after="120" w:line="360" w:lineRule="auto"/>
        <w:jc w:val="left"/>
        <w:rPr>
          <w:rFonts w:ascii="Avenir Book" w:hAnsi="Avenir Book"/>
        </w:rPr>
      </w:pPr>
      <w:r w:rsidRPr="00C14DB8">
        <w:rPr>
          <w:rFonts w:ascii="Avenir Book" w:hAnsi="Avenir Book"/>
        </w:rPr>
        <w:t>Supplementary Fig. S1</w:t>
      </w:r>
      <w:r>
        <w:rPr>
          <w:rFonts w:ascii="Avenir Book" w:hAnsi="Avenir Book"/>
        </w:rPr>
        <w:t>3</w:t>
      </w:r>
      <w:r w:rsidR="00000000">
        <w:rPr>
          <w:rFonts w:ascii="Avenir Book" w:hAnsi="Avenir Book"/>
        </w:rPr>
        <w:t xml:space="preserve">. The RNA expression level of DNTT across different cell lines. </w:t>
      </w:r>
      <w:r w:rsidR="00B41A16" w:rsidRPr="00B41A16">
        <w:rPr>
          <w:rFonts w:ascii="Avenir Book" w:hAnsi="Avenir Book"/>
        </w:rPr>
        <w:t xml:space="preserve">This </w:t>
      </w:r>
      <w:r w:rsidR="00B41A16">
        <w:rPr>
          <w:rFonts w:ascii="Avenir Book" w:hAnsi="Avenir Book"/>
        </w:rPr>
        <w:t xml:space="preserve">RNA-seq </w:t>
      </w:r>
      <w:r w:rsidR="00B41A16" w:rsidRPr="00B41A16">
        <w:rPr>
          <w:rFonts w:ascii="Avenir Book" w:hAnsi="Avenir Book"/>
        </w:rPr>
        <w:t>data is obtained from The Human Protein Atlas (HPA) database</w:t>
      </w:r>
      <w:r w:rsidR="00B41A16">
        <w:rPr>
          <w:rFonts w:ascii="Avenir Book" w:hAnsi="Avenir Book"/>
        </w:rPr>
        <w:t xml:space="preserve"> at </w:t>
      </w:r>
      <w:r w:rsidR="00B41A16" w:rsidRPr="00B41A16">
        <w:rPr>
          <w:rFonts w:ascii="Avenir Book" w:hAnsi="Avenir Book"/>
        </w:rPr>
        <w:t>https://www.proteinatlas.org/</w:t>
      </w:r>
      <w:r w:rsidR="00B41A16">
        <w:rPr>
          <w:rFonts w:ascii="Avenir Book" w:hAnsi="Avenir Book"/>
        </w:rPr>
        <w:t>.</w:t>
      </w:r>
    </w:p>
    <w:p w14:paraId="5381CAA1" w14:textId="3E4A62B1" w:rsidR="00DE25F8" w:rsidRDefault="0024017C">
      <w:pPr>
        <w:pStyle w:val="BodyA"/>
        <w:spacing w:after="120" w:line="360" w:lineRule="auto"/>
        <w:jc w:val="left"/>
        <w:rPr>
          <w:rFonts w:ascii="Avenir Book" w:hAnsi="Avenir Book"/>
        </w:rPr>
      </w:pPr>
      <w:r w:rsidRPr="00C14DB8">
        <w:rPr>
          <w:rFonts w:ascii="Avenir Book" w:hAnsi="Avenir Book"/>
        </w:rPr>
        <w:t>Supplementary Fig. S1</w:t>
      </w:r>
      <w:r>
        <w:rPr>
          <w:rFonts w:ascii="Avenir Book" w:hAnsi="Avenir Book"/>
        </w:rPr>
        <w:t>4</w:t>
      </w:r>
      <w:r w:rsidR="00000000">
        <w:rPr>
          <w:rFonts w:ascii="Avenir Book" w:hAnsi="Avenir Book"/>
        </w:rPr>
        <w:t>. Scattered plots showed the reproducibility of the cleavage activities of spCas9/gRNA on all off-target sequences (</w:t>
      </w:r>
      <w:r>
        <w:rPr>
          <w:rFonts w:ascii="Avenir Book" w:hAnsi="Avenir Book"/>
        </w:rPr>
        <w:t>a</w:t>
      </w:r>
      <w:r w:rsidR="00000000">
        <w:rPr>
          <w:rFonts w:ascii="Avenir Book" w:hAnsi="Avenir Book"/>
        </w:rPr>
        <w:t>) or off-target sequences with different numbers of mismatches (</w:t>
      </w:r>
      <w:r>
        <w:rPr>
          <w:rFonts w:ascii="Avenir Book" w:hAnsi="Avenir Book"/>
        </w:rPr>
        <w:t>b</w:t>
      </w:r>
      <w:r w:rsidR="00000000">
        <w:rPr>
          <w:rFonts w:ascii="Avenir Book" w:hAnsi="Avenir Book"/>
        </w:rPr>
        <w:t xml:space="preserve">) between two biological replicates in K562. </w:t>
      </w:r>
    </w:p>
    <w:p w14:paraId="5381CAA2" w14:textId="21FCCB09" w:rsidR="00DE25F8" w:rsidRDefault="0024017C">
      <w:pPr>
        <w:pStyle w:val="BodyA"/>
        <w:spacing w:after="120" w:line="360" w:lineRule="auto"/>
        <w:jc w:val="left"/>
        <w:rPr>
          <w:rFonts w:ascii="Avenir Book" w:hAnsi="Avenir Book"/>
        </w:rPr>
      </w:pPr>
      <w:r w:rsidRPr="00C14DB8">
        <w:rPr>
          <w:rFonts w:ascii="Avenir Book" w:hAnsi="Avenir Book"/>
        </w:rPr>
        <w:t>Supplementary Fig. S1</w:t>
      </w:r>
      <w:r>
        <w:rPr>
          <w:rFonts w:ascii="Avenir Book" w:hAnsi="Avenir Book"/>
        </w:rPr>
        <w:t>5</w:t>
      </w:r>
      <w:r w:rsidR="00000000">
        <w:rPr>
          <w:rFonts w:ascii="Avenir Book" w:hAnsi="Avenir Book"/>
        </w:rPr>
        <w:t xml:space="preserve">. Scattered plots showed the </w:t>
      </w:r>
      <w:proofErr w:type="spellStart"/>
      <w:r w:rsidR="0062532E">
        <w:rPr>
          <w:rFonts w:ascii="Avenir Book" w:hAnsi="Avenir Book"/>
        </w:rPr>
        <w:t>p</w:t>
      </w:r>
      <w:r w:rsidR="00000000">
        <w:rPr>
          <w:rFonts w:ascii="Avenir Book" w:hAnsi="Avenir Book"/>
        </w:rPr>
        <w:t>earson</w:t>
      </w:r>
      <w:proofErr w:type="spellEnd"/>
      <w:r w:rsidR="00000000">
        <w:rPr>
          <w:rFonts w:ascii="Avenir Book" w:hAnsi="Avenir Book"/>
        </w:rPr>
        <w:t xml:space="preserve"> correlation</w:t>
      </w:r>
      <w:r w:rsidR="0062532E">
        <w:rPr>
          <w:rFonts w:ascii="Avenir Book" w:hAnsi="Avenir Book"/>
        </w:rPr>
        <w:t xml:space="preserve">(r) and </w:t>
      </w:r>
      <w:r w:rsidR="0062532E">
        <w:rPr>
          <w:rStyle w:val="cf01"/>
          <w:rFonts w:cs="Arial" w:hint="default"/>
        </w:rPr>
        <w:t>spearman correlation(R)</w:t>
      </w:r>
      <w:r w:rsidR="00000000">
        <w:rPr>
          <w:rFonts w:ascii="Avenir Book" w:hAnsi="Avenir Book"/>
        </w:rPr>
        <w:t xml:space="preserve"> of indel frequencies between quantifications in our study and in Kim et al (</w:t>
      </w:r>
      <w:r>
        <w:rPr>
          <w:rFonts w:ascii="Avenir Book" w:hAnsi="Avenir Book"/>
        </w:rPr>
        <w:t>a</w:t>
      </w:r>
      <w:r w:rsidR="00000000">
        <w:rPr>
          <w:rFonts w:ascii="Avenir Book" w:hAnsi="Avenir Book"/>
        </w:rPr>
        <w:t>), and between quantifications in our study and from GUIDE-seq (</w:t>
      </w:r>
      <w:r>
        <w:rPr>
          <w:rFonts w:ascii="Avenir Book" w:hAnsi="Avenir Book"/>
        </w:rPr>
        <w:t>b</w:t>
      </w:r>
      <w:r w:rsidR="00000000">
        <w:rPr>
          <w:rFonts w:ascii="Avenir Book" w:hAnsi="Avenir Book"/>
        </w:rPr>
        <w:t>).</w:t>
      </w:r>
    </w:p>
    <w:p w14:paraId="5381CAA3" w14:textId="1F932C91" w:rsidR="00DE25F8" w:rsidRDefault="0024017C">
      <w:pPr>
        <w:pStyle w:val="BodyA"/>
        <w:spacing w:after="120" w:line="360" w:lineRule="auto"/>
        <w:jc w:val="left"/>
        <w:rPr>
          <w:rFonts w:ascii="Avenir Book" w:hAnsi="Avenir Book"/>
        </w:rPr>
      </w:pPr>
      <w:r w:rsidRPr="00C14DB8">
        <w:rPr>
          <w:rFonts w:ascii="Avenir Book" w:hAnsi="Avenir Book"/>
        </w:rPr>
        <w:t>Supplementary Fig. S1</w:t>
      </w:r>
      <w:r>
        <w:rPr>
          <w:rFonts w:ascii="Avenir Book" w:hAnsi="Avenir Book"/>
        </w:rPr>
        <w:t>6</w:t>
      </w:r>
      <w:r w:rsidR="00000000">
        <w:rPr>
          <w:rFonts w:ascii="Avenir Book" w:hAnsi="Avenir Book"/>
        </w:rPr>
        <w:t>. The influence of the number of mismatches on off-target sequences. The relative cleavage activity, which is a relative ratio of indel efficiencies between the off-target sequences and the corresponding matched targets, were plotted in y-axis.</w:t>
      </w:r>
    </w:p>
    <w:p w14:paraId="5381CAA4" w14:textId="3966DDC0" w:rsidR="00DE25F8" w:rsidRDefault="0024017C">
      <w:pPr>
        <w:pStyle w:val="BodyA"/>
        <w:spacing w:after="120" w:line="360" w:lineRule="auto"/>
        <w:jc w:val="left"/>
        <w:rPr>
          <w:rFonts w:ascii="Avenir Book" w:hAnsi="Avenir Book"/>
        </w:rPr>
      </w:pPr>
      <w:r w:rsidRPr="00C14DB8">
        <w:rPr>
          <w:rFonts w:ascii="Avenir Book" w:hAnsi="Avenir Book"/>
        </w:rPr>
        <w:t>Supplementary Fig. S1</w:t>
      </w:r>
      <w:r>
        <w:rPr>
          <w:rFonts w:ascii="Avenir Book" w:hAnsi="Avenir Book"/>
        </w:rPr>
        <w:t>7</w:t>
      </w:r>
      <w:r w:rsidR="00000000">
        <w:rPr>
          <w:rFonts w:ascii="Avenir Book" w:hAnsi="Avenir Book"/>
        </w:rPr>
        <w:t>. The influence of insertion position on off-target sequences with 1bp bulge. The relative cleavage activity, which is a relative ratio of indel efficiencies between the off-target sequences and the corresponding matched targets, were plotted for each nucleotide at each position in y-axis. Positions of 1-3 are excluded from this analysis due to data filtering.</w:t>
      </w:r>
    </w:p>
    <w:p w14:paraId="5381CAA5" w14:textId="31A45E46" w:rsidR="00DE25F8" w:rsidRDefault="0024017C">
      <w:pPr>
        <w:pStyle w:val="BodyA"/>
        <w:spacing w:after="120" w:line="360" w:lineRule="auto"/>
        <w:jc w:val="left"/>
        <w:rPr>
          <w:rFonts w:ascii="Avenir Book" w:hAnsi="Avenir Book"/>
        </w:rPr>
      </w:pPr>
      <w:r w:rsidRPr="00C14DB8">
        <w:rPr>
          <w:rFonts w:ascii="Avenir Book" w:hAnsi="Avenir Book"/>
        </w:rPr>
        <w:t>Supplementary Fig. S1</w:t>
      </w:r>
      <w:r>
        <w:rPr>
          <w:rFonts w:ascii="Avenir Book" w:hAnsi="Avenir Book"/>
        </w:rPr>
        <w:t>8</w:t>
      </w:r>
      <w:r w:rsidR="00000000">
        <w:rPr>
          <w:rFonts w:ascii="Avenir Book" w:hAnsi="Avenir Book"/>
        </w:rPr>
        <w:t>. The evaluation of model performances on prediction of cleavage activities on synthetic off-target sites. (</w:t>
      </w:r>
      <w:r>
        <w:rPr>
          <w:rFonts w:ascii="Avenir Book" w:hAnsi="Avenir Book"/>
        </w:rPr>
        <w:t>a</w:t>
      </w:r>
      <w:r w:rsidR="00000000">
        <w:rPr>
          <w:rFonts w:ascii="Avenir Book" w:hAnsi="Avenir Book"/>
        </w:rPr>
        <w:t xml:space="preserve">) </w:t>
      </w:r>
      <w:r w:rsidR="00531D2F">
        <w:rPr>
          <w:rFonts w:ascii="Avenir Book" w:hAnsi="Avenir Book" w:hint="eastAsia"/>
        </w:rPr>
        <w:t>box</w:t>
      </w:r>
      <w:r w:rsidR="00531D2F">
        <w:rPr>
          <w:rFonts w:ascii="Avenir Book" w:hAnsi="Avenir Book"/>
        </w:rPr>
        <w:t xml:space="preserve"> </w:t>
      </w:r>
      <w:r w:rsidR="00531D2F">
        <w:rPr>
          <w:rFonts w:ascii="Avenir Book" w:hAnsi="Avenir Book" w:hint="eastAsia"/>
        </w:rPr>
        <w:t>plot</w:t>
      </w:r>
      <w:r w:rsidR="00531D2F">
        <w:rPr>
          <w:rFonts w:ascii="Avenir Book" w:hAnsi="Avenir Book"/>
        </w:rPr>
        <w:t xml:space="preserve"> </w:t>
      </w:r>
      <w:r w:rsidR="00000000">
        <w:rPr>
          <w:rFonts w:ascii="Avenir Book" w:hAnsi="Avenir Book"/>
        </w:rPr>
        <w:t>on validation datasets; (</w:t>
      </w:r>
      <w:r>
        <w:rPr>
          <w:rFonts w:ascii="Avenir Book" w:hAnsi="Avenir Book"/>
        </w:rPr>
        <w:t>b</w:t>
      </w:r>
      <w:r w:rsidR="00000000">
        <w:rPr>
          <w:rFonts w:ascii="Avenir Book" w:hAnsi="Avenir Book"/>
        </w:rPr>
        <w:t>)</w:t>
      </w:r>
      <w:r w:rsidR="00531D2F">
        <w:rPr>
          <w:rFonts w:ascii="Avenir Book" w:hAnsi="Avenir Book" w:hint="eastAsia"/>
        </w:rPr>
        <w:t>box</w:t>
      </w:r>
      <w:r w:rsidR="00531D2F">
        <w:rPr>
          <w:rFonts w:ascii="Avenir Book" w:hAnsi="Avenir Book"/>
        </w:rPr>
        <w:t xml:space="preserve"> </w:t>
      </w:r>
      <w:r w:rsidR="00531D2F">
        <w:rPr>
          <w:rFonts w:ascii="Avenir Book" w:hAnsi="Avenir Book" w:hint="eastAsia"/>
        </w:rPr>
        <w:t>plot</w:t>
      </w:r>
      <w:r w:rsidR="00000000">
        <w:rPr>
          <w:rFonts w:ascii="Avenir Book" w:hAnsi="Avenir Book"/>
        </w:rPr>
        <w:t xml:space="preserve"> on testing datasets.</w:t>
      </w:r>
      <w:r w:rsidR="00531D2F" w:rsidRPr="00531D2F">
        <w:rPr>
          <w:rFonts w:ascii="Avenir Book" w:hAnsi="Avenir Book"/>
        </w:rPr>
        <w:t xml:space="preserve"> </w:t>
      </w:r>
      <w:r w:rsidR="00531D2F">
        <w:rPr>
          <w:rFonts w:ascii="Avenir Book" w:hAnsi="Avenir Book"/>
        </w:rPr>
        <w:t>(</w:t>
      </w:r>
      <w:r>
        <w:rPr>
          <w:rFonts w:ascii="Avenir Book" w:hAnsi="Avenir Book"/>
        </w:rPr>
        <w:t>c</w:t>
      </w:r>
      <w:r w:rsidR="00531D2F">
        <w:rPr>
          <w:rFonts w:ascii="Avenir Book" w:hAnsi="Avenir Book"/>
        </w:rPr>
        <w:t xml:space="preserve">) dot </w:t>
      </w:r>
      <w:r w:rsidR="00531D2F">
        <w:rPr>
          <w:rFonts w:ascii="Avenir Book" w:hAnsi="Avenir Book" w:hint="eastAsia"/>
        </w:rPr>
        <w:t>plot</w:t>
      </w:r>
      <w:r w:rsidR="00531D2F">
        <w:rPr>
          <w:rFonts w:ascii="Avenir Book" w:hAnsi="Avenir Book"/>
        </w:rPr>
        <w:t xml:space="preserve"> on validation datasets; (</w:t>
      </w:r>
      <w:r>
        <w:rPr>
          <w:rFonts w:ascii="Avenir Book" w:hAnsi="Avenir Book"/>
        </w:rPr>
        <w:t>d</w:t>
      </w:r>
      <w:r w:rsidR="00531D2F">
        <w:rPr>
          <w:rFonts w:ascii="Avenir Book" w:hAnsi="Avenir Book"/>
        </w:rPr>
        <w:t xml:space="preserve">) dot </w:t>
      </w:r>
      <w:r w:rsidR="00531D2F">
        <w:rPr>
          <w:rFonts w:ascii="Avenir Book" w:hAnsi="Avenir Book" w:hint="eastAsia"/>
        </w:rPr>
        <w:t>plot</w:t>
      </w:r>
      <w:r w:rsidR="00531D2F">
        <w:rPr>
          <w:rFonts w:ascii="Avenir Book" w:hAnsi="Avenir Book"/>
        </w:rPr>
        <w:t xml:space="preserve"> on testing datasets.</w:t>
      </w:r>
    </w:p>
    <w:p w14:paraId="5381CAA6" w14:textId="10F9078E" w:rsidR="00DE25F8" w:rsidRDefault="0024017C">
      <w:pPr>
        <w:pStyle w:val="BodyA"/>
        <w:spacing w:after="120" w:line="360" w:lineRule="auto"/>
        <w:jc w:val="left"/>
        <w:rPr>
          <w:rFonts w:ascii="Avenir Book" w:hAnsi="Avenir Book"/>
        </w:rPr>
      </w:pPr>
      <w:r w:rsidRPr="00C14DB8">
        <w:rPr>
          <w:rFonts w:ascii="Avenir Book" w:hAnsi="Avenir Book"/>
        </w:rPr>
        <w:t>Supplementary Fig. S1</w:t>
      </w:r>
      <w:r>
        <w:rPr>
          <w:rFonts w:ascii="Avenir Book" w:hAnsi="Avenir Book"/>
        </w:rPr>
        <w:t>9</w:t>
      </w:r>
      <w:r w:rsidR="00000000">
        <w:rPr>
          <w:rFonts w:ascii="Avenir Book" w:hAnsi="Avenir Book"/>
        </w:rPr>
        <w:t xml:space="preserve">. Comparison of model performances on predicting cleavage activities on off-target sequences. The benchmark was conducted on endogenous off-target datasets from </w:t>
      </w:r>
      <w:r w:rsidR="00000000">
        <w:rPr>
          <w:rFonts w:ascii="Avenir Book" w:hAnsi="Avenir Book"/>
        </w:rPr>
        <w:lastRenderedPageBreak/>
        <w:t>public CRISPOR datasets (</w:t>
      </w:r>
      <w:r>
        <w:rPr>
          <w:rFonts w:ascii="Avenir Book" w:hAnsi="Avenir Book"/>
        </w:rPr>
        <w:t>a-b</w:t>
      </w:r>
      <w:r w:rsidR="00000000">
        <w:rPr>
          <w:rFonts w:ascii="Avenir Book" w:hAnsi="Avenir Book"/>
        </w:rPr>
        <w:t>) and our GUIDE-seq datasets (</w:t>
      </w:r>
      <w:r>
        <w:rPr>
          <w:rFonts w:ascii="Avenir Book" w:hAnsi="Avenir Book"/>
        </w:rPr>
        <w:t>c-d</w:t>
      </w:r>
      <w:r w:rsidR="00000000">
        <w:rPr>
          <w:rFonts w:ascii="Avenir Book" w:hAnsi="Avenir Book"/>
        </w:rPr>
        <w:t>) across different models (</w:t>
      </w:r>
      <w:proofErr w:type="spellStart"/>
      <w:r w:rsidR="00000000">
        <w:rPr>
          <w:rFonts w:ascii="Avenir Book" w:hAnsi="Avenir Book"/>
        </w:rPr>
        <w:t>AIdit_OFF</w:t>
      </w:r>
      <w:proofErr w:type="spellEnd"/>
      <w:r w:rsidR="00000000">
        <w:rPr>
          <w:rFonts w:ascii="Avenir Book" w:hAnsi="Avenir Book"/>
        </w:rPr>
        <w:t xml:space="preserve">, </w:t>
      </w:r>
      <w:proofErr w:type="spellStart"/>
      <w:r w:rsidR="00000000">
        <w:rPr>
          <w:rFonts w:ascii="Avenir Book" w:hAnsi="Avenir Book"/>
        </w:rPr>
        <w:t>Elevation_score</w:t>
      </w:r>
      <w:proofErr w:type="spellEnd"/>
      <w:r w:rsidR="00000000">
        <w:rPr>
          <w:rFonts w:ascii="Avenir Book" w:hAnsi="Avenir Book"/>
        </w:rPr>
        <w:t xml:space="preserve">, CFD-score, </w:t>
      </w:r>
      <w:proofErr w:type="spellStart"/>
      <w:r w:rsidR="00000000">
        <w:rPr>
          <w:rFonts w:ascii="Avenir Book" w:hAnsi="Avenir Book"/>
        </w:rPr>
        <w:t>CCTop</w:t>
      </w:r>
      <w:proofErr w:type="spellEnd"/>
      <w:r w:rsidR="00000000">
        <w:rPr>
          <w:rFonts w:ascii="Avenir Book" w:hAnsi="Avenir Book"/>
        </w:rPr>
        <w:t>-score, and Hsu-score). Two metrics were compared, including AUC (</w:t>
      </w:r>
      <w:r>
        <w:rPr>
          <w:rFonts w:ascii="Avenir Book" w:hAnsi="Avenir Book"/>
        </w:rPr>
        <w:t>a, c</w:t>
      </w:r>
      <w:r w:rsidR="00000000">
        <w:rPr>
          <w:rFonts w:ascii="Avenir Book" w:hAnsi="Avenir Book"/>
        </w:rPr>
        <w:t>) to examine the false positive rate and PR-AUC (</w:t>
      </w:r>
      <w:r>
        <w:rPr>
          <w:rFonts w:ascii="Avenir Book" w:hAnsi="Avenir Book"/>
        </w:rPr>
        <w:t>b, d</w:t>
      </w:r>
      <w:r w:rsidR="00000000">
        <w:rPr>
          <w:rFonts w:ascii="Avenir Book" w:hAnsi="Avenir Book"/>
        </w:rPr>
        <w:t>) to examine the recall rate.</w:t>
      </w:r>
    </w:p>
    <w:p w14:paraId="5381CAA7" w14:textId="62EC1C8F" w:rsidR="00DE25F8" w:rsidRDefault="0024017C">
      <w:pPr>
        <w:pStyle w:val="BodyA"/>
        <w:spacing w:after="120" w:line="360" w:lineRule="auto"/>
        <w:jc w:val="left"/>
        <w:rPr>
          <w:rFonts w:ascii="Avenir Book" w:hAnsi="Avenir Book"/>
        </w:rPr>
      </w:pPr>
      <w:r w:rsidRPr="00C14DB8">
        <w:rPr>
          <w:rFonts w:ascii="Avenir Book" w:hAnsi="Avenir Book"/>
        </w:rPr>
        <w:t>Supplementary Fig. S</w:t>
      </w:r>
      <w:r>
        <w:rPr>
          <w:rFonts w:ascii="Avenir Book" w:hAnsi="Avenir Book"/>
        </w:rPr>
        <w:t>20</w:t>
      </w:r>
      <w:r w:rsidR="00000000">
        <w:rPr>
          <w:rFonts w:ascii="Avenir Book" w:hAnsi="Avenir Book"/>
        </w:rPr>
        <w:t xml:space="preserve">. </w:t>
      </w:r>
      <w:r w:rsidR="00000000">
        <w:rPr>
          <w:rFonts w:ascii="Avenir Book" w:hAnsi="Avenir Book" w:cs="Times New Roman Regular"/>
          <w:kern w:val="24"/>
        </w:rPr>
        <w:t xml:space="preserve">Evaluation of model generalization performance between the </w:t>
      </w:r>
      <w:proofErr w:type="spellStart"/>
      <w:r w:rsidR="00000000">
        <w:rPr>
          <w:rFonts w:ascii="Avenir Book" w:hAnsi="Avenir Book" w:cs="Times New Roman Regular"/>
          <w:kern w:val="24"/>
        </w:rPr>
        <w:t>AIdit_OFF</w:t>
      </w:r>
      <w:proofErr w:type="spellEnd"/>
      <w:r w:rsidR="00000000">
        <w:rPr>
          <w:rFonts w:ascii="Avenir Book" w:hAnsi="Avenir Book" w:cs="Times New Roman Regular"/>
          <w:kern w:val="24"/>
        </w:rPr>
        <w:t xml:space="preserve"> model and the CFD model, based on the minimal off-target scores from each model, which is 0.0069 for the </w:t>
      </w:r>
      <w:proofErr w:type="spellStart"/>
      <w:r w:rsidR="00000000">
        <w:rPr>
          <w:rFonts w:ascii="Avenir Book" w:hAnsi="Avenir Book" w:cs="Times New Roman Regular"/>
          <w:kern w:val="24"/>
        </w:rPr>
        <w:t>AIdit_OFF</w:t>
      </w:r>
      <w:proofErr w:type="spellEnd"/>
      <w:r w:rsidR="00000000">
        <w:rPr>
          <w:rFonts w:ascii="Avenir Book" w:hAnsi="Avenir Book" w:cs="Times New Roman Regular"/>
          <w:kern w:val="24"/>
        </w:rPr>
        <w:t xml:space="preserve"> model and 0.023 for the CFD model.</w:t>
      </w:r>
    </w:p>
    <w:p w14:paraId="5381CAA9" w14:textId="60DB74D7" w:rsidR="00DE25F8" w:rsidRDefault="0024017C">
      <w:pPr>
        <w:pStyle w:val="BodyA"/>
        <w:spacing w:after="120" w:line="360" w:lineRule="auto"/>
        <w:rPr>
          <w:rFonts w:ascii="Avenir Book" w:hAnsi="Avenir Book"/>
        </w:rPr>
      </w:pPr>
      <w:r w:rsidRPr="00C14DB8">
        <w:rPr>
          <w:rFonts w:ascii="Avenir Book" w:hAnsi="Avenir Book"/>
        </w:rPr>
        <w:t>Supplementary Fig. S</w:t>
      </w:r>
      <w:r>
        <w:rPr>
          <w:rFonts w:ascii="Avenir Book" w:hAnsi="Avenir Book"/>
        </w:rPr>
        <w:t>21</w:t>
      </w:r>
      <w:r w:rsidR="00000000">
        <w:rPr>
          <w:rFonts w:ascii="Avenir Book" w:hAnsi="Avenir Book"/>
        </w:rPr>
        <w:t>. (</w:t>
      </w:r>
      <w:r>
        <w:rPr>
          <w:rFonts w:ascii="Avenir Book" w:hAnsi="Avenir Book"/>
        </w:rPr>
        <w:t>a</w:t>
      </w:r>
      <w:r w:rsidR="00000000">
        <w:rPr>
          <w:rFonts w:ascii="Avenir Book" w:hAnsi="Avenir Book"/>
        </w:rPr>
        <w:t>) Distribution of on-target indel frequencies of the Type III group of the 180k library. (</w:t>
      </w:r>
      <w:r>
        <w:rPr>
          <w:rFonts w:ascii="Avenir Book" w:hAnsi="Avenir Book"/>
        </w:rPr>
        <w:t>b</w:t>
      </w:r>
      <w:r w:rsidR="00000000">
        <w:rPr>
          <w:rFonts w:ascii="Avenir Book" w:hAnsi="Avenir Book"/>
        </w:rPr>
        <w:t>) Heatmap of nucleotide distribution of gRNA of the Type III group.</w:t>
      </w:r>
    </w:p>
    <w:p w14:paraId="5381CAAA" w14:textId="544649E6" w:rsidR="00DE25F8" w:rsidRDefault="0024017C">
      <w:pPr>
        <w:pStyle w:val="BodyA"/>
        <w:spacing w:after="120" w:line="360" w:lineRule="auto"/>
        <w:rPr>
          <w:rFonts w:ascii="Avenir Book" w:hAnsi="Avenir Book"/>
        </w:rPr>
      </w:pPr>
      <w:r w:rsidRPr="00C14DB8">
        <w:rPr>
          <w:rFonts w:ascii="Avenir Book" w:hAnsi="Avenir Book"/>
        </w:rPr>
        <w:t>Supplementary Fig. S</w:t>
      </w:r>
      <w:r>
        <w:rPr>
          <w:rFonts w:ascii="Avenir Book" w:hAnsi="Avenir Book"/>
        </w:rPr>
        <w:t>22</w:t>
      </w:r>
      <w:r w:rsidR="00000000">
        <w:rPr>
          <w:rFonts w:ascii="Avenir Book" w:hAnsi="Avenir Book"/>
        </w:rPr>
        <w:t>. Effect of the target sequence and microhomology features on prediction of SpCas9-induced DSB repair outcomes. (</w:t>
      </w:r>
      <w:r>
        <w:rPr>
          <w:rFonts w:ascii="Avenir Book" w:hAnsi="Avenir Book"/>
        </w:rPr>
        <w:t>a</w:t>
      </w:r>
      <w:r w:rsidR="00000000">
        <w:rPr>
          <w:rFonts w:ascii="Avenir Book" w:hAnsi="Avenir Book"/>
        </w:rPr>
        <w:t>) Feature evaluation on prediction models for the insertion repair outcomes. The x-axis showed the training feature sets of the microhomology, 3-bp, and 6-bp sequence around the cleavage site, the 63-bp sequence and the combined features of 63-bp sequence and microhomology, respectively. The Pearson correlation coefficients between insertion outcomes measured by experiments and scores predicted by models at each target sequence are shown. (</w:t>
      </w:r>
      <w:r>
        <w:rPr>
          <w:rFonts w:ascii="Avenir Book" w:hAnsi="Avenir Book"/>
        </w:rPr>
        <w:t>b</w:t>
      </w:r>
      <w:r w:rsidR="00000000">
        <w:rPr>
          <w:rFonts w:ascii="Avenir Book" w:hAnsi="Avenir Book"/>
        </w:rPr>
        <w:t>) Feature evaluation of predictions models on the deletion repair outcomes. Feature sets used to train these models include the 63-bp sequence, the microhomology, the combination of the sequence and microhomology, respectively. The y-axis shows the Pearson correlation coefficients between the deletion outcomes measured and scores predicted by models at each target sequence.</w:t>
      </w:r>
    </w:p>
    <w:p w14:paraId="5381CAAB" w14:textId="77777777" w:rsidR="00DE25F8" w:rsidRPr="00D35331" w:rsidRDefault="00DE25F8">
      <w:pPr>
        <w:rPr>
          <w:lang w:val="en-US"/>
        </w:rPr>
      </w:pPr>
    </w:p>
    <w:sectPr w:rsidR="00DE25F8" w:rsidRPr="00D35331">
      <w:pgSz w:w="11900" w:h="16840"/>
      <w:pgMar w:top="1440" w:right="1800" w:bottom="1440" w:left="1800" w:header="851" w:footer="992" w:gutter="0"/>
      <w:lnNumType w:countBy="1" w:restart="continuous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83FDC" w14:textId="77777777" w:rsidR="006C5ECB" w:rsidRDefault="006C5ECB" w:rsidP="0062532E">
      <w:r>
        <w:separator/>
      </w:r>
    </w:p>
  </w:endnote>
  <w:endnote w:type="continuationSeparator" w:id="0">
    <w:p w14:paraId="5F2B1D96" w14:textId="77777777" w:rsidR="006C5ECB" w:rsidRDefault="006C5ECB" w:rsidP="00625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HGMaruGothicMPR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Regular"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EF74D" w14:textId="77777777" w:rsidR="006C5ECB" w:rsidRDefault="006C5ECB" w:rsidP="0062532E">
      <w:r>
        <w:separator/>
      </w:r>
    </w:p>
  </w:footnote>
  <w:footnote w:type="continuationSeparator" w:id="0">
    <w:p w14:paraId="1DCDDE1F" w14:textId="77777777" w:rsidR="006C5ECB" w:rsidRDefault="006C5ECB" w:rsidP="006253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D9F"/>
    <w:rsid w:val="BEF2D1DB"/>
    <w:rsid w:val="BF6AC7A7"/>
    <w:rsid w:val="FFFFBECE"/>
    <w:rsid w:val="00054CDC"/>
    <w:rsid w:val="00090C10"/>
    <w:rsid w:val="000A6E6E"/>
    <w:rsid w:val="000B2E22"/>
    <w:rsid w:val="000F4F2B"/>
    <w:rsid w:val="00124081"/>
    <w:rsid w:val="00161890"/>
    <w:rsid w:val="00173CB8"/>
    <w:rsid w:val="00174DEB"/>
    <w:rsid w:val="001A449F"/>
    <w:rsid w:val="001D76AE"/>
    <w:rsid w:val="001E64FE"/>
    <w:rsid w:val="0024017C"/>
    <w:rsid w:val="00245E79"/>
    <w:rsid w:val="00247CCE"/>
    <w:rsid w:val="00283725"/>
    <w:rsid w:val="002916C5"/>
    <w:rsid w:val="0033178B"/>
    <w:rsid w:val="00334EA4"/>
    <w:rsid w:val="00384B1F"/>
    <w:rsid w:val="00392087"/>
    <w:rsid w:val="003A2F84"/>
    <w:rsid w:val="003B656C"/>
    <w:rsid w:val="003B6878"/>
    <w:rsid w:val="003C5E6B"/>
    <w:rsid w:val="003F2369"/>
    <w:rsid w:val="004315AA"/>
    <w:rsid w:val="00441579"/>
    <w:rsid w:val="004450BD"/>
    <w:rsid w:val="00463610"/>
    <w:rsid w:val="004C442D"/>
    <w:rsid w:val="004E4563"/>
    <w:rsid w:val="00512AE5"/>
    <w:rsid w:val="0052328A"/>
    <w:rsid w:val="00531D2F"/>
    <w:rsid w:val="00545486"/>
    <w:rsid w:val="00555C73"/>
    <w:rsid w:val="00572D33"/>
    <w:rsid w:val="005A7054"/>
    <w:rsid w:val="005C6BB1"/>
    <w:rsid w:val="005D1F4F"/>
    <w:rsid w:val="005E12CB"/>
    <w:rsid w:val="005F1B0A"/>
    <w:rsid w:val="00621EB3"/>
    <w:rsid w:val="0062532E"/>
    <w:rsid w:val="00632C7E"/>
    <w:rsid w:val="0068138A"/>
    <w:rsid w:val="006C4B77"/>
    <w:rsid w:val="006C5ECB"/>
    <w:rsid w:val="006E2878"/>
    <w:rsid w:val="006E61FB"/>
    <w:rsid w:val="006F0AFE"/>
    <w:rsid w:val="00715D9F"/>
    <w:rsid w:val="00732F7C"/>
    <w:rsid w:val="007427DB"/>
    <w:rsid w:val="007917BA"/>
    <w:rsid w:val="00792D12"/>
    <w:rsid w:val="007D6B74"/>
    <w:rsid w:val="008309F8"/>
    <w:rsid w:val="008B4068"/>
    <w:rsid w:val="008D1516"/>
    <w:rsid w:val="008E19A3"/>
    <w:rsid w:val="008E35D7"/>
    <w:rsid w:val="00951159"/>
    <w:rsid w:val="00992703"/>
    <w:rsid w:val="00992BF8"/>
    <w:rsid w:val="009B4BDC"/>
    <w:rsid w:val="009C4C99"/>
    <w:rsid w:val="009E57AD"/>
    <w:rsid w:val="00A1422E"/>
    <w:rsid w:val="00A532B7"/>
    <w:rsid w:val="00A92F4C"/>
    <w:rsid w:val="00AE4E31"/>
    <w:rsid w:val="00B04C80"/>
    <w:rsid w:val="00B04DA2"/>
    <w:rsid w:val="00B07EA5"/>
    <w:rsid w:val="00B118CA"/>
    <w:rsid w:val="00B41A16"/>
    <w:rsid w:val="00B52008"/>
    <w:rsid w:val="00B63C52"/>
    <w:rsid w:val="00B81B2A"/>
    <w:rsid w:val="00BA207E"/>
    <w:rsid w:val="00BB2A98"/>
    <w:rsid w:val="00BC2F4C"/>
    <w:rsid w:val="00BC5CF0"/>
    <w:rsid w:val="00BE2DBB"/>
    <w:rsid w:val="00BE34E2"/>
    <w:rsid w:val="00BE6CD4"/>
    <w:rsid w:val="00C14DB8"/>
    <w:rsid w:val="00C66F8C"/>
    <w:rsid w:val="00C82652"/>
    <w:rsid w:val="00C82E29"/>
    <w:rsid w:val="00D35331"/>
    <w:rsid w:val="00D4396E"/>
    <w:rsid w:val="00D612DD"/>
    <w:rsid w:val="00DD0208"/>
    <w:rsid w:val="00DE25F8"/>
    <w:rsid w:val="00E02512"/>
    <w:rsid w:val="00E23244"/>
    <w:rsid w:val="00EB691A"/>
    <w:rsid w:val="00EC36E1"/>
    <w:rsid w:val="00EE732B"/>
    <w:rsid w:val="00F030F1"/>
    <w:rsid w:val="00F32126"/>
    <w:rsid w:val="00F71508"/>
    <w:rsid w:val="4E5A654E"/>
    <w:rsid w:val="5F9FA86C"/>
    <w:rsid w:val="5FEF1D90"/>
    <w:rsid w:val="7E538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81CA95"/>
  <w15:docId w15:val="{09D4ACDF-3B98-4155-883B-662553D27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unhideWhenUsed/>
    <w:qFormat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qFormat/>
    <w:rPr>
      <w:rFonts w:ascii="Times New Roman" w:eastAsia="Arial Unicode MS" w:hAnsi="Times New Roman" w:cs="Arial Unicode MS"/>
      <w:color w:val="000000"/>
      <w:sz w:val="20"/>
      <w:szCs w:val="20"/>
      <w:u w:color="000000"/>
      <w:lang w:val="en-US"/>
    </w:rPr>
  </w:style>
  <w:style w:type="character" w:styleId="a6">
    <w:name w:val="line number"/>
    <w:basedOn w:val="a0"/>
    <w:uiPriority w:val="99"/>
    <w:semiHidden/>
    <w:unhideWhenUsed/>
    <w:qFormat/>
  </w:style>
  <w:style w:type="character" w:customStyle="1" w:styleId="a5">
    <w:name w:val="批注文字 字符"/>
    <w:basedOn w:val="a0"/>
    <w:link w:val="a4"/>
    <w:uiPriority w:val="99"/>
    <w:qFormat/>
    <w:rPr>
      <w:rFonts w:ascii="Times New Roman" w:eastAsia="Arial Unicode MS" w:hAnsi="Times New Roman" w:cs="Arial Unicode MS"/>
      <w:color w:val="000000"/>
      <w:sz w:val="20"/>
      <w:szCs w:val="20"/>
      <w:u w:color="000000"/>
      <w:lang w:val="en-US"/>
    </w:rPr>
  </w:style>
  <w:style w:type="paragraph" w:customStyle="1" w:styleId="BodyA">
    <w:name w:val="Body A"/>
    <w:link w:val="BodyA0"/>
    <w:qFormat/>
    <w:pPr>
      <w:widowControl w:val="0"/>
      <w:jc w:val="both"/>
    </w:pPr>
    <w:rPr>
      <w:rFonts w:ascii="等线" w:eastAsia="等线" w:hAnsi="等线" w:cs="等线"/>
      <w:color w:val="000000"/>
      <w:kern w:val="2"/>
      <w:sz w:val="21"/>
      <w:szCs w:val="21"/>
      <w:u w:color="000000"/>
    </w:rPr>
  </w:style>
  <w:style w:type="character" w:customStyle="1" w:styleId="BodyA0">
    <w:name w:val="Body A 字符"/>
    <w:basedOn w:val="a0"/>
    <w:link w:val="BodyA"/>
    <w:qFormat/>
    <w:rPr>
      <w:rFonts w:ascii="等线" w:eastAsia="等线" w:hAnsi="等线" w:cs="等线"/>
      <w:color w:val="000000"/>
      <w:kern w:val="2"/>
      <w:sz w:val="21"/>
      <w:szCs w:val="21"/>
      <w:u w:color="000000"/>
      <w:lang w:val="en-US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D35331"/>
    <w:rPr>
      <w:rFonts w:asciiTheme="minorHAnsi" w:eastAsiaTheme="minorEastAsia" w:hAnsiTheme="minorHAnsi" w:cstheme="minorBidi"/>
      <w:b/>
      <w:bCs/>
      <w:color w:val="auto"/>
      <w:sz w:val="24"/>
      <w:szCs w:val="24"/>
      <w:lang w:val="zh-CN"/>
    </w:rPr>
  </w:style>
  <w:style w:type="character" w:customStyle="1" w:styleId="a8">
    <w:name w:val="批注主题 字符"/>
    <w:basedOn w:val="a5"/>
    <w:link w:val="a7"/>
    <w:uiPriority w:val="99"/>
    <w:semiHidden/>
    <w:rsid w:val="00D35331"/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lang w:val="zh-CN"/>
    </w:rPr>
  </w:style>
  <w:style w:type="paragraph" w:styleId="a9">
    <w:name w:val="header"/>
    <w:basedOn w:val="a"/>
    <w:link w:val="aa"/>
    <w:uiPriority w:val="99"/>
    <w:unhideWhenUsed/>
    <w:rsid w:val="006253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62532E"/>
    <w:rPr>
      <w:sz w:val="18"/>
      <w:szCs w:val="18"/>
      <w:lang w:val="zh-CN"/>
    </w:rPr>
  </w:style>
  <w:style w:type="paragraph" w:styleId="ab">
    <w:name w:val="footer"/>
    <w:basedOn w:val="a"/>
    <w:link w:val="ac"/>
    <w:uiPriority w:val="99"/>
    <w:unhideWhenUsed/>
    <w:rsid w:val="0062532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62532E"/>
    <w:rPr>
      <w:sz w:val="18"/>
      <w:szCs w:val="18"/>
      <w:lang w:val="zh-CN"/>
    </w:rPr>
  </w:style>
  <w:style w:type="character" w:customStyle="1" w:styleId="cf01">
    <w:name w:val="cf01"/>
    <w:basedOn w:val="a0"/>
    <w:rsid w:val="0062532E"/>
    <w:rPr>
      <w:rFonts w:ascii="Microsoft YaHei UI" w:eastAsia="Microsoft YaHei UI" w:hAnsi="Microsoft YaHei UI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1152</Words>
  <Characters>6573</Characters>
  <Application>Microsoft Office Word</Application>
  <DocSecurity>0</DocSecurity>
  <Lines>54</Lines>
  <Paragraphs>15</Paragraphs>
  <ScaleCrop>false</ScaleCrop>
  <Company/>
  <LinksUpToDate>false</LinksUpToDate>
  <CharactersWithSpaces>7710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 Lijia</dc:creator>
  <cp:lastModifiedBy>Heng ZHANG 张恒</cp:lastModifiedBy>
  <cp:revision>3</cp:revision>
  <dcterms:created xsi:type="dcterms:W3CDTF">2023-02-05T08:01:00Z</dcterms:created>
  <dcterms:modified xsi:type="dcterms:W3CDTF">2023-03-17T06:33:00Z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1033-4.2.2.6882</vt:lpwstr>
  </property>
  <property fmtid="{D5CDD505-2E9C-101B-9397-08002B2CF9AE}" pid="3" name="ICV">
    <vt:lpwstr>FA3C5E62414B72B5D7DBF462DE634DB8</vt:lpwstr>
  </property>
</Properties>
</file>